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keepNext w:val="0"/>
        <w:keepLines w:val="0"/>
        <w:pageBreakBefore w:val="0"/>
        <w:kinsoku/>
        <w:wordWrap/>
        <w:overflowPunct/>
        <w:topLinePunct w:val="0"/>
        <w:autoSpaceDE/>
        <w:autoSpaceDN/>
        <w:bidi w:val="0"/>
        <w:adjustRightInd/>
        <w:snapToGrid/>
        <w:spacing w:before="0" w:after="0" w:line="600" w:lineRule="exact"/>
        <w:ind w:left="0" w:right="0" w:firstLine="0"/>
        <w:jc w:val="center"/>
        <w:textAlignment w:val="auto"/>
        <w:rPr>
          <w:rFonts w:ascii="黑体" w:eastAsia="黑体" w:hAnsi="黑体" w:hint="eastAsia"/>
          <w:lang w:val="en-US" w:eastAsia="zh-CN"/>
        </w:rPr>
      </w:pPr>
      <w:r>
        <w:rPr>
          <w:rFonts w:ascii="黑体" w:eastAsia="黑体" w:hAnsi="黑体" w:hint="eastAsia"/>
          <w:lang w:val="en-US" w:eastAsia="zh-CN"/>
        </w:rPr>
        <w:t>乐亭县司法局责任事项和追责情形依据分表</w:t>
      </w:r>
    </w:p>
    <w:p>
      <w:pPr>
        <w:keepNext w:val="0"/>
        <w:keepLines w:val="0"/>
        <w:pageBreakBefore w:val="0"/>
        <w:kinsoku/>
        <w:wordWrap/>
        <w:overflowPunct/>
        <w:topLinePunct w:val="0"/>
        <w:autoSpaceDE/>
        <w:autoSpaceDN/>
        <w:bidi w:val="0"/>
        <w:adjustRightInd/>
        <w:snapToGrid/>
        <w:spacing w:before="0" w:after="0" w:line="600" w:lineRule="exact"/>
        <w:ind w:right="0"/>
        <w:textAlignment w:val="auto"/>
        <w:rPr>
          <w:rFonts w:ascii="仿宋_GB2312"/>
          <w:lang w:val="en-US" w:eastAsia="zh-CN"/>
        </w:rPr>
      </w:pPr>
      <w:r>
        <w:rPr>
          <w:rFonts w:ascii="楷体_GB2312" w:eastAsia="楷体_GB2312" w:hAnsi="楷体_GB2312" w:hint="eastAsia"/>
          <w:sz w:val="28"/>
          <w:lang w:val="en-US" w:eastAsia="zh-CN"/>
        </w:rPr>
        <w:t>单位：</w:t>
      </w:r>
      <w:r>
        <w:rPr>
          <w:rFonts w:ascii="楷体_GB2312" w:eastAsia="楷体_GB2312" w:cs="Arial" w:hAnsi="楷体_GB2312" w:hint="eastAsia"/>
          <w:sz w:val="28"/>
          <w:lang w:val="en-US" w:eastAsia="zh-CN"/>
        </w:rPr>
        <w:t>乐亭县司法局</w:t>
      </w:r>
    </w:p>
    <w:tbl>
      <w:tblPr>
        <w:jc w:val="left"/>
        <w:tblInd w:w="0" w:type="dxa"/>
        <w:tblW w:w="14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795"/>
        <w:gridCol w:w="1530"/>
        <w:gridCol w:w="5865"/>
        <w:gridCol w:w="5025"/>
        <w:gridCol w:w="870"/>
      </w:tblGrid>
      <w:tr>
        <w:tc>
          <w:tcPr>
            <w:tcW w:w="795"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黑体" w:eastAsia="黑体" w:hAnsi="黑体" w:hint="eastAsia"/>
                <w:sz w:val="28"/>
                <w:vertAlign w:val="baseline"/>
                <w:lang w:val="en-US" w:eastAsia="zh-CN"/>
              </w:rPr>
            </w:pPr>
            <w:r>
              <w:rPr>
                <w:rFonts w:ascii="黑体" w:eastAsia="黑体" w:hAnsi="黑体" w:hint="eastAsia"/>
                <w:sz w:val="28"/>
                <w:vertAlign w:val="baseline"/>
                <w:lang w:val="en-US" w:eastAsia="zh-CN"/>
              </w:rPr>
              <w:t>序号</w:t>
            </w:r>
          </w:p>
        </w:tc>
        <w:tc>
          <w:tcPr>
            <w:tcW w:w="1530"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黑体" w:eastAsia="黑体" w:hAnsi="黑体" w:hint="eastAsia"/>
                <w:sz w:val="28"/>
                <w:vertAlign w:val="baseline"/>
                <w:lang w:val="en-US" w:eastAsia="zh-CN"/>
              </w:rPr>
            </w:pPr>
            <w:r>
              <w:rPr>
                <w:rFonts w:ascii="黑体" w:eastAsia="黑体" w:hAnsi="黑体" w:hint="eastAsia"/>
                <w:sz w:val="28"/>
                <w:vertAlign w:val="baseline"/>
                <w:lang w:val="en-US" w:eastAsia="zh-CN"/>
              </w:rPr>
              <w:t>权力事项</w:t>
            </w:r>
          </w:p>
        </w:tc>
        <w:tc>
          <w:tcPr>
            <w:tcW w:w="5865"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黑体" w:eastAsia="黑体" w:hAnsi="黑体" w:hint="eastAsia"/>
                <w:sz w:val="28"/>
                <w:vertAlign w:val="baseline"/>
                <w:lang w:val="en-US" w:eastAsia="zh-CN"/>
              </w:rPr>
            </w:pPr>
            <w:r>
              <w:rPr>
                <w:rFonts w:ascii="黑体" w:eastAsia="黑体" w:hAnsi="黑体" w:hint="eastAsia"/>
                <w:sz w:val="28"/>
                <w:vertAlign w:val="baseline"/>
                <w:lang w:val="en-US" w:eastAsia="zh-CN"/>
              </w:rPr>
              <w:t>责任事项依据</w:t>
            </w:r>
          </w:p>
        </w:tc>
        <w:tc>
          <w:tcPr>
            <w:tcW w:w="5025"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黑体" w:eastAsia="黑体" w:hAnsi="黑体" w:hint="eastAsia"/>
                <w:sz w:val="28"/>
                <w:vertAlign w:val="baseline"/>
                <w:lang w:val="en-US" w:eastAsia="zh-CN"/>
              </w:rPr>
            </w:pPr>
            <w:r>
              <w:rPr>
                <w:rFonts w:ascii="黑体" w:eastAsia="黑体" w:hAnsi="黑体" w:hint="eastAsia"/>
                <w:sz w:val="28"/>
                <w:vertAlign w:val="baseline"/>
                <w:lang w:val="en-US" w:eastAsia="zh-CN"/>
              </w:rPr>
              <w:t>追责情形依据</w:t>
            </w:r>
          </w:p>
        </w:tc>
        <w:tc>
          <w:tcPr>
            <w:tcW w:w="870"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黑体" w:eastAsia="黑体" w:hAnsi="黑体" w:hint="eastAsia"/>
                <w:sz w:val="28"/>
                <w:vertAlign w:val="baseline"/>
                <w:lang w:val="en-US" w:eastAsia="zh-CN"/>
              </w:rPr>
            </w:pPr>
            <w:r>
              <w:rPr>
                <w:rFonts w:ascii="黑体" w:eastAsia="黑体" w:hAnsi="黑体" w:hint="eastAsia"/>
                <w:sz w:val="28"/>
                <w:vertAlign w:val="baseline"/>
                <w:lang w:val="en-US" w:eastAsia="zh-CN"/>
              </w:rPr>
              <w:t>备注</w:t>
            </w:r>
          </w:p>
        </w:tc>
      </w:tr>
      <w:tr>
        <w:trPr>
          <w:trHeight w:val="179"/>
        </w:trPr>
        <w:tc>
          <w:tcPr>
            <w:tcW w:w="795"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宋体" w:eastAsia="宋体" w:cs="宋体" w:hAnsi="宋体" w:hint="eastAsia"/>
                <w:sz w:val="18"/>
                <w:szCs w:val="18"/>
                <w:vertAlign w:val="baseline"/>
                <w:lang w:val="en-US" w:eastAsia="zh-CN"/>
              </w:rPr>
            </w:pPr>
            <w:r>
              <w:rPr>
                <w:rFonts w:ascii="宋体" w:eastAsia="宋体" w:cs="宋体" w:hAnsi="宋体" w:hint="eastAsia"/>
                <w:sz w:val="18"/>
                <w:szCs w:val="18"/>
                <w:vertAlign w:val="baseline"/>
                <w:lang w:val="en-US" w:eastAsia="zh-CN"/>
              </w:rPr>
              <w:t>1</w:t>
            </w:r>
          </w:p>
        </w:tc>
        <w:tc>
          <w:tcPr>
            <w:tcW w:w="1530" w:type="dxa"/>
            <w:tcBorders>
              <w:left w:val="single" w:sz="4" w:space="0" w:color="auto"/>
            </w:tcBorders>
            <w:vAlign w:val="center"/>
          </w:tcPr>
          <w:p>
            <w:pPr>
              <w:bidi w:val="0"/>
              <w:rPr>
                <w:rFonts w:ascii="宋体" w:eastAsia="宋体" w:cs="宋体" w:hAnsi="宋体" w:hint="eastAsia"/>
                <w:sz w:val="18"/>
                <w:szCs w:val="18"/>
                <w:vertAlign w:val="baseline"/>
                <w:lang w:val="en-US" w:eastAsia="zh-CN"/>
              </w:rPr>
            </w:pPr>
            <w:r>
              <w:rPr>
                <w:rFonts w:ascii="宋体" w:eastAsia="宋体" w:cs="宋体" w:hAnsi="宋体" w:hint="eastAsia"/>
                <w:sz w:val="18"/>
                <w:szCs w:val="18"/>
                <w:lang w:val="en-US" w:eastAsia="zh-CN"/>
              </w:rPr>
              <w:t>对无证人员以律师名义从事法律服务业务的处罚</w:t>
            </w:r>
          </w:p>
        </w:tc>
        <w:tc>
          <w:tcPr>
            <w:tcW w:w="5865" w:type="dxa"/>
            <w:tcBorders>
              <w:left w:val="single" w:sz="4" w:space="0" w:color="auto"/>
            </w:tcBorders>
          </w:tcPr>
          <w:p>
            <w:pPr>
              <w:bidi w:val="0"/>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1-1.《司法行政机关行政处罚程序规定》（司法部令第51号）第二条“司法行政机关对公民、法人或者其他组织有违反律师管理、法律服务管理以及其他司法行政管理秩序的行为，有权依照本规定进行处罚”。</w:t>
            </w:r>
          </w:p>
          <w:p>
            <w:pPr>
              <w:bidi w:val="0"/>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1-2.《司法行政机关行政处罚程序规定》（司法部令第51号）第七条“司法行政机关实施行政处罚，实行社会监督的工作原则，对于公民投诉或者反映的案件，应当在作出是否立案决定后告知投诉人；对立案处理的投诉案件，应当办结后将处罚决定告知投诉人。对于应当给予行政处罚的案件，必须立案处理”。</w:t>
            </w:r>
          </w:p>
          <w:p>
            <w:pPr>
              <w:bidi w:val="0"/>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2-1.《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bidi w:val="0"/>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2-2《司法行政机关行政处罚程序规定》（司法部令第51号）第六条“司法行政机关实施行政处罚，应当充分保障当事人陈述权、申辩权等权利的行使。当事人对行政处罚不服的，有权依法申请行政复议或者提起行政诉讼。当事人因司法行政机关违法给予行政处罚受到损害的，有权提出国家赔偿要求”。</w:t>
            </w:r>
          </w:p>
          <w:p>
            <w:pPr>
              <w:bidi w:val="0"/>
              <w:rPr>
                <w:rFonts w:ascii="宋体" w:eastAsia="宋体" w:cs="宋体" w:hAnsi="宋体" w:hint="eastAsia"/>
                <w:sz w:val="18"/>
                <w:szCs w:val="18"/>
                <w:vertAlign w:val="baseline"/>
                <w:lang w:val="en-US" w:eastAsia="zh-CN"/>
              </w:rPr>
            </w:pPr>
            <w:r>
              <w:rPr>
                <w:rFonts w:ascii="宋体" w:eastAsia="宋体" w:cs="宋体" w:hAnsi="宋体" w:hint="eastAsia"/>
                <w:sz w:val="18"/>
                <w:szCs w:val="18"/>
                <w:lang w:val="en-US" w:eastAsia="zh-CN"/>
              </w:rPr>
              <w:t>3.《司法行政机关行政处罚程序规定》（司法部令第51号）</w:t>
            </w:r>
            <w:r>
              <w:rPr>
                <w:rFonts w:ascii="宋体" w:eastAsia="宋体" w:cs="宋体" w:hAnsi="宋体" w:hint="eastAsia"/>
                <w:sz w:val="18"/>
                <w:szCs w:val="18"/>
                <w:vertAlign w:val="baseline"/>
                <w:lang w:val="en-US" w:eastAsia="zh-CN"/>
              </w:rPr>
              <w:t>第十四条“案件调查终结后，业务工作部门应当根据案件的情况，分别作出如下处理：（一）违法事实不清或者证据不足的，报经机关负责人审批后作出不予处罚决定；（二）违法事实清楚，证据确实，按规定不需要听证的，提出处罚意见报机关负责人审批后作出予以处罚决定；（三）违法事实清楚，证据确实，应当予以处罚，但按照规定需要举行听证会的，提出处罚意见后送法制工作部门，由法制工作部门举行听证会”。</w:t>
            </w:r>
          </w:p>
          <w:p>
            <w:pPr>
              <w:bidi w:val="0"/>
              <w:rPr>
                <w:rFonts w:ascii="宋体" w:eastAsia="宋体" w:cs="宋体" w:hAnsi="宋体" w:hint="eastAsia"/>
                <w:sz w:val="18"/>
                <w:szCs w:val="18"/>
                <w:vertAlign w:val="baseline"/>
                <w:lang w:val="en-US" w:eastAsia="zh-CN"/>
              </w:rPr>
            </w:pPr>
            <w:r>
              <w:rPr>
                <w:rFonts w:ascii="宋体" w:eastAsia="宋体" w:cs="宋体" w:hAnsi="宋体" w:hint="eastAsia"/>
                <w:sz w:val="18"/>
                <w:szCs w:val="18"/>
                <w:vertAlign w:val="baseline"/>
                <w:lang w:val="en-US" w:eastAsia="zh-CN"/>
              </w:rPr>
              <w:t>4.《行政处罚法》第三十一条“行政机关在作出行政处罚决定之前，应当告知当事人作出行政处罚决定的事实、理由及依据，并告知当事人依法享有的权利”。</w:t>
            </w:r>
          </w:p>
          <w:p>
            <w:pPr>
              <w:bidi w:val="0"/>
              <w:rPr>
                <w:rFonts w:ascii="宋体" w:eastAsia="宋体" w:cs="宋体" w:hAnsi="宋体" w:hint="eastAsia"/>
                <w:sz w:val="18"/>
                <w:szCs w:val="18"/>
                <w:vertAlign w:val="baseline"/>
                <w:lang w:val="en-US" w:eastAsia="zh-CN"/>
              </w:rPr>
            </w:pPr>
            <w:r>
              <w:rPr>
                <w:rFonts w:ascii="宋体" w:eastAsia="宋体" w:cs="宋体" w:hAnsi="宋体" w:hint="eastAsia"/>
                <w:sz w:val="18"/>
                <w:szCs w:val="18"/>
                <w:vertAlign w:val="baseline"/>
                <w:lang w:val="en-US" w:eastAsia="zh-CN"/>
              </w:rPr>
              <w:t>5-1.《行政处罚法》第三十九条“行政机关依照本法第三十八条的规定给予行政处罚，应当制作行政处罚决定书。行政处罚决定书应当载明下列事项：……”</w:t>
            </w:r>
          </w:p>
          <w:p>
            <w:pPr>
              <w:bidi w:val="0"/>
              <w:rPr>
                <w:rFonts w:ascii="宋体" w:eastAsia="宋体" w:cs="宋体" w:hAnsi="宋体" w:hint="eastAsia"/>
                <w:sz w:val="18"/>
                <w:szCs w:val="18"/>
                <w:vertAlign w:val="baseline"/>
                <w:lang w:val="en-US" w:eastAsia="zh-CN"/>
              </w:rPr>
            </w:pPr>
            <w:r>
              <w:rPr>
                <w:rFonts w:ascii="宋体" w:eastAsia="宋体" w:cs="宋体" w:hAnsi="宋体" w:hint="eastAsia"/>
                <w:sz w:val="18"/>
                <w:szCs w:val="18"/>
                <w:vertAlign w:val="baseline"/>
                <w:lang w:val="en-US" w:eastAsia="zh-CN"/>
              </w:rPr>
              <w:t>5-2</w:t>
            </w:r>
            <w:r>
              <w:rPr>
                <w:rFonts w:ascii="宋体" w:eastAsia="宋体" w:cs="宋体" w:hAnsi="宋体" w:hint="eastAsia"/>
                <w:sz w:val="18"/>
                <w:szCs w:val="18"/>
                <w:lang w:val="en-US" w:eastAsia="zh-CN"/>
              </w:rPr>
              <w:t>《司法行政机关行政处罚程序规定》（司法部令第51号）</w:t>
            </w:r>
            <w:r>
              <w:rPr>
                <w:rFonts w:ascii="宋体" w:eastAsia="宋体" w:cs="宋体" w:hAnsi="宋体" w:hint="eastAsia"/>
                <w:sz w:val="18"/>
                <w:szCs w:val="18"/>
                <w:vertAlign w:val="baseline"/>
                <w:lang w:val="en-US" w:eastAsia="zh-CN"/>
              </w:rPr>
              <w:t>第二十三条“司法行政机关实施行政处罚必须出具行政处罚决定书。行政处罚决定书的内容必须符合</w:t>
            </w:r>
            <w:r>
              <w:rPr>
                <w:rFonts w:ascii="宋体" w:eastAsia="宋体" w:cs="宋体" w:hAnsi="宋体" w:hint="eastAsia"/>
                <w:sz w:val="18"/>
                <w:szCs w:val="18"/>
                <w:lang w:val="en-US" w:eastAsia="zh-CN"/>
              </w:rPr>
              <w:t>《中华人民共和国行政处罚法》</w:t>
            </w:r>
            <w:r>
              <w:rPr>
                <w:rFonts w:ascii="宋体" w:eastAsia="宋体" w:cs="宋体" w:hAnsi="宋体" w:hint="eastAsia"/>
                <w:sz w:val="18"/>
                <w:szCs w:val="18"/>
                <w:vertAlign w:val="baseline"/>
                <w:lang w:val="en-US" w:eastAsia="zh-CN"/>
              </w:rPr>
              <w:t>第三十九条规定的要求。”</w:t>
            </w:r>
          </w:p>
          <w:p>
            <w:pPr>
              <w:bidi w:val="0"/>
              <w:rPr>
                <w:rFonts w:ascii="宋体" w:eastAsia="宋体" w:cs="宋体" w:hAnsi="宋体" w:hint="eastAsia"/>
                <w:sz w:val="18"/>
                <w:szCs w:val="18"/>
                <w:vertAlign w:val="baseline"/>
                <w:lang w:val="en-US" w:eastAsia="zh-CN"/>
              </w:rPr>
            </w:pPr>
            <w:r>
              <w:rPr>
                <w:rFonts w:ascii="宋体" w:eastAsia="宋体" w:cs="宋体" w:hAnsi="宋体" w:hint="eastAsia"/>
                <w:sz w:val="18"/>
                <w:szCs w:val="18"/>
                <w:vertAlign w:val="baseline"/>
                <w:lang w:val="en-US" w:eastAsia="zh-CN"/>
              </w:rPr>
              <w:t>6-1.《行政处罚法》第四十条“行政处罚决定书应当在宣告后当场交付当事人；当事人不在场的，行政机关应当在七日内依照</w:t>
            </w:r>
            <w:bookmarkStart w:id="0" w:name="_GoBack"/>
            <w:bookmarkEnd w:id="0"/>
            <w:r>
              <w:rPr>
                <w:rFonts w:ascii="宋体" w:eastAsia="宋体" w:cs="宋体" w:hAnsi="宋体" w:hint="eastAsia"/>
                <w:sz w:val="18"/>
                <w:szCs w:val="18"/>
                <w:vertAlign w:val="baseline"/>
                <w:lang w:val="en-US" w:eastAsia="zh-CN"/>
              </w:rPr>
              <w:t>民事诉讼法的有关规定，将行政处罚决定书送达当事人。”</w:t>
            </w:r>
          </w:p>
          <w:p>
            <w:pPr>
              <w:bidi w:val="0"/>
              <w:rPr>
                <w:rFonts w:ascii="宋体" w:eastAsia="宋体" w:cs="宋体" w:hAnsi="宋体" w:hint="eastAsia"/>
                <w:sz w:val="18"/>
                <w:szCs w:val="18"/>
                <w:lang w:eastAsia="zh-CN"/>
              </w:rPr>
            </w:pPr>
            <w:r>
              <w:rPr>
                <w:rFonts w:ascii="宋体" w:eastAsia="宋体" w:cs="宋体" w:hAnsi="宋体" w:hint="eastAsia"/>
                <w:sz w:val="18"/>
                <w:szCs w:val="18"/>
                <w:vertAlign w:val="baseline"/>
                <w:lang w:val="en-US" w:eastAsia="zh-CN"/>
              </w:rPr>
              <w:t>6-2.</w:t>
            </w:r>
            <w:r>
              <w:rPr>
                <w:rFonts w:ascii="宋体" w:eastAsia="宋体" w:cs="宋体" w:hAnsi="宋体" w:hint="eastAsia"/>
                <w:sz w:val="18"/>
                <w:szCs w:val="18"/>
                <w:lang w:val="en-US" w:eastAsia="zh-CN"/>
              </w:rPr>
              <w:t>《司法行政机关行政处罚程序规定》（司法部令第51号）</w:t>
            </w:r>
            <w:r>
              <w:rPr>
                <w:rFonts w:ascii="宋体" w:eastAsia="宋体" w:cs="宋体" w:hAnsi="宋体" w:hint="eastAsia"/>
                <w:sz w:val="18"/>
                <w:szCs w:val="18"/>
              </w:rPr>
              <w:t>第二十六条</w:t>
            </w:r>
            <w:r>
              <w:rPr>
                <w:rFonts w:ascii="宋体" w:eastAsia="宋体" w:cs="宋体" w:hAnsi="宋体" w:hint="eastAsia"/>
                <w:sz w:val="18"/>
                <w:szCs w:val="18"/>
                <w:lang w:eastAsia="zh-CN"/>
              </w:rPr>
              <w:t>“</w:t>
            </w:r>
            <w:r>
              <w:rPr>
                <w:rFonts w:ascii="宋体" w:eastAsia="宋体" w:cs="宋体" w:hAnsi="宋体" w:hint="eastAsia"/>
                <w:sz w:val="18"/>
                <w:szCs w:val="18"/>
              </w:rPr>
              <w:t>行政处罚决定书的送达，依照《</w:t>
            </w:r>
            <w:r>
              <w:rPr>
                <w:rFonts w:ascii="宋体" w:eastAsia="宋体" w:cs="宋体" w:hAnsi="宋体" w:hint="eastAsia"/>
                <w:i w:val="0"/>
                <w:caps w:val="0"/>
                <w:smallCaps w:val="0"/>
                <w:color w:val="000000"/>
                <w:spacing w:val="0"/>
                <w:sz w:val="18"/>
                <w:szCs w:val="18"/>
                <w:u w:val="none"/>
                <w:shd w:val="clear" w:color="auto" w:fill="FFFFFF"/>
                <w14:textFill>
                  <w14:solidFill>
                    <w14:srgbClr w14:val="000000"/>
                  </w14:solidFill>
                </w14:textFill>
              </w:rPr>
              <w:t>民事诉讼法</w:t>
            </w:r>
            <w:r>
              <w:rPr>
                <w:rFonts w:ascii="宋体" w:eastAsia="宋体" w:cs="宋体" w:hAnsi="宋体" w:hint="eastAsia"/>
                <w:sz w:val="18"/>
                <w:szCs w:val="18"/>
              </w:rPr>
              <w:t>》规定的方式送达。</w:t>
            </w:r>
            <w:r>
              <w:rPr>
                <w:rFonts w:ascii="宋体" w:eastAsia="宋体" w:cs="宋体" w:hAnsi="宋体" w:hint="eastAsia"/>
                <w:sz w:val="18"/>
                <w:szCs w:val="18"/>
                <w:lang w:eastAsia="zh-CN"/>
              </w:rPr>
              <w:t>”</w:t>
            </w:r>
            <w:r>
              <w:rPr>
                <w:rFonts w:ascii="宋体" w:eastAsia="宋体" w:cs="宋体" w:hAnsi="宋体" w:hint="eastAsia"/>
                <w:sz w:val="18"/>
                <w:szCs w:val="18"/>
              </w:rPr>
              <w:t>　　</w:t>
            </w:r>
          </w:p>
          <w:p>
            <w:pPr>
              <w:bidi w:val="0"/>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7-1.《行政处罚法》第四十四条“行政处罚决定依法作出后，当事人应当在行政处罚决定的期限内，予以履行。”</w:t>
            </w:r>
          </w:p>
          <w:p>
            <w:pPr>
              <w:bidi w:val="0"/>
              <w:rPr>
                <w:rFonts w:ascii="宋体" w:eastAsia="宋体" w:cs="宋体" w:hAnsi="宋体" w:hint="eastAsia"/>
                <w:sz w:val="18"/>
                <w:szCs w:val="18"/>
                <w:vertAlign w:val="baseline"/>
                <w:lang w:val="en-US" w:eastAsia="zh-CN"/>
              </w:rPr>
            </w:pPr>
            <w:r>
              <w:rPr>
                <w:rFonts w:ascii="宋体" w:eastAsia="宋体" w:cs="宋体" w:hAnsi="宋体" w:hint="eastAsia"/>
                <w:sz w:val="18"/>
                <w:szCs w:val="18"/>
                <w:lang w:val="en-US" w:eastAsia="zh-CN"/>
              </w:rPr>
              <w:t>7-2.《司法行政机关行政处罚程序规定》（司法部令第51号）第二十八条“司法行政机关行政处罚的执行，应当严格按照《中华人民共和国行政处罚法》的规定进行。”</w:t>
            </w:r>
          </w:p>
        </w:tc>
        <w:tc>
          <w:tcPr>
            <w:tcW w:w="5025" w:type="dxa"/>
            <w:tcBorders>
              <w:left w:val="single" w:sz="4" w:space="0" w:color="auto"/>
            </w:tcBorders>
          </w:tcPr>
          <w:p>
            <w:pPr>
              <w:keepNext w:val="0"/>
              <w:keepLines w:val="0"/>
              <w:widowControl/>
              <w:numPr>
                <w:ilvl w:val="1"/>
                <w:numId w:val="1"/>
              </w:numPr>
              <w:suppressLineNumbers w:val="0"/>
              <w:jc w:val="left"/>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widowControl/>
              <w:numPr>
                <w:ilvl w:val="1"/>
                <w:numId w:val="1"/>
              </w:numPr>
              <w:suppressLineNumbers w:val="0"/>
              <w:jc w:val="left"/>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《行政机关公务员处分条例》第二条“行政机关公务员违反法律、法规、规章以及行政机关的决定和命令，应当承担纪律责任的，依照本条例给予处分。……”</w:t>
            </w:r>
          </w:p>
          <w:p>
            <w:pPr>
              <w:keepNext w:val="0"/>
              <w:keepLines w:val="0"/>
              <w:widowControl/>
              <w:suppressLineNumbers w:val="0"/>
              <w:jc w:val="left"/>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2.同1</w:t>
            </w:r>
          </w:p>
          <w:p>
            <w:pPr>
              <w:keepNext w:val="0"/>
              <w:keepLines w:val="0"/>
              <w:widowControl/>
              <w:suppressLineNumbers w:val="0"/>
              <w:jc w:val="left"/>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3.同1</w:t>
            </w:r>
          </w:p>
          <w:p>
            <w:pPr>
              <w:keepNext w:val="0"/>
              <w:keepLines w:val="0"/>
              <w:widowControl/>
              <w:suppressLineNumbers w:val="0"/>
              <w:jc w:val="left"/>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4.同1</w:t>
            </w:r>
          </w:p>
          <w:p>
            <w:pPr>
              <w:keepNext w:val="0"/>
              <w:keepLines w:val="0"/>
              <w:widowControl/>
              <w:suppressLineNumbers w:val="0"/>
              <w:jc w:val="left"/>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5.《行政处罚法》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pPr>
              <w:keepNext w:val="0"/>
              <w:keepLines w:val="0"/>
              <w:widowControl/>
              <w:suppressLineNumbers w:val="0"/>
              <w:jc w:val="left"/>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6.《行政处罚法》第五十七条“行政机关违反本法第四十六条的规定自行收缴罚款的，……由上级行政机关或者有关部门责令改正，对直接负责的主管人员和其他直接责任人员依法给予行政处分。”</w:t>
            </w:r>
          </w:p>
          <w:p>
            <w:pPr>
              <w:keepNext w:val="0"/>
              <w:keepLines w:val="0"/>
              <w:widowControl/>
              <w:suppressLineNumbers w:val="0"/>
              <w:jc w:val="left"/>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7.《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widowControl/>
              <w:suppressLineNumbers w:val="0"/>
              <w:jc w:val="left"/>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8.《行政处罚法》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widowControl/>
              <w:suppressLineNumbers w:val="0"/>
              <w:jc w:val="left"/>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9.《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widowControl/>
              <w:suppressLineNumbers w:val="0"/>
              <w:jc w:val="left"/>
              <w:rPr>
                <w:rFonts w:ascii="宋体" w:eastAsia="宋体" w:cs="宋体" w:hAnsi="宋体" w:hint="eastAsia"/>
                <w:sz w:val="18"/>
                <w:szCs w:val="18"/>
                <w:lang w:val="en-US" w:eastAsia="zh-CN"/>
              </w:rPr>
            </w:pPr>
          </w:p>
          <w:p>
            <w:pPr>
              <w:keepNext w:val="0"/>
              <w:keepLines w:val="0"/>
              <w:widowControl/>
              <w:suppressLineNumbers w:val="0"/>
              <w:jc w:val="left"/>
              <w:rPr>
                <w:rFonts w:ascii="宋体" w:eastAsia="宋体" w:cs="宋体" w:hAnsi="宋体" w:hint="eastAsia"/>
                <w:i w:val="0"/>
                <w:caps w:val="0"/>
                <w:smallCaps w:val="0"/>
                <w:color w:val="333333"/>
                <w:spacing w:val="0"/>
                <w:kern w:val="0"/>
                <w:sz w:val="18"/>
                <w:szCs w:val="18"/>
                <w:shd w:val="clear" w:color="auto" w:fill="FFFFFF"/>
                <w:lang w:val="en-US" w:eastAsia="zh-CN"/>
              </w:rPr>
            </w:pPr>
          </w:p>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both"/>
              <w:textAlignment w:val="auto"/>
              <w:rPr>
                <w:rFonts w:ascii="宋体" w:eastAsia="宋体" w:cs="宋体" w:hAnsi="宋体" w:hint="eastAsia"/>
                <w:sz w:val="18"/>
                <w:szCs w:val="18"/>
                <w:vertAlign w:val="baseline"/>
                <w:lang w:val="en-US" w:eastAsia="zh-CN"/>
              </w:rPr>
            </w:pPr>
          </w:p>
        </w:tc>
        <w:tc>
          <w:tcPr>
            <w:tcW w:w="870"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宋体" w:eastAsia="宋体" w:cs="宋体" w:hAnsi="宋体" w:hint="eastAsia"/>
                <w:sz w:val="18"/>
                <w:szCs w:val="18"/>
                <w:vertAlign w:val="baseline"/>
                <w:lang w:val="en-US" w:eastAsia="zh-CN"/>
              </w:rPr>
            </w:pPr>
          </w:p>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宋体" w:eastAsia="宋体" w:cs="宋体" w:hAnsi="宋体" w:hint="eastAsia"/>
                <w:sz w:val="18"/>
                <w:szCs w:val="18"/>
                <w:vertAlign w:val="baseline"/>
                <w:lang w:val="en-US" w:eastAsia="zh-CN"/>
              </w:rPr>
            </w:pPr>
          </w:p>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宋体" w:eastAsia="宋体" w:cs="宋体" w:hAnsi="宋体" w:hint="eastAsia"/>
                <w:sz w:val="18"/>
                <w:szCs w:val="18"/>
                <w:vertAlign w:val="baseline"/>
                <w:lang w:val="en-US" w:eastAsia="zh-CN"/>
              </w:rPr>
            </w:pPr>
          </w:p>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宋体" w:eastAsia="宋体" w:cs="宋体" w:hAnsi="宋体" w:hint="eastAsia"/>
                <w:sz w:val="18"/>
                <w:szCs w:val="18"/>
                <w:vertAlign w:val="baseline"/>
                <w:lang w:val="en-US" w:eastAsia="zh-CN"/>
              </w:rPr>
            </w:pPr>
          </w:p>
        </w:tc>
      </w:tr>
      <w:tr>
        <w:trPr>
          <w:trHeight w:val="4140"/>
        </w:trPr>
        <w:tc>
          <w:tcPr>
            <w:tcW w:w="795"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宋体" w:eastAsia="宋体" w:cs="宋体" w:hAnsi="宋体" w:hint="eastAsia"/>
                <w:sz w:val="18"/>
                <w:szCs w:val="18"/>
                <w:vertAlign w:val="baseline"/>
                <w:lang w:val="en-US" w:eastAsia="zh-CN"/>
              </w:rPr>
            </w:pPr>
            <w:r>
              <w:rPr>
                <w:rFonts w:ascii="宋体" w:eastAsia="宋体" w:cs="宋体" w:hAnsi="宋体" w:hint="eastAsia"/>
                <w:sz w:val="18"/>
                <w:szCs w:val="18"/>
                <w:vertAlign w:val="baseline"/>
                <w:lang w:val="en-US" w:eastAsia="zh-CN"/>
              </w:rPr>
              <w:t>2</w:t>
            </w:r>
          </w:p>
        </w:tc>
        <w:tc>
          <w:tcPr>
            <w:tcW w:w="1530" w:type="dxa"/>
            <w:tcBorders>
              <w:left w:val="single" w:sz="4" w:space="0" w:color="auto"/>
            </w:tcBorders>
            <w:vAlign w:val="center"/>
          </w:tcPr>
          <w:p>
            <w:pPr>
              <w:autoSpaceDN w:val="0"/>
              <w:spacing w:line="300" w:lineRule="exact"/>
              <w:jc w:val="center"/>
              <w:textAlignment w:val="center"/>
              <w:rPr>
                <w:rFonts w:ascii="宋体" w:eastAsia="宋体" w:cs="宋体" w:hAnsi="宋体" w:hint="eastAsia"/>
                <w:sz w:val="18"/>
                <w:szCs w:val="18"/>
                <w:lang w:eastAsia="zh-CN"/>
              </w:rPr>
            </w:pPr>
            <w:r>
              <w:rPr>
                <w:rFonts w:ascii="宋体" w:eastAsia="宋体" w:cs="宋体" w:hAnsi="宋体" w:hint="eastAsia"/>
                <w:color w:val="000000"/>
                <w:sz w:val="18"/>
                <w:szCs w:val="18"/>
              </w:rPr>
              <w:t>对</w:t>
            </w:r>
            <w:r>
              <w:rPr>
                <w:rFonts w:ascii="宋体" w:eastAsia="宋体" w:cs="宋体" w:hAnsi="宋体" w:hint="eastAsia"/>
                <w:color w:val="000000"/>
                <w:sz w:val="18"/>
                <w:szCs w:val="18"/>
                <w:lang w:eastAsia="zh-CN"/>
              </w:rPr>
              <w:t>基层</w:t>
            </w:r>
            <w:r>
              <w:rPr>
                <w:rFonts w:ascii="宋体" w:eastAsia="宋体" w:cs="宋体" w:hAnsi="宋体" w:hint="eastAsia"/>
                <w:color w:val="000000"/>
                <w:sz w:val="18"/>
                <w:szCs w:val="18"/>
              </w:rPr>
              <w:t>法律服务所及法律工作者的处罚</w:t>
            </w:r>
          </w:p>
        </w:tc>
        <w:tc>
          <w:tcPr>
            <w:tcW w:w="5865" w:type="dxa"/>
            <w:tcBorders>
              <w:left w:val="single" w:sz="4" w:space="0" w:color="auto"/>
            </w:tcBorders>
          </w:tcPr>
          <w:p>
            <w:pPr>
              <w:bidi w:val="0"/>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1-1.《司法行政机关行政处罚程序规定》（司法部令第51号）第二条“司法行政机关对公民、法人或者其他组织有违反律师管理、法律服务管理以及其他司法行政管理秩序的行为，有权依照本规定进行处罚”。</w:t>
            </w:r>
          </w:p>
          <w:p>
            <w:pPr>
              <w:bidi w:val="0"/>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1-2.《司法行政机关行政处罚程序规定》（司法部令第51号）第七条“司法行政机关实施行政处罚，实行社会监督的工作原则，对于公民投诉或者反映的案件，应当在作出是否立案决定后告知投诉人；对立案处理的投诉案件，应当办结后将处罚决定告知投诉人。对于应当给予行政处罚的案件，必须立案处理”。</w:t>
            </w:r>
          </w:p>
          <w:p>
            <w:pPr>
              <w:bidi w:val="0"/>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2-1.《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bidi w:val="0"/>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2-2《司法行政机关行政处罚程序规定》（司法部令第51号）第六条“司法行政机关实施行政处罚，应当充分保障当事人陈述权、申辩权等权利的行使。当事人对行政处罚不服的，有权依法申请行政复议或者提起行政诉讼。当事人因司法行政机关违法给予行政处罚受到损害的，有权提出国家赔偿要求”。</w:t>
            </w:r>
          </w:p>
          <w:p>
            <w:pPr>
              <w:bidi w:val="0"/>
              <w:rPr>
                <w:rFonts w:ascii="宋体" w:eastAsia="宋体" w:cs="宋体" w:hAnsi="宋体" w:hint="eastAsia"/>
                <w:sz w:val="18"/>
                <w:szCs w:val="18"/>
                <w:vertAlign w:val="baseline"/>
                <w:lang w:val="en-US" w:eastAsia="zh-CN"/>
              </w:rPr>
            </w:pPr>
            <w:r>
              <w:rPr>
                <w:rFonts w:ascii="宋体" w:eastAsia="宋体" w:cs="宋体" w:hAnsi="宋体" w:hint="eastAsia"/>
                <w:sz w:val="18"/>
                <w:szCs w:val="18"/>
                <w:lang w:val="en-US" w:eastAsia="zh-CN"/>
              </w:rPr>
              <w:t>3.《司法行政机关行政处罚程序规定》（司法部令第51号）</w:t>
            </w:r>
            <w:r>
              <w:rPr>
                <w:rFonts w:ascii="宋体" w:eastAsia="宋体" w:cs="宋体" w:hAnsi="宋体" w:hint="eastAsia"/>
                <w:sz w:val="18"/>
                <w:szCs w:val="18"/>
                <w:vertAlign w:val="baseline"/>
                <w:lang w:val="en-US" w:eastAsia="zh-CN"/>
              </w:rPr>
              <w:t>第十四条“案件调查终结后，业务工作部门应当根据案件的情况，分别作出如下处理：（一）违法事实不清或者证据不足的，报经机关负责人审批后作出不予处罚决定；（二）违法事实清楚，证据确实，按规定不需要听证的，提出处罚意见报机关负责人审批后作出予以处罚决定；（三）违法事实清楚，证据确实，应当予以处罚，但按照规定需要举行听证会的，提出处罚意见后送法制工作部门，由法制工作部门举行听证会”。</w:t>
            </w:r>
          </w:p>
          <w:p>
            <w:pPr>
              <w:bidi w:val="0"/>
              <w:rPr>
                <w:rFonts w:ascii="宋体" w:eastAsia="宋体" w:cs="宋体" w:hAnsi="宋体" w:hint="eastAsia"/>
                <w:sz w:val="18"/>
                <w:szCs w:val="18"/>
                <w:vertAlign w:val="baseline"/>
                <w:lang w:val="en-US" w:eastAsia="zh-CN"/>
              </w:rPr>
            </w:pPr>
            <w:r>
              <w:rPr>
                <w:rFonts w:ascii="宋体" w:eastAsia="宋体" w:cs="宋体" w:hAnsi="宋体" w:hint="eastAsia"/>
                <w:sz w:val="18"/>
                <w:szCs w:val="18"/>
                <w:vertAlign w:val="baseline"/>
                <w:lang w:val="en-US" w:eastAsia="zh-CN"/>
              </w:rPr>
              <w:t>4.《行政处罚法》第三十一条“行政机关在作出行政处罚决定之前，应当告知当事人作出行政处罚决定的事实、理由及依据，并告知当事人依法享有的权利”。</w:t>
            </w:r>
          </w:p>
          <w:p>
            <w:pPr>
              <w:bidi w:val="0"/>
              <w:rPr>
                <w:rFonts w:ascii="宋体" w:eastAsia="宋体" w:cs="宋体" w:hAnsi="宋体" w:hint="eastAsia"/>
                <w:sz w:val="18"/>
                <w:szCs w:val="18"/>
                <w:vertAlign w:val="baseline"/>
                <w:lang w:val="en-US" w:eastAsia="zh-CN"/>
              </w:rPr>
            </w:pPr>
            <w:r>
              <w:rPr>
                <w:rFonts w:ascii="宋体" w:eastAsia="宋体" w:cs="宋体" w:hAnsi="宋体" w:hint="eastAsia"/>
                <w:sz w:val="18"/>
                <w:szCs w:val="18"/>
                <w:vertAlign w:val="baseline"/>
                <w:lang w:val="en-US" w:eastAsia="zh-CN"/>
              </w:rPr>
              <w:t>5-1.《行政处罚法》第三十九条“行政机关依照本法第三十八条的规定给予行政处罚，应当制作行政处罚决定书。行政处罚决定书应当载明下列事项：……”</w:t>
            </w:r>
          </w:p>
          <w:p>
            <w:pPr>
              <w:bidi w:val="0"/>
              <w:rPr>
                <w:rFonts w:ascii="宋体" w:eastAsia="宋体" w:cs="宋体" w:hAnsi="宋体" w:hint="eastAsia"/>
                <w:sz w:val="18"/>
                <w:szCs w:val="18"/>
                <w:vertAlign w:val="baseline"/>
                <w:lang w:val="en-US" w:eastAsia="zh-CN"/>
              </w:rPr>
            </w:pPr>
            <w:r>
              <w:rPr>
                <w:rFonts w:ascii="宋体" w:eastAsia="宋体" w:cs="宋体" w:hAnsi="宋体" w:hint="eastAsia"/>
                <w:sz w:val="18"/>
                <w:szCs w:val="18"/>
                <w:vertAlign w:val="baseline"/>
                <w:lang w:val="en-US" w:eastAsia="zh-CN"/>
              </w:rPr>
              <w:t>5-2</w:t>
            </w:r>
            <w:r>
              <w:rPr>
                <w:rFonts w:ascii="宋体" w:eastAsia="宋体" w:cs="宋体" w:hAnsi="宋体" w:hint="eastAsia"/>
                <w:sz w:val="18"/>
                <w:szCs w:val="18"/>
                <w:lang w:val="en-US" w:eastAsia="zh-CN"/>
              </w:rPr>
              <w:t>《司法行政机关行政处罚程序规定》（司法部令第51号）</w:t>
            </w:r>
            <w:r>
              <w:rPr>
                <w:rFonts w:ascii="宋体" w:eastAsia="宋体" w:cs="宋体" w:hAnsi="宋体" w:hint="eastAsia"/>
                <w:sz w:val="18"/>
                <w:szCs w:val="18"/>
                <w:vertAlign w:val="baseline"/>
                <w:lang w:val="en-US" w:eastAsia="zh-CN"/>
              </w:rPr>
              <w:t>第二十三条“司法行政机关实施行政处罚必须出具行政处罚决定书。行政处罚决定书的内容必须符合《</w:t>
            </w:r>
            <w:r>
              <w:rPr>
                <w:rFonts w:ascii="宋体" w:eastAsia="宋体" w:cs="宋体" w:hAnsi="宋体" w:hint="eastAsia"/>
                <w:sz w:val="18"/>
                <w:szCs w:val="18"/>
                <w:lang w:val="en-US" w:eastAsia="zh-CN"/>
              </w:rPr>
              <w:t>中华人民共和国行政处罚法</w:t>
            </w:r>
            <w:r>
              <w:rPr>
                <w:rFonts w:ascii="宋体" w:eastAsia="宋体" w:cs="宋体" w:hAnsi="宋体" w:hint="eastAsia"/>
                <w:sz w:val="18"/>
                <w:szCs w:val="18"/>
                <w:vertAlign w:val="baseline"/>
                <w:lang w:val="en-US" w:eastAsia="zh-CN"/>
              </w:rPr>
              <w:t>》第三十九条规定的要求。”</w:t>
            </w:r>
          </w:p>
          <w:p>
            <w:pPr>
              <w:bidi w:val="0"/>
              <w:rPr>
                <w:rFonts w:ascii="宋体" w:eastAsia="宋体" w:cs="宋体" w:hAnsi="宋体" w:hint="eastAsia"/>
                <w:sz w:val="18"/>
                <w:szCs w:val="18"/>
                <w:vertAlign w:val="baseline"/>
                <w:lang w:val="en-US" w:eastAsia="zh-CN"/>
              </w:rPr>
            </w:pPr>
            <w:r>
              <w:rPr>
                <w:rFonts w:ascii="宋体" w:eastAsia="宋体" w:cs="宋体" w:hAnsi="宋体" w:hint="eastAsia"/>
                <w:sz w:val="18"/>
                <w:szCs w:val="18"/>
                <w:vertAlign w:val="baseline"/>
                <w:lang w:val="en-US" w:eastAsia="zh-CN"/>
              </w:rPr>
              <w:t>6-1.《行政处罚法》第四十条“行政处罚决定书应当在宣告后当场交付当事人；当事人不在场的，行政机关应当在七日内依照民事诉讼法的有关规定，将行政处罚决定书送达当事人。”</w:t>
            </w:r>
          </w:p>
          <w:p>
            <w:pPr>
              <w:bidi w:val="0"/>
              <w:rPr>
                <w:rFonts w:ascii="宋体" w:eastAsia="宋体" w:cs="宋体" w:hAnsi="宋体" w:hint="eastAsia"/>
                <w:sz w:val="18"/>
                <w:szCs w:val="18"/>
                <w:lang w:eastAsia="zh-CN"/>
              </w:rPr>
            </w:pPr>
            <w:r>
              <w:rPr>
                <w:rFonts w:ascii="宋体" w:eastAsia="宋体" w:cs="宋体" w:hAnsi="宋体" w:hint="eastAsia"/>
                <w:sz w:val="18"/>
                <w:szCs w:val="18"/>
                <w:vertAlign w:val="baseline"/>
                <w:lang w:val="en-US" w:eastAsia="zh-CN"/>
              </w:rPr>
              <w:t>6-2.</w:t>
            </w:r>
            <w:r>
              <w:rPr>
                <w:rFonts w:ascii="宋体" w:eastAsia="宋体" w:cs="宋体" w:hAnsi="宋体" w:hint="eastAsia"/>
                <w:sz w:val="18"/>
                <w:szCs w:val="18"/>
                <w:lang w:val="en-US" w:eastAsia="zh-CN"/>
              </w:rPr>
              <w:t>《司法行政机关行政处罚程序规定》（司法部令第51号）</w:t>
            </w:r>
            <w:r>
              <w:rPr>
                <w:rFonts w:ascii="宋体" w:eastAsia="宋体" w:cs="宋体" w:hAnsi="宋体" w:hint="eastAsia"/>
                <w:sz w:val="18"/>
                <w:szCs w:val="18"/>
              </w:rPr>
              <w:t>第二十六条</w:t>
            </w:r>
            <w:r>
              <w:rPr>
                <w:rFonts w:ascii="宋体" w:eastAsia="宋体" w:cs="宋体" w:hAnsi="宋体" w:hint="eastAsia"/>
                <w:sz w:val="18"/>
                <w:szCs w:val="18"/>
                <w:lang w:eastAsia="zh-CN"/>
              </w:rPr>
              <w:t>“</w:t>
            </w:r>
            <w:r>
              <w:rPr>
                <w:rFonts w:ascii="宋体" w:eastAsia="宋体" w:cs="宋体" w:hAnsi="宋体" w:hint="eastAsia"/>
                <w:sz w:val="18"/>
                <w:szCs w:val="18"/>
              </w:rPr>
              <w:t>行政处罚决定书的送达，依照《</w:t>
            </w:r>
            <w:r>
              <w:rPr>
                <w:rFonts w:ascii="宋体" w:eastAsia="宋体" w:cs="宋体" w:hAnsi="宋体" w:hint="eastAsia"/>
                <w:i w:val="0"/>
                <w:caps w:val="0"/>
                <w:smallCaps w:val="0"/>
                <w:color w:val="000000"/>
                <w:spacing w:val="0"/>
                <w:sz w:val="18"/>
                <w:szCs w:val="18"/>
                <w:u w:val="none"/>
                <w:shd w:val="clear" w:color="auto" w:fill="FFFFFF"/>
                <w14:textFill>
                  <w14:solidFill>
                    <w14:srgbClr w14:val="000000"/>
                  </w14:solidFill>
                </w14:textFill>
              </w:rPr>
              <w:t>民事诉讼法</w:t>
            </w:r>
            <w:r>
              <w:rPr>
                <w:rFonts w:ascii="宋体" w:eastAsia="宋体" w:cs="宋体" w:hAnsi="宋体" w:hint="eastAsia"/>
                <w:sz w:val="18"/>
                <w:szCs w:val="18"/>
              </w:rPr>
              <w:t>》规定的方式送达。</w:t>
            </w:r>
            <w:r>
              <w:rPr>
                <w:rFonts w:ascii="宋体" w:eastAsia="宋体" w:cs="宋体" w:hAnsi="宋体" w:hint="eastAsia"/>
                <w:sz w:val="18"/>
                <w:szCs w:val="18"/>
                <w:lang w:eastAsia="zh-CN"/>
              </w:rPr>
              <w:t>”</w:t>
            </w:r>
            <w:r>
              <w:rPr>
                <w:rFonts w:ascii="宋体" w:eastAsia="宋体" w:cs="宋体" w:hAnsi="宋体" w:hint="eastAsia"/>
                <w:sz w:val="18"/>
                <w:szCs w:val="18"/>
              </w:rPr>
              <w:t>　　</w:t>
            </w:r>
          </w:p>
          <w:p>
            <w:pPr>
              <w:bidi w:val="0"/>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7-1.《行政处罚法》第四十四条“行政处罚决定依法作出后，当事人应当在行政处罚决定的期限内，予以履行。”</w:t>
            </w:r>
          </w:p>
          <w:p>
            <w:pPr>
              <w:bidi w:val="0"/>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7-2.《司法行政机关行政处罚程序规定》（司法部令第51号）第二十八条“司法行政机关行政处罚的执行，应当严格按照《中华人民共和国行政处罚法》的规定进行。”</w:t>
            </w:r>
          </w:p>
        </w:tc>
        <w:tc>
          <w:tcPr>
            <w:tcW w:w="5025" w:type="dxa"/>
            <w:tcBorders>
              <w:left w:val="single" w:sz="4" w:space="0" w:color="auto"/>
            </w:tcBorders>
          </w:tcPr>
          <w:p>
            <w:pPr>
              <w:keepNext w:val="0"/>
              <w:keepLines w:val="0"/>
              <w:widowControl/>
              <w:numPr>
                <w:ilvl w:val="1"/>
                <w:numId w:val="1"/>
              </w:numPr>
              <w:suppressLineNumbers w:val="0"/>
              <w:jc w:val="left"/>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widowControl/>
              <w:numPr>
                <w:ilvl w:val="1"/>
                <w:numId w:val="1"/>
              </w:numPr>
              <w:suppressLineNumbers w:val="0"/>
              <w:jc w:val="left"/>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《行政机关公务员处分条例》第二条“行政机关公务员违反法律、法规、规章以及行政机关的决定和命令，应当承担纪律责任的，依照本条例给予处分。……”</w:t>
            </w:r>
          </w:p>
          <w:p>
            <w:pPr>
              <w:keepNext w:val="0"/>
              <w:keepLines w:val="0"/>
              <w:widowControl/>
              <w:suppressLineNumbers w:val="0"/>
              <w:jc w:val="left"/>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2.同1</w:t>
            </w:r>
          </w:p>
          <w:p>
            <w:pPr>
              <w:keepNext w:val="0"/>
              <w:keepLines w:val="0"/>
              <w:widowControl/>
              <w:suppressLineNumbers w:val="0"/>
              <w:jc w:val="left"/>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3.同1</w:t>
            </w:r>
          </w:p>
          <w:p>
            <w:pPr>
              <w:keepNext w:val="0"/>
              <w:keepLines w:val="0"/>
              <w:widowControl/>
              <w:suppressLineNumbers w:val="0"/>
              <w:jc w:val="left"/>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4.同1</w:t>
            </w:r>
          </w:p>
          <w:p>
            <w:pPr>
              <w:keepNext w:val="0"/>
              <w:keepLines w:val="0"/>
              <w:widowControl/>
              <w:suppressLineNumbers w:val="0"/>
              <w:jc w:val="left"/>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5.《行政处罚法》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pPr>
              <w:keepNext w:val="0"/>
              <w:keepLines w:val="0"/>
              <w:widowControl/>
              <w:suppressLineNumbers w:val="0"/>
              <w:jc w:val="left"/>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6.《行政处罚法》第五十七条“行政机关违反本法第四十六条的规定自行收缴罚款的，……由上级行政机关或者有关部门责令改正，对直接负责的主管人员和其他直接责任人员依法给予行政处分。”</w:t>
            </w:r>
          </w:p>
          <w:p>
            <w:pPr>
              <w:keepNext w:val="0"/>
              <w:keepLines w:val="0"/>
              <w:widowControl/>
              <w:suppressLineNumbers w:val="0"/>
              <w:jc w:val="left"/>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7.《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widowControl/>
              <w:suppressLineNumbers w:val="0"/>
              <w:jc w:val="left"/>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8.《行政处罚法》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widowControl/>
              <w:suppressLineNumbers w:val="0"/>
              <w:jc w:val="left"/>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9.《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widowControl/>
              <w:suppressLineNumbers w:val="0"/>
              <w:jc w:val="left"/>
              <w:rPr>
                <w:rFonts w:ascii="宋体" w:eastAsia="宋体" w:cs="宋体" w:hAnsi="宋体" w:hint="eastAsia"/>
                <w:sz w:val="18"/>
                <w:szCs w:val="18"/>
                <w:lang w:val="en-US" w:eastAsia="zh-CN"/>
              </w:rPr>
            </w:pPr>
          </w:p>
          <w:p>
            <w:pPr>
              <w:keepNext w:val="0"/>
              <w:keepLines w:val="0"/>
              <w:widowControl/>
              <w:suppressLineNumbers w:val="0"/>
              <w:jc w:val="left"/>
              <w:rPr>
                <w:rFonts w:ascii="宋体" w:eastAsia="宋体" w:cs="宋体" w:hAnsi="宋体" w:hint="eastAsia"/>
                <w:i w:val="0"/>
                <w:caps w:val="0"/>
                <w:smallCaps w:val="0"/>
                <w:color w:val="333333"/>
                <w:spacing w:val="0"/>
                <w:kern w:val="0"/>
                <w:sz w:val="18"/>
                <w:szCs w:val="18"/>
                <w:shd w:val="clear" w:color="auto" w:fill="FFFFFF"/>
                <w:lang w:val="en-US" w:eastAsia="zh-CN"/>
              </w:rPr>
            </w:pPr>
          </w:p>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both"/>
              <w:textAlignment w:val="auto"/>
              <w:rPr>
                <w:rFonts w:ascii="宋体" w:eastAsia="宋体" w:cs="宋体" w:hAnsi="宋体" w:hint="eastAsia"/>
                <w:sz w:val="18"/>
                <w:szCs w:val="18"/>
                <w:lang w:val="en-US" w:eastAsia="zh-CN"/>
              </w:rPr>
            </w:pPr>
          </w:p>
        </w:tc>
        <w:tc>
          <w:tcPr>
            <w:tcW w:w="870"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宋体" w:eastAsia="宋体" w:cs="宋体" w:hAnsi="宋体" w:hint="eastAsia"/>
                <w:sz w:val="18"/>
                <w:szCs w:val="18"/>
                <w:vertAlign w:val="baseline"/>
                <w:lang w:val="en-US" w:eastAsia="zh-CN"/>
              </w:rPr>
            </w:pPr>
          </w:p>
        </w:tc>
      </w:tr>
      <w:tr>
        <w:tc>
          <w:tcPr>
            <w:tcW w:w="795"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宋体" w:eastAsia="宋体" w:cs="宋体" w:hAnsi="宋体"/>
                <w:sz w:val="18"/>
                <w:szCs w:val="18"/>
                <w:vertAlign w:val="baseline"/>
                <w:lang w:val="en-US" w:eastAsia="zh-CN"/>
              </w:rPr>
            </w:pPr>
            <w:r>
              <w:rPr>
                <w:rFonts w:ascii="宋体" w:eastAsia="宋体" w:cs="宋体" w:hAnsi="宋体" w:hint="eastAsia"/>
                <w:sz w:val="18"/>
                <w:szCs w:val="18"/>
                <w:vertAlign w:val="baseline"/>
                <w:lang w:val="en-US" w:eastAsia="zh-CN"/>
              </w:rPr>
              <w:t>3</w:t>
            </w:r>
          </w:p>
        </w:tc>
        <w:tc>
          <w:tcPr>
            <w:tcW w:w="1530" w:type="dxa"/>
            <w:tcBorders>
              <w:left w:val="single" w:sz="4" w:space="0" w:color="auto"/>
            </w:tcBorders>
            <w:vAlign w:val="center"/>
          </w:tcPr>
          <w:p>
            <w:pPr>
              <w:bidi w:val="0"/>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对律师事务所的监督管理</w:t>
            </w:r>
          </w:p>
        </w:tc>
        <w:tc>
          <w:tcPr>
            <w:tcW w:w="5865" w:type="dxa"/>
            <w:tcBorders>
              <w:left w:val="single" w:sz="4" w:space="0" w:color="auto"/>
            </w:tcBorders>
          </w:tcPr>
          <w:p>
            <w:pPr>
              <w:numPr>
                <w:ilvl w:val="1"/>
                <w:numId w:val="2"/>
              </w:numPr>
              <w:bidi w:val="0"/>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《中华人民共和国律师法》第四条“司法行政部门依照本法对律师、律师事务所和律师协会进行监督、指导。”</w:t>
            </w:r>
          </w:p>
          <w:p>
            <w:pPr>
              <w:bidi w:val="0"/>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1-2《律师事务所管理办法》（司法部令142号）第五条“司法行政机关依照《律师法》和本办法的规定对律师事务所进行监督、指导。</w:t>
            </w:r>
            <w:r>
              <w:rPr>
                <w:rFonts w:ascii="宋体" w:eastAsia="宋体" w:cs="宋体" w:hAnsi="宋体" w:hint="eastAsia"/>
                <w:sz w:val="18"/>
                <w:szCs w:val="18"/>
                <w:vertAlign w:val="baseline"/>
                <w:lang w:val="en-US" w:eastAsia="zh-CN"/>
              </w:rPr>
              <w:t>……</w:t>
            </w:r>
            <w:r>
              <w:rPr>
                <w:rFonts w:ascii="宋体" w:eastAsia="宋体" w:cs="宋体" w:hAnsi="宋体" w:hint="eastAsia"/>
                <w:sz w:val="18"/>
                <w:szCs w:val="18"/>
                <w:lang w:val="en-US" w:eastAsia="zh-CN"/>
              </w:rPr>
              <w:t>”</w:t>
            </w:r>
          </w:p>
          <w:p>
            <w:pPr>
              <w:bidi w:val="0"/>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2-1..《中华人民共和国律师法》第五十二条“县级人民政府司法行政部门对律师和律师事务所的执业活动实施日常监督管理，对检查发现的问题，责令改正；对当事人的投诉，应当及时进行调查。县级人民政府司法行政部门认为律师和律师事务所的违法行为应当给予行政处罚的，应当向上级司法行政部门提出处罚建议。”</w:t>
            </w:r>
          </w:p>
          <w:p>
            <w:pPr>
              <w:bidi w:val="0"/>
              <w:rPr>
                <w:rFonts w:ascii="宋体" w:eastAsia="宋体" w:cs="宋体" w:hAnsi="宋体" w:hint="eastAsia"/>
                <w:sz w:val="18"/>
                <w:szCs w:val="18"/>
                <w:vertAlign w:val="baseline"/>
                <w:lang w:val="en-US" w:eastAsia="zh-CN"/>
              </w:rPr>
            </w:pPr>
            <w:r>
              <w:rPr>
                <w:rFonts w:ascii="宋体" w:eastAsia="宋体" w:cs="宋体" w:hAnsi="宋体" w:hint="eastAsia"/>
                <w:sz w:val="18"/>
                <w:szCs w:val="18"/>
                <w:lang w:val="en-US" w:eastAsia="zh-CN"/>
              </w:rPr>
              <w:t>2-2.《律师事务所管理办法》（司法部令142号）第六十四条“县级司法行政机关对本行政区域内的律师事务所的执业活动进行日常监督管理，履行下列职责：（一）监督律师事务所在开展业务活动过程中遵守法律、法规、规章的情况；（二）监督律师事务所执业和内部管理制度的建立和实施情况；（三）监督律师事务所保持法定设立条件以及变更报批或者备案的执行情况；（四）监督律师事务所进行清算、申请注销的情况；（五）监督律师事务所开展律师执业年度考核和上报年度执业总结的情况；（六）受理对律师事务所的举报和投诉；（七）监督律师事务所履行行政处罚和实行整改的情况；（八）司法部和省、自治区、直辖市司法行政机关规定的其他职责。</w:t>
            </w:r>
            <w:r>
              <w:rPr>
                <w:rFonts w:ascii="宋体" w:eastAsia="宋体" w:cs="宋体" w:hAnsi="宋体" w:hint="eastAsia"/>
                <w:sz w:val="18"/>
                <w:szCs w:val="18"/>
                <w:vertAlign w:val="baseline"/>
                <w:lang w:val="en-US" w:eastAsia="zh-CN"/>
              </w:rPr>
              <w:t>县级司法行政机关在开展日常监督管理过程中，对发现、查实的律师事务所在执业和内部管理方面存在的问题，应当对律师事务所负责人或者有关律师进行警示谈话，责令改正，并对其整改情况进行监督；对律师事务所的违法行为认为依法应当给予行政处罚的，应当向上一级司法行政机关提出处罚建议；认为需要给予行业惩戒的，移送律师协会处理。”</w:t>
            </w:r>
          </w:p>
          <w:p>
            <w:pPr>
              <w:bidi w:val="0"/>
              <w:rPr>
                <w:rFonts w:ascii="宋体" w:eastAsia="宋体" w:cs="宋体" w:hAnsi="宋体" w:hint="eastAsia"/>
                <w:sz w:val="18"/>
                <w:szCs w:val="18"/>
                <w:vertAlign w:val="baseline"/>
                <w:lang w:val="en-US" w:eastAsia="zh-CN"/>
              </w:rPr>
            </w:pPr>
            <w:r>
              <w:rPr>
                <w:rFonts w:ascii="宋体" w:eastAsia="宋体" w:cs="宋体" w:hAnsi="宋体" w:hint="eastAsia"/>
                <w:sz w:val="18"/>
                <w:szCs w:val="18"/>
                <w:vertAlign w:val="baseline"/>
                <w:lang w:val="en-US" w:eastAsia="zh-CN"/>
              </w:rPr>
              <w:t>3.同2</w:t>
            </w:r>
          </w:p>
          <w:p>
            <w:pPr>
              <w:bidi w:val="0"/>
              <w:rPr>
                <w:rFonts w:ascii="宋体" w:eastAsia="宋体" w:cs="宋体" w:hAnsi="宋体" w:hint="eastAsia"/>
                <w:sz w:val="18"/>
                <w:szCs w:val="18"/>
                <w:vertAlign w:val="baseline"/>
                <w:lang w:val="en-US" w:eastAsia="zh-CN"/>
              </w:rPr>
            </w:pPr>
            <w:r>
              <w:rPr>
                <w:rFonts w:ascii="宋体" w:eastAsia="宋体" w:cs="宋体" w:hAnsi="宋体" w:hint="eastAsia"/>
                <w:sz w:val="18"/>
                <w:szCs w:val="18"/>
                <w:vertAlign w:val="baseline"/>
                <w:lang w:val="en-US" w:eastAsia="zh-CN"/>
              </w:rPr>
              <w:t>4.同2</w:t>
            </w:r>
          </w:p>
          <w:p>
            <w:pPr>
              <w:bidi w:val="0"/>
              <w:rPr>
                <w:rFonts w:ascii="宋体" w:eastAsia="宋体" w:cs="宋体" w:hAnsi="宋体" w:hint="eastAsia"/>
                <w:sz w:val="18"/>
                <w:szCs w:val="18"/>
                <w:lang w:val="en-US" w:eastAsia="zh-CN"/>
              </w:rPr>
            </w:pPr>
          </w:p>
        </w:tc>
        <w:tc>
          <w:tcPr>
            <w:tcW w:w="5025" w:type="dxa"/>
            <w:tcBorders>
              <w:left w:val="single" w:sz="4" w:space="0" w:color="auto"/>
            </w:tcBorders>
          </w:tcPr>
          <w:p>
            <w:pPr>
              <w:bidi w:val="0"/>
              <w:jc w:val="both"/>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1-1.《中华人民共和国公务员法》第五十九条“公务员应当遵纪守法，不得有下列行为：（四）不担当，不作为，玩忽职守，贻误工作；”</w:t>
            </w:r>
          </w:p>
          <w:p>
            <w:pPr>
              <w:bidi w:val="0"/>
              <w:jc w:val="both"/>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1-2.《行政机关公务员处分条例》第二十条“有下列行为之一的，给予记过、记大过处分；情节较重的，给予降级或者撤职处分；情节严重的，给予开除处分：（四）其他玩忽职守、贻误工作的行为。”</w:t>
            </w:r>
          </w:p>
          <w:p>
            <w:pPr>
              <w:bidi w:val="0"/>
              <w:jc w:val="both"/>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2.同1</w:t>
            </w:r>
          </w:p>
          <w:p>
            <w:pPr>
              <w:bidi w:val="0"/>
              <w:jc w:val="both"/>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3-1.《中华人民共和国律师法》第五十六条“司法行政部门工作人员违反本法规定，滥用职权、玩忽职守，构成犯罪的，依法追究刑事责任；尚不构成犯罪的，依法给予处分。”</w:t>
            </w:r>
          </w:p>
          <w:p>
            <w:pPr>
              <w:bidi w:val="0"/>
              <w:jc w:val="both"/>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3-2.《律师事务所管理办法》（司法部令142号）第七十六条“司法行政机关工作人员在律师事务所设立许可和实施监督管理活动中，滥用职权、玩忽职守，构成犯罪的，依法追究刑事责任；尚不构成犯罪的，依法给予行政处分。”</w:t>
            </w:r>
          </w:p>
          <w:p>
            <w:pPr>
              <w:bidi w:val="0"/>
              <w:jc w:val="both"/>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4.同1</w:t>
            </w:r>
          </w:p>
        </w:tc>
        <w:tc>
          <w:tcPr>
            <w:tcW w:w="870"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宋体" w:eastAsia="宋体" w:cs="宋体" w:hAnsi="宋体" w:hint="eastAsia"/>
                <w:sz w:val="18"/>
                <w:szCs w:val="18"/>
                <w:vertAlign w:val="baseline"/>
                <w:lang w:val="en-US" w:eastAsia="zh-CN"/>
              </w:rPr>
            </w:pPr>
          </w:p>
        </w:tc>
      </w:tr>
      <w:tr>
        <w:trPr>
          <w:trHeight w:val="8188"/>
        </w:trPr>
        <w:tc>
          <w:tcPr>
            <w:tcW w:w="795" w:type="dxa"/>
            <w:vAlign w:val="center"/>
          </w:tcPr>
          <w:p>
            <w:pPr>
              <w:bidi w:val="0"/>
              <w:jc w:val="center"/>
              <w:rPr>
                <w:rFonts w:ascii="宋体" w:eastAsia="宋体" w:cs="宋体" w:hAnsi="宋体"/>
                <w:sz w:val="18"/>
                <w:szCs w:val="18"/>
                <w:lang w:val="en-US" w:eastAsia="zh-CN"/>
              </w:rPr>
            </w:pPr>
            <w:r>
              <w:rPr>
                <w:rFonts w:ascii="宋体" w:eastAsia="宋体" w:cs="宋体" w:hAnsi="宋体" w:hint="eastAsia"/>
                <w:sz w:val="18"/>
                <w:szCs w:val="18"/>
                <w:lang w:val="en-US" w:eastAsia="zh-CN"/>
              </w:rPr>
              <w:t>4</w:t>
            </w:r>
          </w:p>
        </w:tc>
        <w:tc>
          <w:tcPr>
            <w:tcW w:w="1530" w:type="dxa"/>
            <w:tcBorders>
              <w:left w:val="single" w:sz="4" w:space="0" w:color="auto"/>
            </w:tcBorders>
            <w:vAlign w:val="center"/>
          </w:tcPr>
          <w:p>
            <w:pPr>
              <w:bidi w:val="0"/>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对律师的监督管理</w:t>
            </w:r>
          </w:p>
        </w:tc>
        <w:tc>
          <w:tcPr>
            <w:tcW w:w="5865" w:type="dxa"/>
            <w:tcBorders>
              <w:left w:val="single" w:sz="4" w:space="0" w:color="auto"/>
            </w:tcBorders>
          </w:tcPr>
          <w:p>
            <w:pPr>
              <w:bidi w:val="0"/>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1-1.《中华人民共和国律师法》第四条“司法行政部门依照本法对律师、律师事务所和律师协会进行监督、指导。”</w:t>
            </w:r>
          </w:p>
          <w:p>
            <w:pPr>
              <w:bidi w:val="0"/>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1-2.《律师执业管理办法》（司法部令134号）第四条“司法行政机关依照《律师法》和本办法的规定对律师执业进行监督、指导。</w:t>
            </w:r>
            <w:r>
              <w:rPr>
                <w:rFonts w:ascii="宋体" w:eastAsia="宋体" w:cs="宋体" w:hAnsi="宋体" w:hint="eastAsia"/>
                <w:sz w:val="18"/>
                <w:szCs w:val="18"/>
                <w:vertAlign w:val="baseline"/>
                <w:lang w:val="en-US" w:eastAsia="zh-CN"/>
              </w:rPr>
              <w:t>……”</w:t>
            </w:r>
          </w:p>
          <w:p>
            <w:pPr>
              <w:bidi w:val="0"/>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2-1.《中华人民共和国律师法》第五十二条“县级人民政府司法行政部门对律师和律师事务所的执业活动实施日常监督管理，对检查发现的问题，责令改正；对当事人的投诉，应当及时进行调查。县级人民政府司法行政部门认为律师和律师事务所的违法行为应当给予行政处罚的，应当向上级司法行政部门提出处罚建议。”</w:t>
            </w:r>
          </w:p>
          <w:p>
            <w:pPr>
              <w:bidi w:val="0"/>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2-2.《律师执业管理办法》（司法部令134号）第五十条“县级司法行政机关对其执业机构在本行政区域的律师的执业活动进行日常监督管理，履行下列职责：（一）检查、监督律师在执业活动中遵守法律、法规、规章和职业道德、执业纪律的情况；</w:t>
            </w:r>
          </w:p>
          <w:p>
            <w:pPr>
              <w:bidi w:val="0"/>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二）受理对律师的举报和投诉；（三）监督律师履行行政处罚和实行整改的情况；（四）掌握律师事务所对律师执业年度考核的情况；（五）司法部和省、自治区、直辖市司法行政机关规定的其他职责。县级司法行政机关在开展日常监督管理过程中，发现、查实律师在执业活动中存在问题的，应当对其进行警示谈话，责令改正，并对其整改情况进行监督；对律师的违法行为认为依法应当给予行政处罚的，应当向上一级司法行政机关提出处罚建议；认为需要给予行业惩戒的，移送律师协会处理。”</w:t>
            </w:r>
          </w:p>
          <w:p>
            <w:pPr>
              <w:bidi w:val="0"/>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3.同2</w:t>
            </w:r>
          </w:p>
          <w:p>
            <w:pPr>
              <w:bidi w:val="0"/>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4.同2</w:t>
            </w:r>
          </w:p>
          <w:p>
            <w:pPr>
              <w:bidi w:val="0"/>
              <w:rPr>
                <w:rFonts w:ascii="宋体" w:eastAsia="宋体" w:cs="宋体" w:hAnsi="宋体" w:hint="eastAsia"/>
                <w:sz w:val="18"/>
                <w:szCs w:val="18"/>
                <w:lang w:val="en-US" w:eastAsia="zh-CN"/>
              </w:rPr>
            </w:pPr>
          </w:p>
          <w:p>
            <w:pPr>
              <w:bidi w:val="0"/>
              <w:rPr>
                <w:rFonts w:ascii="宋体" w:eastAsia="宋体" w:cs="宋体" w:hAnsi="宋体" w:hint="eastAsia"/>
                <w:sz w:val="18"/>
                <w:szCs w:val="18"/>
                <w:lang w:val="en-US" w:eastAsia="zh-CN"/>
              </w:rPr>
            </w:pPr>
          </w:p>
          <w:p>
            <w:pPr>
              <w:bidi w:val="0"/>
              <w:rPr>
                <w:rFonts w:ascii="宋体" w:eastAsia="宋体" w:cs="宋体" w:hAnsi="宋体" w:hint="eastAsia"/>
                <w:sz w:val="18"/>
                <w:szCs w:val="18"/>
                <w:lang w:val="en-US" w:eastAsia="zh-CN"/>
              </w:rPr>
            </w:pPr>
          </w:p>
        </w:tc>
        <w:tc>
          <w:tcPr>
            <w:tcW w:w="5025" w:type="dxa"/>
            <w:tcBorders>
              <w:left w:val="single" w:sz="4" w:space="0" w:color="auto"/>
            </w:tcBorders>
          </w:tcPr>
          <w:p>
            <w:pPr>
              <w:bidi w:val="0"/>
              <w:jc w:val="both"/>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1-1.《中华人民共和国公务员法》第五十九条“公务员应当遵纪守法，不得有下列行为：（四）不担当，不作为，玩忽职守，贻误工作；”</w:t>
            </w:r>
          </w:p>
          <w:p>
            <w:pPr>
              <w:bidi w:val="0"/>
              <w:jc w:val="both"/>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1-2.《行政机关公务员处分条例》第二十条“有下列行为之一的，给予记过、记大过处分；情节较重的，给予降级或者撤职处分；情节严重的，给予开除处分：（四）其他玩忽职守、贻误工作的行为。”</w:t>
            </w:r>
          </w:p>
          <w:p>
            <w:pPr>
              <w:bidi w:val="0"/>
              <w:jc w:val="both"/>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2.同1</w:t>
            </w:r>
          </w:p>
          <w:p>
            <w:pPr>
              <w:bidi w:val="0"/>
              <w:jc w:val="both"/>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3-1.《中华人民共和国律师法》第五十六条“司法行政部门工作人员违反本法规定，滥用职权、玩忽职守，构成犯罪的，依法追究刑事责任；尚不构成犯罪的，依法给予处分。”</w:t>
            </w:r>
          </w:p>
          <w:p>
            <w:pPr>
              <w:bidi w:val="0"/>
              <w:jc w:val="both"/>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3-2.《律师执业管理办法》（司法部令134号）第六十条“司法行政机关工作人员在律师执业许可和实施监督管理活动中，滥用职权、玩忽职守，构成犯罪的，依法追究刑事责任；尚不构成犯罪的，依法给予行政处分。”</w:t>
            </w:r>
          </w:p>
          <w:p>
            <w:pPr>
              <w:bidi w:val="0"/>
              <w:jc w:val="both"/>
              <w:rPr>
                <w:rFonts w:ascii="宋体" w:eastAsia="宋体" w:cs="宋体" w:hAnsi="宋体" w:hint="eastAsia"/>
                <w:sz w:val="18"/>
                <w:szCs w:val="18"/>
                <w:vertAlign w:val="baseline"/>
                <w:lang w:val="en-US" w:eastAsia="zh-CN"/>
              </w:rPr>
            </w:pPr>
            <w:r>
              <w:rPr>
                <w:rFonts w:ascii="宋体" w:eastAsia="宋体" w:cs="宋体" w:hAnsi="宋体" w:hint="eastAsia"/>
                <w:sz w:val="18"/>
                <w:szCs w:val="18"/>
                <w:lang w:val="en-US" w:eastAsia="zh-CN"/>
              </w:rPr>
              <w:t>4.同1</w:t>
            </w:r>
          </w:p>
        </w:tc>
        <w:tc>
          <w:tcPr>
            <w:tcW w:w="870"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宋体" w:eastAsia="宋体" w:cs="宋体" w:hAnsi="宋体" w:hint="eastAsia"/>
                <w:sz w:val="18"/>
                <w:szCs w:val="18"/>
                <w:vertAlign w:val="baseline"/>
                <w:lang w:val="en-US" w:eastAsia="zh-CN"/>
              </w:rPr>
            </w:pPr>
          </w:p>
        </w:tc>
      </w:tr>
      <w:tr>
        <w:trPr>
          <w:trHeight w:val="8188"/>
        </w:trPr>
        <w:tc>
          <w:tcPr>
            <w:tcW w:w="795" w:type="dxa"/>
            <w:vAlign w:val="center"/>
          </w:tcPr>
          <w:p>
            <w:pPr>
              <w:bidi w:val="0"/>
              <w:jc w:val="center"/>
              <w:rPr>
                <w:rFonts w:ascii="宋体" w:eastAsia="宋体" w:cs="宋体" w:hAnsi="宋体"/>
                <w:sz w:val="18"/>
                <w:szCs w:val="18"/>
                <w:lang w:val="en-US" w:eastAsia="zh-CN"/>
              </w:rPr>
            </w:pPr>
            <w:r>
              <w:rPr>
                <w:rFonts w:ascii="宋体" w:eastAsia="宋体" w:cs="宋体" w:hAnsi="宋体" w:hint="eastAsia"/>
                <w:sz w:val="18"/>
                <w:szCs w:val="18"/>
                <w:lang w:val="en-US" w:eastAsia="zh-CN"/>
              </w:rPr>
              <w:t>5</w:t>
            </w:r>
          </w:p>
        </w:tc>
        <w:tc>
          <w:tcPr>
            <w:tcW w:w="1530" w:type="dxa"/>
            <w:tcBorders>
              <w:left w:val="single" w:sz="4" w:space="0" w:color="auto"/>
            </w:tcBorders>
            <w:vAlign w:val="center"/>
          </w:tcPr>
          <w:p>
            <w:pPr>
              <w:bidi w:val="0"/>
              <w:rPr>
                <w:rFonts w:ascii="宋体" w:eastAsia="宋体" w:cs="宋体" w:hAnsi="宋体" w:hint="eastAsia"/>
                <w:sz w:val="18"/>
                <w:szCs w:val="18"/>
                <w:lang w:val="en-US" w:eastAsia="zh-CN"/>
              </w:rPr>
            </w:pPr>
            <w:r>
              <w:rPr>
                <w:rFonts w:ascii="宋体" w:eastAsia="宋体" w:cs="宋体" w:hAnsi="宋体" w:hint="eastAsia"/>
                <w:color w:val="000000"/>
                <w:kern w:val="2"/>
                <w:sz w:val="18"/>
                <w:szCs w:val="18"/>
                <w:lang w:val="en-US" w:eastAsia="zh-CN" w:bidi="ar-SA"/>
              </w:rPr>
              <w:t>对基层法律服务所及基层法律工作者的监督检查</w:t>
            </w:r>
          </w:p>
        </w:tc>
        <w:tc>
          <w:tcPr>
            <w:tcW w:w="5865" w:type="dxa"/>
            <w:tcBorders>
              <w:left w:val="single" w:sz="4" w:space="0" w:color="auto"/>
            </w:tcBorders>
          </w:tcPr>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1-1《基层法律服务所管理办法》（司法部令第137号） 第三十四条：县级司法行政机关或者直辖市的区（县）司法行政机关对基层法律服务所的日常执业活动和内部管理工作进行指导和监督，可以按照有关规定对基层法律服务所进行检查，要求基层法律服务所报告工作、说明情况、提交有关材料。司法所可以根据县级司法行政机关或者直辖市的区（县）司法行政机关要求，承担对基层法律服务所进行指导监督的具体工作。</w:t>
            </w:r>
          </w:p>
          <w:p>
            <w:pPr>
              <w:bidi w:val="0"/>
              <w:rPr>
                <w:rFonts w:ascii="宋体" w:eastAsia="宋体" w:cs="宋体" w:hAnsi="宋体" w:hint="eastAsia"/>
                <w:sz w:val="18"/>
                <w:szCs w:val="18"/>
                <w:lang w:val="en-US" w:eastAsia="zh-CN"/>
              </w:rPr>
            </w:pPr>
            <w:r>
              <w:rPr>
                <w:rFonts w:ascii="宋体" w:eastAsia="宋体" w:cs="宋体" w:hAnsi="宋体" w:hint="eastAsia"/>
                <w:color w:val="000000"/>
                <w:kern w:val="2"/>
                <w:sz w:val="18"/>
                <w:szCs w:val="18"/>
                <w:lang w:val="en-US" w:eastAsia="zh-CN" w:bidi="ar-SA"/>
              </w:rPr>
              <w:t>2-1《基层法律服务工作者管理办法》（司法部《令第138号）第四十四条：县级司法行政机关或者直辖市的区（县）司法行政机关对基层法律服务工作者的日常执业活动和遵守职业道德、执业纪律的情况进行指导和监督，可以按照有关规定对基层法律服务工作者的执业情况进行检查，要求有关人员报告工作、说明情况、提交有关材料。司法所可以根据县级司法行政机关或者直辖市的区（县）司法行政机关要求，承担对基层法律服务工作者进行指导监督的具体工作。</w:t>
            </w:r>
          </w:p>
        </w:tc>
        <w:tc>
          <w:tcPr>
            <w:tcW w:w="5025" w:type="dxa"/>
            <w:tcBorders>
              <w:left w:val="single" w:sz="4" w:space="0" w:color="auto"/>
            </w:tcBorders>
          </w:tcPr>
          <w:p>
            <w:pPr>
              <w:bidi w:val="0"/>
              <w:jc w:val="both"/>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1.《中华人民共和国公务员法》第五十九条“公务员应当遵纪守法，不得有下列行为：（四）不担当，不作为，玩忽职守，贻误工作；”</w:t>
            </w:r>
          </w:p>
          <w:p>
            <w:pPr>
              <w:bidi w:val="0"/>
              <w:jc w:val="both"/>
              <w:rPr>
                <w:rFonts w:ascii="宋体" w:eastAsia="宋体" w:cs="宋体" w:hAnsi="宋体" w:hint="eastAsia"/>
                <w:sz w:val="18"/>
                <w:szCs w:val="18"/>
                <w:lang w:val="en-US" w:eastAsia="zh-CN"/>
              </w:rPr>
            </w:pPr>
            <w:r>
              <w:rPr>
                <w:rFonts w:ascii="宋体" w:eastAsia="宋体" w:cs="宋体" w:hAnsi="宋体" w:hint="eastAsia"/>
                <w:sz w:val="18"/>
                <w:szCs w:val="18"/>
                <w:lang w:val="en-US" w:eastAsia="zh-CN"/>
              </w:rPr>
              <w:t>2.《行政机关公务员处分条例》第二十条“有下列行为之一的，给予记过、记大过处分；情节较重的，给予降级或者撤职处分；情节严重的，给予开除处分：（四）其他玩忽职守、贻误工作的行为。”</w:t>
            </w:r>
          </w:p>
          <w:p>
            <w:pPr>
              <w:pStyle w:val="15"/>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226" w:afterAutospacing="0" w:line="360" w:lineRule="atLeast"/>
              <w:ind w:right="0"/>
              <w:rPr>
                <w:rFonts w:ascii="宋体" w:eastAsia="宋体" w:cs="宋体" w:hAnsi="宋体" w:hint="eastAsia"/>
                <w:color w:val="333333"/>
                <w:sz w:val="18"/>
                <w:szCs w:val="18"/>
              </w:rPr>
            </w:pPr>
            <w:r>
              <w:rPr>
                <w:rFonts w:ascii="宋体" w:eastAsia="宋体" w:cs="宋体" w:hAnsi="宋体" w:hint="eastAsia"/>
                <w:color w:val="000000"/>
                <w:kern w:val="2"/>
                <w:sz w:val="18"/>
                <w:szCs w:val="18"/>
                <w:lang w:val="en-US" w:eastAsia="zh-CN" w:bidi="ar-SA"/>
              </w:rPr>
              <w:t>3《基层法律服务所管理办法》（司法部令第137号）</w:t>
            </w:r>
            <w:r>
              <w:rPr>
                <w:rFonts w:ascii="宋体" w:eastAsia="宋体" w:cs="宋体" w:hAnsi="宋体" w:hint="eastAsia"/>
                <w:color w:val="333333"/>
                <w:sz w:val="18"/>
                <w:szCs w:val="18"/>
              </w:rPr>
              <w:t>第四十二条 上级司法行政机关认为下级司法行政机关在年度考核和行政处罚工作中有错误或者不当的，应当及时责令其改正。司法行政机关及其工作人员不履行管理职责或者侵犯基层法律服务所合法权益的，应当追究主管人员和直接责任人员的行政责任。</w:t>
            </w:r>
          </w:p>
          <w:p>
            <w:pPr>
              <w:pStyle w:val="15"/>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225" w:afterAutospacing="0" w:line="360" w:lineRule="atLeast"/>
              <w:ind w:right="0"/>
              <w:rPr>
                <w:rFonts w:ascii="宋体" w:eastAsia="宋体" w:cs="宋体" w:hAnsi="宋体" w:hint="eastAsia"/>
                <w:i w:val="0"/>
                <w:caps w:val="0"/>
                <w:smallCaps w:val="0"/>
                <w:color w:val="333333"/>
                <w:spacing w:val="0"/>
                <w:sz w:val="18"/>
                <w:szCs w:val="18"/>
              </w:rPr>
            </w:pPr>
            <w:r>
              <w:rPr>
                <w:rFonts w:ascii="宋体" w:eastAsia="宋体" w:cs="宋体" w:hAnsi="宋体" w:hint="eastAsia"/>
                <w:color w:val="000000"/>
                <w:kern w:val="2"/>
                <w:sz w:val="18"/>
                <w:szCs w:val="18"/>
                <w:lang w:val="en-US" w:eastAsia="zh-CN" w:bidi="ar-SA"/>
              </w:rPr>
              <w:t>4《基层法律服务工作者管理办法》（司法部《令第138号）</w:t>
            </w:r>
            <w:r>
              <w:rPr>
                <w:rFonts w:ascii="宋体" w:eastAsia="宋体" w:cs="宋体" w:hAnsi="宋体" w:hint="eastAsia"/>
                <w:i w:val="0"/>
                <w:caps w:val="0"/>
                <w:smallCaps w:val="0"/>
                <w:color w:val="333333"/>
                <w:spacing w:val="0"/>
                <w:sz w:val="18"/>
                <w:szCs w:val="18"/>
                <w:shd w:val="clear" w:color="auto" w:fill="FFFFFF"/>
              </w:rPr>
              <w:t>第五十一条 上级司法行政机关认为下级司法行政机关在执业核准、年度考核和行政处罚工作中有错误或者不当的，应当及时责令其纠正。司法行政机关不履行管理职责或者干涉基层法律服务工作者执业、侵犯其合法权益的，应当追究主管人员和直接责任人员的行政责任。</w:t>
            </w:r>
          </w:p>
          <w:p>
            <w:pPr>
              <w:bidi w:val="0"/>
              <w:jc w:val="both"/>
              <w:rPr>
                <w:rFonts w:ascii="宋体" w:eastAsia="宋体" w:cs="宋体" w:hAnsi="宋体" w:hint="eastAsia"/>
                <w:sz w:val="18"/>
                <w:szCs w:val="18"/>
                <w:lang w:val="en-US" w:eastAsia="zh-CN"/>
              </w:rPr>
            </w:pPr>
          </w:p>
        </w:tc>
        <w:tc>
          <w:tcPr>
            <w:tcW w:w="870"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宋体" w:eastAsia="宋体" w:cs="宋体" w:hAnsi="宋体" w:hint="eastAsia"/>
                <w:sz w:val="18"/>
                <w:szCs w:val="18"/>
                <w:vertAlign w:val="baseline"/>
                <w:lang w:val="en-US" w:eastAsia="zh-CN"/>
              </w:rPr>
            </w:pPr>
          </w:p>
        </w:tc>
      </w:tr>
      <w:tr>
        <w:trPr>
          <w:trHeight w:val="8188"/>
        </w:trPr>
        <w:tc>
          <w:tcPr>
            <w:tcW w:w="795" w:type="dxa"/>
            <w:vAlign w:val="center"/>
          </w:tcPr>
          <w:p>
            <w:pPr>
              <w:bidi w:val="0"/>
              <w:rPr>
                <w:rFonts w:ascii="宋体" w:eastAsia="宋体" w:cs="宋体" w:hAnsi="宋体"/>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6</w:t>
            </w:r>
          </w:p>
        </w:tc>
        <w:tc>
          <w:tcPr>
            <w:tcW w:w="1530" w:type="dxa"/>
            <w:tcBorders>
              <w:left w:val="single" w:sz="4" w:space="0" w:color="auto"/>
            </w:tcBorders>
            <w:vAlign w:val="center"/>
          </w:tcPr>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法律援助补贴发放</w:t>
            </w:r>
          </w:p>
        </w:tc>
        <w:tc>
          <w:tcPr>
            <w:tcW w:w="5865" w:type="dxa"/>
            <w:tcBorders>
              <w:left w:val="single" w:sz="4" w:space="0" w:color="auto"/>
            </w:tcBorders>
            <w:vAlign w:val="center"/>
          </w:tcPr>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根据《法律援助条例》第二十四条规定：</w:t>
            </w:r>
          </w:p>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　受指派办理法律援助案件的律师或者接受安排办-理法律援助案件的社会组织人员在案件结案时，应当向法律援助机构提交有关的法律文书副本或者复印件以及结案报告等材料。法律援助机构收到前款规定的结案材料后，应当向受指派办-理法律援助案件的律师或者接受安排办-理法律援助案件的社会组织人员支付法律援助办案补贴。</w:t>
            </w:r>
          </w:p>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法律援助办案补贴的标准由省、自治区、直辖市人民政府司法行政部门会同同级财政部门，根据当地经济发展水平，参考法律援助机构办-理各类法律援助案件的平均成本等因素核定，并可以根据需要调整。</w:t>
            </w:r>
          </w:p>
        </w:tc>
        <w:tc>
          <w:tcPr>
            <w:tcW w:w="5025" w:type="dxa"/>
            <w:tcBorders>
              <w:left w:val="single" w:sz="4" w:space="0" w:color="auto"/>
            </w:tcBorders>
            <w:vAlign w:val="center"/>
          </w:tcPr>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根据《河北省法律援助经费使用管理办法》第十条法律援助人员具有下列情形之一的，不予发放办案补贴：</w:t>
            </w:r>
          </w:p>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（一）提交的结案卷宗不符合相关规定，经补证后仍不能符合规定的，或者不能在规定的期限内提交的;</w:t>
            </w:r>
          </w:p>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(二)不履行或不正确履行法律援助义务的;</w:t>
            </w:r>
          </w:p>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(三)故意损害受援人利益的;</w:t>
            </w:r>
          </w:p>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(四)因过失给受援人造成较大经济损失的;</w:t>
            </w:r>
          </w:p>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(五)向受援人及亲属索要财物的;</w:t>
            </w:r>
          </w:p>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(六)因违法办案被受援人投诉，经查证属实的;</w:t>
            </w:r>
          </w:p>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(七)其他违反国务院《法律援助条例》和《河北省法律援助条例》的行为。</w:t>
            </w:r>
          </w:p>
        </w:tc>
        <w:tc>
          <w:tcPr>
            <w:tcW w:w="870" w:type="dxa"/>
            <w:tcBorders>
              <w:left w:val="single" w:sz="4" w:space="0" w:color="auto"/>
            </w:tcBorders>
            <w:vAlign w:val="center"/>
          </w:tcPr>
          <w:p>
            <w:pPr>
              <w:bidi w:val="0"/>
              <w:rPr>
                <w:rFonts w:ascii="宋体" w:eastAsia="宋体" w:cs="宋体" w:hAnsi="宋体" w:hint="eastAsia"/>
                <w:color w:val="000000"/>
                <w:kern w:val="2"/>
                <w:sz w:val="18"/>
                <w:szCs w:val="18"/>
                <w:lang w:val="en-US" w:eastAsia="zh-CN" w:bidi="ar-SA"/>
              </w:rPr>
            </w:pPr>
          </w:p>
        </w:tc>
      </w:tr>
      <w:tr>
        <w:trPr>
          <w:trHeight w:val="8188"/>
        </w:trPr>
        <w:tc>
          <w:tcPr>
            <w:tcW w:w="795" w:type="dxa"/>
            <w:vAlign w:val="center"/>
          </w:tcPr>
          <w:p>
            <w:pPr>
              <w:bidi w:val="0"/>
              <w:rPr>
                <w:rFonts w:ascii="宋体" w:eastAsia="宋体" w:cs="宋体" w:hAnsi="宋体"/>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7</w:t>
            </w:r>
          </w:p>
        </w:tc>
        <w:tc>
          <w:tcPr>
            <w:tcW w:w="1530" w:type="dxa"/>
            <w:tcBorders>
              <w:left w:val="single" w:sz="4" w:space="0" w:color="auto"/>
            </w:tcBorders>
            <w:vAlign w:val="center"/>
          </w:tcPr>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对公民法律援助申请的审批</w:t>
            </w:r>
          </w:p>
        </w:tc>
        <w:tc>
          <w:tcPr>
            <w:tcW w:w="5865" w:type="dxa"/>
            <w:tcBorders>
              <w:left w:val="single" w:sz="4" w:space="0" w:color="auto"/>
            </w:tcBorders>
            <w:vAlign w:val="center"/>
          </w:tcPr>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依据《法律援助条例》第五条规定：</w:t>
            </w:r>
          </w:p>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　直辖市、设区的市或者县级人民政府司法行政部门根据需要确定本行政区域的法律援助机构。法律援助机构负责受理、审查法律援助申请，指派或者安排人员为符合本条例规定的公民提供法律援助。</w:t>
            </w:r>
          </w:p>
        </w:tc>
        <w:tc>
          <w:tcPr>
            <w:tcW w:w="5025" w:type="dxa"/>
            <w:tcBorders>
              <w:left w:val="single" w:sz="4" w:space="0" w:color="auto"/>
            </w:tcBorders>
            <w:vAlign w:val="center"/>
          </w:tcPr>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1.根据《法律援助条例》第二十六条规定，法律援助机构及其工作人员有下列情况之一的，对直接负责的主管人员以及其他直接责任人员依法给予纪律处分：</w:t>
            </w:r>
          </w:p>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（一）为不符合法律援助条件的人员提供法律帮助，或者拒绝为符合法律援助条件的人员提供法律帮助的；</w:t>
            </w:r>
          </w:p>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(二)办-理法律援助案件收取财物的；</w:t>
            </w:r>
          </w:p>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(三)从事有偿法律服务的；</w:t>
            </w:r>
          </w:p>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(四)侵占、私分、挪用法律援助经费的。</w:t>
            </w:r>
          </w:p>
          <w:p>
            <w:pPr>
              <w:bidi w:val="0"/>
              <w:rPr>
                <w:rFonts w:ascii="宋体" w:eastAsia="宋体" w:cs="宋体" w:hAnsi="宋体" w:hint="eastAsia"/>
                <w:color w:val="000000"/>
                <w:kern w:val="2"/>
                <w:sz w:val="18"/>
                <w:szCs w:val="18"/>
                <w:lang w:val="en-US" w:eastAsia="zh-CN" w:bidi="ar-SA"/>
              </w:rPr>
            </w:pPr>
          </w:p>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2.根据《法律援助条例》第二十八条规定：</w:t>
            </w:r>
          </w:p>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律师有下列情形之一的，由司法行政部门给予警告、责令改正;情节严重的，给予1个月以上3个月以下停止执业的处罚：</w:t>
            </w:r>
          </w:p>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(一)无正当理由拒绝接受、擅自终止法律援助案件的；</w:t>
            </w:r>
          </w:p>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(二)办理法律援助案件收取财物的。</w:t>
            </w:r>
          </w:p>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有前款第(二)项违法行为的，由司法行政部门责令退还违法所得的财物，可以并处所收财物价值1倍以上3倍以下的罚款</w:t>
            </w:r>
          </w:p>
        </w:tc>
        <w:tc>
          <w:tcPr>
            <w:tcW w:w="870" w:type="dxa"/>
            <w:tcBorders>
              <w:left w:val="single" w:sz="4" w:space="0" w:color="auto"/>
            </w:tcBorders>
            <w:vAlign w:val="center"/>
          </w:tcPr>
          <w:p>
            <w:pPr>
              <w:bidi w:val="0"/>
              <w:rPr>
                <w:rFonts w:ascii="宋体" w:eastAsia="宋体" w:cs="宋体" w:hAnsi="宋体" w:hint="eastAsia"/>
                <w:color w:val="000000"/>
                <w:kern w:val="2"/>
                <w:sz w:val="18"/>
                <w:szCs w:val="18"/>
                <w:lang w:val="en-US" w:eastAsia="zh-CN" w:bidi="ar-SA"/>
              </w:rPr>
            </w:pPr>
          </w:p>
        </w:tc>
      </w:tr>
      <w:tr>
        <w:trPr>
          <w:trHeight w:val="8188"/>
        </w:trPr>
        <w:tc>
          <w:tcPr>
            <w:tcW w:w="795" w:type="dxa"/>
            <w:vAlign w:val="center"/>
          </w:tcPr>
          <w:p>
            <w:pPr>
              <w:bidi w:val="0"/>
              <w:rPr>
                <w:rFonts w:ascii="宋体" w:eastAsia="宋体" w:cs="宋体" w:hAnsi="宋体"/>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8</w:t>
            </w:r>
          </w:p>
        </w:tc>
        <w:tc>
          <w:tcPr>
            <w:tcW w:w="1530" w:type="dxa"/>
            <w:tcBorders>
              <w:left w:val="single" w:sz="4" w:space="0" w:color="auto"/>
            </w:tcBorders>
            <w:vAlign w:val="center"/>
          </w:tcPr>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人民调解员补贴发放</w:t>
            </w:r>
          </w:p>
        </w:tc>
        <w:tc>
          <w:tcPr>
            <w:tcW w:w="5865" w:type="dxa"/>
            <w:tcBorders>
              <w:left w:val="single" w:sz="4" w:space="0" w:color="auto"/>
            </w:tcBorders>
            <w:vAlign w:val="center"/>
          </w:tcPr>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《中华人民共和国人民调解法》第十六条　人民调解员从事调解工作，应当给予适当的误工补贴；因从事调解工作致伤致残，生活发生困难的，当地人民政府应当提供必要的医疗、生活救助；在人民调解工作岗位上牺牲的人民调解员，其配偶、子女按照国家规定享受抚恤和优待。</w:t>
            </w:r>
          </w:p>
        </w:tc>
        <w:tc>
          <w:tcPr>
            <w:tcW w:w="5025" w:type="dxa"/>
            <w:tcBorders>
              <w:left w:val="single" w:sz="4" w:space="0" w:color="auto"/>
            </w:tcBorders>
            <w:vAlign w:val="center"/>
          </w:tcPr>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《中华人民共和国人民调解法》第十六条　人民调解员从事调解工作，应当给予适当的误工补贴；因从事调解工作致伤致残，生活发生困难的，当地人民政府应当提供必要的医疗、生活救助；在人民调解工作岗位上牺牲的人民调解员，其配偶、子女按照国家规定享受抚恤和优待。</w:t>
            </w:r>
          </w:p>
        </w:tc>
        <w:tc>
          <w:tcPr>
            <w:tcW w:w="870" w:type="dxa"/>
            <w:tcBorders>
              <w:left w:val="single" w:sz="4" w:space="0" w:color="auto"/>
            </w:tcBorders>
            <w:vAlign w:val="center"/>
          </w:tcPr>
          <w:p>
            <w:pPr>
              <w:bidi w:val="0"/>
              <w:rPr>
                <w:rFonts w:ascii="宋体" w:eastAsia="宋体" w:cs="宋体" w:hAnsi="宋体" w:hint="eastAsia"/>
                <w:color w:val="000000"/>
                <w:kern w:val="2"/>
                <w:sz w:val="18"/>
                <w:szCs w:val="18"/>
                <w:lang w:val="en-US" w:eastAsia="zh-CN" w:bidi="ar-SA"/>
              </w:rPr>
            </w:pPr>
            <w:r>
              <w:rPr>
                <w:rFonts w:ascii="宋体" w:eastAsia="宋体" w:cs="宋体" w:hAnsi="宋体" w:hint="eastAsia"/>
                <w:color w:val="000000"/>
                <w:kern w:val="2"/>
                <w:sz w:val="18"/>
                <w:szCs w:val="18"/>
                <w:lang w:val="en-US" w:eastAsia="zh-CN" w:bidi="ar-SA"/>
              </w:rPr>
              <w:t>此项工作属县（市区）权限，省厅政务平台关于该项事项已暂停。</w:t>
            </w:r>
          </w:p>
        </w:tc>
      </w:tr>
    </w:tbl>
    <w:p>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Chars="198" w:firstLine="475"/>
        <w:jc w:val="both"/>
        <w:textAlignment w:val="auto"/>
        <w:outlineLvl w:val="9"/>
        <w:rPr>
          <w:rFonts w:ascii="楷体_GB2312" w:eastAsia="楷体_GB2312" w:hAnsi="楷体_GB2312" w:hint="eastAsia"/>
          <w:sz w:val="24"/>
          <w:lang w:val="en-US" w:eastAsia="zh-CN"/>
        </w:rPr>
      </w:pPr>
      <w:r>
        <w:rPr>
          <w:rFonts w:ascii="楷体_GB2312" w:eastAsia="楷体_GB2312" w:hAnsi="楷体_GB2312" w:hint="eastAsia"/>
          <w:sz w:val="24"/>
          <w:lang w:val="en-US" w:eastAsia="zh-CN"/>
        </w:rPr>
        <w:t>注：此表是特别设置的，是部门梳理、确定责任事项和追责情形的必要依据，也是审核小组审核、报审过程的必要环节，在最终向社会公布的权责清单中不作体现。①责任事项依据，应当引用责任事项所依据的法律法规规章文件的具体条款和内容。所引用的法条应当准确、完整，并选取直接对应的内容，其他内容可使用省略号。一个责任事项需要引用多个法定依据的，按照法律法规的位阶从高到低顺序排列。法定依据需要同时引用同一部法律的多个条文的，按照条文序号排列。②追责情形依据，应当引用追责情形所依据的法律法规规章文件的具体条款和内容（具体要求同“责任事项依据”）。</w:t>
      </w:r>
    </w:p>
    <w:p>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Chars="198" w:firstLine="475"/>
        <w:jc w:val="both"/>
        <w:textAlignment w:val="auto"/>
        <w:outlineLvl w:val="9"/>
        <w:rPr>
          <w:rFonts w:ascii="楷体_GB2312" w:eastAsia="楷体_GB2312" w:hAnsi="楷体_GB2312" w:hint="eastAsia"/>
          <w:sz w:val="24"/>
          <w:lang w:val="en-US" w:eastAsia="zh-CN"/>
        </w:rPr>
      </w:pPr>
    </w:p>
    <w:p>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Chars="198" w:firstLine="475"/>
        <w:jc w:val="both"/>
        <w:textAlignment w:val="auto"/>
        <w:outlineLvl w:val="9"/>
        <w:rPr>
          <w:rFonts w:ascii="楷体_GB2312" w:eastAsia="楷体_GB2312" w:hAnsi="楷体_GB2312" w:hint="eastAsia"/>
          <w:sz w:val="24"/>
          <w:lang w:val="en-US" w:eastAsia="zh-CN"/>
        </w:rPr>
      </w:pPr>
    </w:p>
    <w:p/>
    <w:sectPr>
      <w:pgSz w:w="16838" w:h="11906" w:orient="landscape"/>
      <w:pgMar w:top="1587" w:right="1417" w:bottom="1304" w:left="1417" w:header="851" w:footer="992" w:gutter="0"/>
      <w:cols w:num="1" w:space="425"/>
      <w:docGrid w:type="lines" w:linePitch="312" w:charSpace="0"/>
    </w:sectPr>
  </w:body>
</w:document>
</file>

<file path=word/fontTable.xml><?xml version="1.0" encoding="utf-8"?>
<w:fonts xmlns:w="http://schemas.openxmlformats.org/wordprocessingml/2006/main" xmlns:r="http://schemas.openxmlformats.org/officeDocument/2006/relationships">
  <w:font w:name="黑体">
    <w:panose1 w:val="02010609060101010101"/>
    <w:charset w:val="86"/>
    <w:family w:val="auto"/>
    <w:pitch w:val="variable"/>
    <w:sig w:usb0="800002BF" w:usb1="38CF7CFA" w:usb2="00000016" w:usb3="00000000" w:csb0="00040001" w:csb1="00000000"/>
  </w:font>
  <w:font w:name="楷体_GB2312">
    <w:altName w:val="楷体"/>
    <w:panose1 w:val="02010609030101010101"/>
    <w:charset w:val="86"/>
    <w:family w:val="modern"/>
    <w:pitch w:val="variable"/>
    <w:sig w:usb0="00000000" w:usb1="00000000" w:usb2="00000000" w:usb3="00000000" w:csb0="00040000" w:csb1="00000000"/>
  </w:font>
  <w:font w:name="Arial">
    <w:panose1 w:val="020B0604020202020204"/>
    <w:charset w:val="01"/>
    <w:family w:val="swiss"/>
    <w:pitch w:val="variable"/>
    <w:sig w:usb0="E0002AFF" w:usb1="C0007843" w:usb2="00000009" w:usb3="00000000" w:csb0="400001FF" w:csb1="FFFF0000"/>
  </w:font>
  <w:font w:name="仿宋_GB2312">
    <w:altName w:val="仿宋"/>
    <w:panose1 w:val="02010609030101010101"/>
    <w:charset w:val="86"/>
    <w:family w:val="modern"/>
    <w:pitch w:val="variable"/>
    <w:sig w:usb0="00000000" w:usb1="00000000" w:usb2="00000000" w:usb3="00000000" w:csb0="00040000" w:csb1="00000000"/>
  </w:font>
  <w:font w:name="宋体">
    <w:panose1 w:val="02010600030101010101"/>
    <w:charset w:val="86"/>
    <w:family w:val="auto"/>
    <w:pitch w:val="variable"/>
    <w:sig w:usb0="00000003" w:usb1="288F0000" w:usb2="00000006" w:usb3="00000000" w:csb0="00040001" w:csb1="00000000"/>
  </w:font>
  <w:font w:name="Times New Roman">
    <w:panose1 w:val="02020603050405020304"/>
    <w:charset w:val="86"/>
    <w:family w:val="auto"/>
    <w:pitch w:val="variable"/>
    <w:sig w:usb0="E0002AFF" w:usb1="C0007841" w:usb2="00000009" w:usb3="00000000" w:csb0="400001FF" w:csb1="FFFF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BC2E0C22"/>
    <w:multiLevelType w:val="multilevel"/>
    <w:tmpl w:val="BC2E0C22"/>
    <w:lvl w:ilvl="0">
      <w:start w:val="1"/>
      <w:numFmt w:val="decimal"/>
      <w:lvlRestart w:val="0"/>
      <w:lvlText w:val="%1."/>
      <w:lvlJc w:val="left"/>
      <w:pPr>
        <w:tabs>
          <w:tab w:val="num" w:pos="312"/>
        </w:tabs>
        <w:ind w:left="0" w:hanging="0"/>
      </w:pPr>
      <w:rPr>
        <w:rFonts w:hint="default"/>
      </w:rPr>
    </w:lvl>
    <w:lvl w:ilvl="1">
      <w:start w:val="1"/>
      <w:numFmt w:val="decimal"/>
      <w:lvlText w:val="%1-%2."/>
      <w:lvlJc w:val="left"/>
      <w:pPr>
        <w:tabs>
          <w:tab w:val="num" w:pos="312"/>
        </w:tabs>
        <w:ind w:left="0" w:hanging="0"/>
      </w:pPr>
      <w:rPr>
        <w:rFonts w:hint="default"/>
      </w:rPr>
    </w:lvl>
    <w:lvl w:ilvl="2">
      <w:start w:val="1"/>
      <w:numFmt w:val="decimal"/>
      <w:lvlText w:val="%1-%2.%3."/>
      <w:lvlJc w:val="left"/>
      <w:pPr>
        <w:tabs>
          <w:tab w:val="num" w:pos="312"/>
        </w:tabs>
        <w:ind w:left="0" w:hanging="0"/>
      </w:pPr>
      <w:rPr>
        <w:rFonts w:hint="default"/>
      </w:rPr>
    </w:lvl>
    <w:lvl w:ilvl="3">
      <w:start w:val="1"/>
      <w:numFmt w:val="decimal"/>
      <w:lvlText w:val="%1-%2.%3.%4."/>
      <w:lvlJc w:val="left"/>
      <w:pPr>
        <w:tabs>
          <w:tab w:val="num" w:pos="312"/>
        </w:tabs>
        <w:ind w:left="0" w:hanging="0"/>
      </w:pPr>
      <w:rPr>
        <w:rFonts w:hint="default"/>
      </w:rPr>
    </w:lvl>
    <w:lvl w:ilvl="4">
      <w:start w:val="1"/>
      <w:numFmt w:val="decimal"/>
      <w:lvlText w:val="%1-%2.%3.%4.%5."/>
      <w:lvlJc w:val="left"/>
      <w:pPr>
        <w:tabs>
          <w:tab w:val="num" w:pos="312"/>
        </w:tabs>
        <w:ind w:left="0" w:hanging="0"/>
      </w:pPr>
      <w:rPr>
        <w:rFonts w:hint="default"/>
      </w:rPr>
    </w:lvl>
    <w:lvl w:ilvl="5">
      <w:start w:val="1"/>
      <w:numFmt w:val="decimal"/>
      <w:lvlText w:val="%1-%2.%3.%4.%5.%6."/>
      <w:lvlJc w:val="left"/>
      <w:pPr>
        <w:tabs>
          <w:tab w:val="num" w:pos="312"/>
        </w:tabs>
        <w:ind w:left="0" w:hanging="0"/>
      </w:pPr>
      <w:rPr>
        <w:rFonts w:hint="default"/>
      </w:rPr>
    </w:lvl>
    <w:lvl w:ilvl="6">
      <w:start w:val="1"/>
      <w:numFmt w:val="decimal"/>
      <w:lvlText w:val="%1-%2.%3.%4.%5.%6.%7."/>
      <w:lvlJc w:val="left"/>
      <w:pPr>
        <w:tabs>
          <w:tab w:val="num" w:pos="312"/>
        </w:tabs>
        <w:ind w:left="0" w:hanging="0"/>
      </w:pPr>
      <w:rPr>
        <w:rFonts w:hint="default"/>
      </w:rPr>
    </w:lvl>
    <w:lvl w:ilvl="7">
      <w:start w:val="1"/>
      <w:numFmt w:val="decimal"/>
      <w:lvlText w:val="%1-%2.%3.%4.%5.%6.%7.%8."/>
      <w:lvlJc w:val="left"/>
      <w:pPr>
        <w:tabs>
          <w:tab w:val="num" w:pos="312"/>
        </w:tabs>
        <w:ind w:left="0" w:hanging="0"/>
      </w:pPr>
      <w:rPr>
        <w:rFonts w:hint="default"/>
      </w:rPr>
    </w:lvl>
    <w:lvl w:ilvl="8">
      <w:start w:val="1"/>
      <w:numFmt w:val="decimal"/>
      <w:lvlText w:val="%1-%2.%3.%4.%5.%6.%7.%8.%9."/>
      <w:lvlJc w:val="left"/>
      <w:pPr>
        <w:tabs>
          <w:tab w:val="num" w:pos="312"/>
        </w:tabs>
        <w:ind w:left="0" w:hanging="0"/>
      </w:pPr>
      <w:rPr>
        <w:rFonts w:hint="default"/>
      </w:rPr>
    </w:lvl>
  </w:abstractNum>
  <w:abstractNum w:abstractNumId="1">
    <w:nsid w:val="38078DB4"/>
    <w:multiLevelType w:val="multilevel"/>
    <w:tmpl w:val="38078DB4"/>
    <w:lvl w:ilvl="0">
      <w:start w:val="1"/>
      <w:numFmt w:val="decimal"/>
      <w:lvlRestart w:val="0"/>
      <w:lvlText w:val="%1."/>
      <w:lvlJc w:val="left"/>
      <w:pPr>
        <w:tabs>
          <w:tab w:val="num" w:pos="312"/>
        </w:tabs>
        <w:ind w:left="0" w:hanging="0"/>
      </w:pPr>
      <w:rPr>
        <w:rFonts w:hint="default"/>
      </w:rPr>
    </w:lvl>
    <w:lvl w:ilvl="1">
      <w:start w:val="1"/>
      <w:numFmt w:val="decimal"/>
      <w:lvlText w:val="%1-%2."/>
      <w:lvlJc w:val="left"/>
      <w:pPr>
        <w:tabs>
          <w:tab w:val="num" w:pos="312"/>
        </w:tabs>
        <w:ind w:left="0" w:hanging="0"/>
      </w:pPr>
      <w:rPr>
        <w:rFonts w:hint="default"/>
      </w:rPr>
    </w:lvl>
    <w:lvl w:ilvl="2">
      <w:start w:val="1"/>
      <w:numFmt w:val="decimal"/>
      <w:lvlText w:val="%1-%2.%3."/>
      <w:lvlJc w:val="left"/>
      <w:pPr>
        <w:tabs>
          <w:tab w:val="num" w:pos="312"/>
        </w:tabs>
        <w:ind w:left="0" w:hanging="0"/>
      </w:pPr>
      <w:rPr>
        <w:rFonts w:hint="default"/>
      </w:rPr>
    </w:lvl>
    <w:lvl w:ilvl="3">
      <w:start w:val="1"/>
      <w:numFmt w:val="decimal"/>
      <w:lvlText w:val="%1-%2.%3.%4."/>
      <w:lvlJc w:val="left"/>
      <w:pPr>
        <w:tabs>
          <w:tab w:val="num" w:pos="312"/>
        </w:tabs>
        <w:ind w:left="0" w:hanging="0"/>
      </w:pPr>
      <w:rPr>
        <w:rFonts w:hint="default"/>
      </w:rPr>
    </w:lvl>
    <w:lvl w:ilvl="4">
      <w:start w:val="1"/>
      <w:numFmt w:val="decimal"/>
      <w:lvlText w:val="%1-%2.%3.%4.%5."/>
      <w:lvlJc w:val="left"/>
      <w:pPr>
        <w:tabs>
          <w:tab w:val="num" w:pos="312"/>
        </w:tabs>
        <w:ind w:left="0" w:hanging="0"/>
      </w:pPr>
      <w:rPr>
        <w:rFonts w:hint="default"/>
      </w:rPr>
    </w:lvl>
    <w:lvl w:ilvl="5">
      <w:start w:val="1"/>
      <w:numFmt w:val="decimal"/>
      <w:lvlText w:val="%1-%2.%3.%4.%5.%6."/>
      <w:lvlJc w:val="left"/>
      <w:pPr>
        <w:tabs>
          <w:tab w:val="num" w:pos="312"/>
        </w:tabs>
        <w:ind w:left="0" w:hanging="0"/>
      </w:pPr>
      <w:rPr>
        <w:rFonts w:hint="default"/>
      </w:rPr>
    </w:lvl>
    <w:lvl w:ilvl="6">
      <w:start w:val="1"/>
      <w:numFmt w:val="decimal"/>
      <w:lvlText w:val="%1-%2.%3.%4.%5.%6.%7."/>
      <w:lvlJc w:val="left"/>
      <w:pPr>
        <w:tabs>
          <w:tab w:val="num" w:pos="312"/>
        </w:tabs>
        <w:ind w:left="0" w:hanging="0"/>
      </w:pPr>
      <w:rPr>
        <w:rFonts w:hint="default"/>
      </w:rPr>
    </w:lvl>
    <w:lvl w:ilvl="7">
      <w:start w:val="1"/>
      <w:numFmt w:val="decimal"/>
      <w:lvlText w:val="%1-%2.%3.%4.%5.%6.%7.%8."/>
      <w:lvlJc w:val="left"/>
      <w:pPr>
        <w:tabs>
          <w:tab w:val="num" w:pos="312"/>
        </w:tabs>
        <w:ind w:left="0" w:hanging="0"/>
      </w:pPr>
      <w:rPr>
        <w:rFonts w:hint="default"/>
      </w:rPr>
    </w:lvl>
    <w:lvl w:ilvl="8">
      <w:start w:val="1"/>
      <w:numFmt w:val="decimal"/>
      <w:lvlText w:val="%1-%2.%3.%4.%5.%6.%7.%8.%9."/>
      <w:lvlJc w:val="left"/>
      <w:pPr>
        <w:tabs>
          <w:tab w:val="num" w:pos="312"/>
        </w:tabs>
        <w:ind w:left="0" w:hanging="0"/>
      </w:pPr>
      <w:rPr>
        <w:rFonts w:hint="default"/>
      </w:rPr>
    </w:lvl>
  </w:abstractNum>
  <w:num w:numId="1">
    <w:abstractNumId w:val="0"/>
  </w:num>
  <w:num w:numId="2">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94"/>
  <w:doNotDisplayPageBoundaries/>
  <w:bordersDoNotSurroundHeader w:val="0"/>
  <w:bordersDoNotSurroundFooter w:val="0"/>
  <w:defaultTabStop w:val="420"/>
  <w:drawingGridHorizontalSpacing w:val="160"/>
  <w:drawingGridVerticalSpacing w:val="156"/>
  <w:displayHorizontalDrawingGridEvery w:val="1"/>
  <w:displayVerticalDrawingGridEvery w:val="1"/>
  <w:noPunctuationKerning/>
  <w:characterSpacingControl w:val="compressPunctuation"/>
  <w:compat>
    <w:spaceForUL/>
    <w:balanceSingleByteDoubleByteWidth/>
    <w:doNotExpandShiftReturn/>
    <w:adjustLineHeightInTable/>
    <w:doNotUseIndentAsNumberingTabStop/>
    <w:useAltKinsokuLineBreakRules/>
    <w:compatSetting w:name="compatibilityMode" w:uri="http://schemas.microsoft.com/office/word" w:val="14"/>
  </w:compat>
  <w:docVars>
    <w:docVar w:name="commondata" w:val="eyJoZGlkIjoiMGVlNmJlZGYwZTg1MjYxNTAxODM4MjUwMzM1N2Y4ODMifQ=="/>
    <w:docVar w:name="KSO_WPS_MARK_KEY" w:val="a27384e3-bcdc-40a0-9c8e-efe800663984"/>
  </w:docVars>
  <m:mathPr>
    <m:mathFont m:val="Cambria Math"/>
    <m:brkBin m:val="before"/>
    <m:brkBinSub m:val="--"/>
    <m:smallFrac m:val="0"/>
    <m:dispDef/>
    <m:lMargin m:val="0"/>
    <m:rMargin m:val="0"/>
    <m:defJc m:val="centerGroup"/>
    <m:wrapIndent m:val="1440"/>
    <m:intLim m:val="subSup"/>
    <m:naryLim m:val="undOvr"/>
  </m:mathPr>
  <w:doNotIncludeSubdocsInStat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qFormat/>
    <w:pPr>
      <w:widowControl w:val="0"/>
      <w:jc w:val="both"/>
    </w:pPr>
    <w:rPr>
      <w:rFonts w:ascii="Times New Roman" w:eastAsia="仿宋_GB2312" w:cs="Times New Roman" w:hAnsi="Times New Roman"/>
      <w:kern w:val="2"/>
      <w:sz w:val="32"/>
      <w:szCs w:val="32"/>
      <w:lang w:val="en-US" w:eastAsia="zh-CN" w:bidi="ar-SA"/>
    </w:rPr>
  </w:style>
  <w:style w:type="paragraph" w:styleId="1">
    <w:name w:val="heading 1"/>
    <w:qFormat/>
    <w:basedOn w:val="0"/>
    <w:next w:val="0"/>
    <w:link w:val="1Char"/>
    <w:pPr>
      <w:keepNext/>
      <w:keepLines/>
      <w:spacing w:before="340" w:after="330" w:line="578" w:lineRule="auto"/>
      <w:outlineLvl w:val="0"/>
    </w:pPr>
    <w:rPr>
      <w:b/>
      <w:bCs/>
      <w:kern w:val="44"/>
      <w:sz w:val="44"/>
      <w:szCs w:val="44"/>
    </w:rPr>
  </w:style>
  <w:style w:type="character" w:customStyle="1" w:styleId="1Char">
    <w:name w:val="heading 1 Char"/>
    <w:basedOn w:val="10"/>
    <w:link w:val="1"/>
    <w:rPr>
      <w:rFonts w:ascii="Times New Roman" w:eastAsia="仿宋_GB2312" w:cs="Times New Roman" w:hAnsi="Times New Roman"/>
      <w:b/>
      <w:bCs/>
      <w:kern w:val="44"/>
      <w:sz w:val="44"/>
      <w:szCs w:val="44"/>
      <w:lang w:val="en-US" w:eastAsia="zh-CN" w:bidi="ar-SA"/>
    </w:rPr>
  </w:style>
  <w:style w:type="paragraph" w:styleId="2">
    <w:name w:val="heading 2"/>
    <w:qFormat/>
    <w:basedOn w:val="0"/>
    <w:next w:val="0"/>
    <w:link w:val="2Char"/>
    <w:pPr>
      <w:keepNext/>
      <w:keepLines/>
      <w:spacing w:before="260" w:after="260" w:line="415" w:lineRule="auto"/>
      <w:outlineLvl w:val="1"/>
    </w:pPr>
    <w:rPr>
      <w:rFonts w:ascii="Times New Roman" w:eastAsia="黑体" w:hAnsi="Times New Roman"/>
      <w:b/>
      <w:bCs/>
      <w:sz w:val="32"/>
      <w:szCs w:val="32"/>
    </w:rPr>
  </w:style>
  <w:style w:type="character" w:customStyle="1" w:styleId="2Char">
    <w:name w:val="heading 2 Char"/>
    <w:basedOn w:val="10"/>
    <w:link w:val="2"/>
    <w:rPr>
      <w:rFonts w:ascii="Times New Roman" w:eastAsia="黑体" w:cs="Times New Roman" w:hAnsi="Times New Roman"/>
      <w:b/>
      <w:bCs/>
      <w:kern w:val="2"/>
      <w:sz w:val="32"/>
      <w:szCs w:val="32"/>
      <w:lang w:val="en-US" w:eastAsia="zh-CN" w:bidi="ar-SA"/>
    </w:rPr>
  </w:style>
  <w:style w:type="paragraph" w:styleId="3">
    <w:name w:val="heading 3"/>
    <w:qFormat/>
    <w:basedOn w:val="0"/>
    <w:next w:val="0"/>
    <w:link w:val="3Char"/>
    <w:pPr>
      <w:spacing w:before="0" w:beforeAutospacing="1" w:after="0" w:afterAutospacing="1"/>
      <w:jc w:val="left"/>
      <w:outlineLvl w:val="2"/>
    </w:pPr>
    <w:rPr>
      <w:rFonts w:ascii="宋体" w:eastAsia="宋体" w:cs="宋体" w:hAnsi="宋体"/>
      <w:b/>
      <w:kern w:val="0"/>
      <w:sz w:val="27"/>
      <w:szCs w:val="27"/>
      <w:lang w:val="en-US" w:eastAsia="zh-CN"/>
    </w:rPr>
  </w:style>
  <w:style w:type="character" w:customStyle="1" w:styleId="3Char">
    <w:name w:val="heading 3 Char"/>
    <w:basedOn w:val="10"/>
    <w:link w:val="3"/>
    <w:rPr>
      <w:rFonts w:ascii="宋体" w:eastAsia="宋体" w:cs="宋体" w:hAnsi="宋体"/>
      <w:b/>
      <w:kern w:val="0"/>
      <w:sz w:val="27"/>
      <w:szCs w:val="27"/>
      <w:lang w:val="en-US" w:eastAsia="zh-CN" w:bidi="ar-SA"/>
    </w:rPr>
  </w:style>
  <w:style w:type="character" w:default="1" w:styleId="10">
    <w:name w:val="Default Paragraph Font"/>
    <w:qFormat/>
  </w:style>
  <w:style w:type="paragraph" w:styleId="15">
    <w:name w:val="Normal (Web)"/>
    <w:qFormat/>
    <w:basedOn w:val="0"/>
    <w:pPr>
      <w:widowControl/>
      <w:spacing w:before="100" w:beforeAutospacing="1" w:after="100" w:afterAutospacing="1"/>
      <w:jc w:val="left"/>
    </w:pPr>
    <w:rPr>
      <w:rFonts w:ascii="宋体" w:eastAsia="宋体" w:cs="宋体" w:hAnsi="宋体"/>
      <w:kern w:val="0"/>
      <w:sz w:val="24"/>
      <w:szCs w:val="24"/>
    </w:rPr>
  </w:style>
  <w:style w:type="character" w:styleId="16">
    <w:name w:val="Strong"/>
    <w:qFormat/>
    <w:basedOn w:val="10"/>
    <w:rPr>
      <w:b/>
    </w:rPr>
  </w:style>
  <w:style w:type="character" w:styleId="17">
    <w:name w:val="Hyperlink"/>
    <w:qFormat/>
    <w:basedOn w:val="10"/>
    <w:rPr>
      <w:color w:val="0000FF"/>
      <w:u w:val="single"/>
    </w:rPr>
  </w:style>
  <w:style w:type="character" w:styleId="88">
    <w:name w:val="FollowedHyperlink"/>
    <w:qFormat/>
    <w:basedOn w:val="10"/>
    <w:rPr>
      <w:color w:val="800080"/>
      <w:u w:val="singl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customXml" Target="../customXml/item1.xml"/><Relationship Id="rId6" Type="http://schemas.openxmlformats.org/officeDocument/2006/relationships/theme" Target="theme/theme1.xml"/></Relationships>
</file>

<file path=word/theme/theme1.xml><?xml version="1.0" encoding="utf-8"?>
<a:theme xmlns:a="http://schemas.openxmlformats.org/drawingml/2006/main" name="Office 主题">
  <a:themeElements>
    <a:clrScheme name="Office 主题">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主题">
      <a:majorFont>
        <a:latin typeface=""/>
        <a:ea typeface=""/>
        <a:cs typeface=""/>
      </a:majorFont>
      <a:minorFont>
        <a:latin typeface=""/>
        <a:ea typeface=""/>
        <a:cs typeface=""/>
      </a:minorFont>
    </a:fontScheme>
    <a:fmtScheme name="Office 主题">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1"/>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1"/>
        </a:gradFill>
      </a:fillStyleLst>
      <a:lnStyleLst>
        <a:ln w="6350" cmpd="sng" cap="flat">
          <a:solidFill>
            <a:schemeClr val="phClr"/>
          </a:solidFill>
          <a:prstDash val="solid"/>
          <a:miter/>
        </a:ln>
        <a:ln w="12700" cmpd="sng" cap="flat">
          <a:solidFill>
            <a:schemeClr val="phClr"/>
          </a:solidFill>
          <a:prstDash val="solid"/>
          <a:miter/>
        </a:ln>
        <a:ln w="19050" cmpd="sng" cap="flat">
          <a:solidFill>
            <a:schemeClr val="phClr"/>
          </a:solidFill>
          <a:prstDash val="solid"/>
          <a:miter/>
        </a:ln>
      </a:lnStyleLst>
      <a:effectStyleLst>
        <a:effectStyle>
          <a:effectLst/>
        </a:effectStyle>
        <a:effectStyle>
          <a:effectLst/>
        </a:effectStyle>
        <a:effectStyle>
          <a:effectLst>
            <a:outerShdw sx="100000" sy="100000" algn="ctr" rotWithShape="0" blurRad="57150" dist="19050" dir="5400000">
              <a:srgbClr val="000000">
                <a:alpha val="62745"/>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1"/>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678 0 1 1 1 1"/>
    <sectPr/>
  </customProps>
</customData>
</file>

<file path=customXml/itemProps1.xml><?xml version="1.0" encoding="utf-8"?>
<ds:datastoreItem xmlns:ds="http://schemas.openxmlformats.org/officeDocument/2006/customXml" ds:itemID="{BC0AD97C-9133-4914-BFE7-A39CFEE6DCE0}">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2</TotalTime>
  <Application>WPS_Yozo_Office9.0.5962.102ZH.HE58</Application>
  <Pages>11</Pages>
  <Words>0</Words>
  <Characters>6813</Characters>
  <Lines>0</Lines>
  <Paragraphs>7</Paragraphs>
  <CharactersWithSpaces>9084</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dc:creator>
  <cp:lastModifiedBy>Administrator</cp:lastModifiedBy>
  <cp:revision>1</cp:revision>
  <dcterms:created xsi:type="dcterms:W3CDTF">2021-03-04T09:46:00Z</dcterms:created>
  <dcterms:modified xsi:type="dcterms:W3CDTF">2025-07-18T02:01:25Z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2052-11.1.0.14309</vt:lpwstr>
  </property>
  <property fmtid="{D5CDD505-2E9C-101B-9397-08002B2CF9AE}" pid="3" name="ICV">
    <vt:lpwstr>9F16FB8891BD4847ADDA2DCB941C5904_12</vt:lpwstr>
  </property>
</Properties>
</file>