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1785651</wp:posOffset>
                </wp:positionH>
                <wp:positionV relativeFrom="paragraph">
                  <wp:posOffset>12668</wp:posOffset>
                </wp:positionV>
                <wp:extent cx="2246629" cy="468630"/>
                <wp:effectExtent l="4444" t="5080" r="6985" b="21590"/>
                <wp:wrapNone/>
                <wp:docPr id="1" name="文本框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46629" cy="46863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 id="1"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  <w:lang w:eastAsia="zh-CN"/>
                              </w:rPr>
                              <w:t>乐市监</w:t>
                            </w:r>
                            <w:r>
                              <w:rPr>
                                <w:rFonts w:ascii="仿宋_GB2312" w:hAnsi="仿宋_GB2312" w:hint="eastAsia"/>
                                <w:sz w:val="32"/>
                                <w:szCs w:val="32"/>
                                <w:lang w:eastAsia="zh-CN"/>
                              </w:rPr>
                              <w:t>﹝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  <w:lang w:eastAsia="zh-CN"/>
                              </w:rPr>
                              <w:t>202</w:t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ascii="仿宋_GB2312" w:hAnsi="仿宋_GB2312" w:hint="eastAsia"/>
                                <w:sz w:val="32"/>
                                <w:szCs w:val="32"/>
                                <w:lang w:eastAsia="zh-CN"/>
                              </w:rPr>
                              <w:t>﹞</w:t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  <w:lang w:eastAsia="zh-CN"/>
                              </w:rPr>
                              <w:t>号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type="#_x0000_t1" id="文本框 2" o:spid="_x0000_s2" fillcolor="#FFFFFF" stroked="t" style="position:absolute;margin-left:140.60248pt;margin-top:0.9975014pt;width:176.89998pt;height:36.9pt;mso-width-percent:400;mso-height-percent:200;mso-width-relative:margin;mso-height-relative:margin;z-index:12;mso-position-horizontal:absolute;mso-position-vertical:absolute;mso-wrap-style:square;">
                <v:stroke color="#FFFFFF"/>
                <v:textbox id="848" inset="2.54mm,1.27mm,2.54mm,1.27mm" o:insetmode="custom" style="layout-flow:horizontal;v-text-anchor:top;mso-fit-shape-to-text:t;">
                  <w:txbxContent>
                    <w:p>
                      <w:pPr>
                        <w:rPr>
                          <w:rFonts w:ascii="仿宋_GB2312" w:eastAsia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  <w:lang w:eastAsia="zh-CN"/>
                        </w:rPr>
                        <w:t>乐市监</w:t>
                      </w:r>
                      <w:r>
                        <w:rPr>
                          <w:rFonts w:ascii="仿宋_GB2312" w:hAnsi="仿宋_GB2312" w:hint="eastAsia"/>
                          <w:sz w:val="32"/>
                          <w:szCs w:val="32"/>
                          <w:lang w:eastAsia="zh-CN"/>
                        </w:rPr>
                        <w:t>﹝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  <w:lang w:eastAsia="zh-CN"/>
                        </w:rPr>
                        <w:t>202</w:t>
                      </w:r>
                      <w:r>
                        <w:rPr>
                          <w:rFonts w:ascii="仿宋_GB2312" w:eastAsia="仿宋_GB2312"/>
                          <w:sz w:val="32"/>
                          <w:szCs w:val="32"/>
                          <w:lang w:val="en-US" w:eastAsia="zh-CN"/>
                        </w:rPr>
                        <w:t>5</w:t>
                      </w:r>
                      <w:r>
                        <w:rPr>
                          <w:rFonts w:ascii="仿宋_GB2312" w:hAnsi="仿宋_GB2312" w:hint="eastAsia"/>
                          <w:sz w:val="32"/>
                          <w:szCs w:val="32"/>
                          <w:lang w:eastAsia="zh-CN"/>
                        </w:rPr>
                        <w:t>﹞</w:t>
                      </w:r>
                      <w:r>
                        <w:rPr>
                          <w:rFonts w:ascii="仿宋_GB2312" w:eastAsia="仿宋_GB2312"/>
                          <w:sz w:val="32"/>
                          <w:szCs w:val="32"/>
                          <w:lang w:val="en-US" w:eastAsia="zh-CN"/>
                        </w:rPr>
                        <w:t>14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  <w:lang w:eastAsia="zh-CN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spacing w:line="540" w:lineRule="exact"/>
        <w:rPr>
          <w:rFonts w:ascii="方正小标宋简体" w:eastAsia="方正小标宋简体"/>
          <w:sz w:val="28"/>
          <w:szCs w:val="28"/>
          <w:lang w:eastAsia="zh-CN"/>
        </w:rPr>
      </w:pPr>
    </w:p>
    <w:p>
      <w:pPr>
        <w:widowControl/>
        <w:spacing w:line="540" w:lineRule="exact"/>
        <w:jc w:val="both"/>
        <w:rPr>
          <w:rFonts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 w:val="0"/>
        <w:autoSpaceDN w:val="0"/>
        <w:adjustRightInd w:val="0"/>
        <w:snapToGrid w:val="0"/>
        <w:spacing w:line="540" w:lineRule="exact"/>
        <w:contextualSpacing w:val="0"/>
        <w:jc w:val="center"/>
        <w:rPr>
          <w:rFonts w:ascii="方正小标宋简体" w:eastAsia="方正小标宋简体" w:hint="eastAsia"/>
          <w:kern w:val="2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关于印发《乐亭县</w:t>
      </w:r>
      <w:r>
        <w:rPr>
          <w:rFonts w:ascii="方正小标宋简体" w:eastAsia="方正小标宋简体" w:hint="eastAsia"/>
          <w:kern w:val="2"/>
          <w:sz w:val="44"/>
          <w:szCs w:val="44"/>
        </w:rPr>
        <w:t>市场监管系统2025年</w:t>
      </w:r>
    </w:p>
    <w:p>
      <w:pPr>
        <w:widowControl/>
        <w:spacing w:line="54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kern w:val="2"/>
          <w:sz w:val="44"/>
          <w:szCs w:val="44"/>
        </w:rPr>
        <w:t>“双随机、一公开”监管工作实施方案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》</w:t>
      </w:r>
    </w:p>
    <w:p>
      <w:pPr>
        <w:widowControl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的通知</w:t>
      </w:r>
    </w:p>
    <w:p>
      <w:pPr>
        <w:spacing w:line="540" w:lineRule="exact"/>
        <w:rPr>
          <w:rFonts w:ascii="仿宋_GB2312" w:eastAsia="仿宋_GB2312" w:hAnsi="宋体"/>
          <w:sz w:val="32"/>
          <w:szCs w:val="32"/>
          <w:lang w:eastAsia="zh-CN"/>
        </w:rPr>
      </w:pPr>
    </w:p>
    <w:p>
      <w:pPr>
        <w:spacing w:line="540" w:lineRule="exact"/>
        <w:rPr>
          <w:rFonts w:ascii="仿宋_GB2312" w:eastAsia="仿宋_GB2312" w:hAnsi="宋体"/>
          <w:sz w:val="32"/>
          <w:szCs w:val="32"/>
          <w:lang w:eastAsia="zh-CN"/>
        </w:rPr>
      </w:pPr>
    </w:p>
    <w:p>
      <w:pPr>
        <w:spacing w:line="540" w:lineRule="exact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综合执法</w:t>
      </w:r>
      <w:r>
        <w:rPr>
          <w:rFonts w:ascii="仿宋_GB2312" w:eastAsia="仿宋_GB2312" w:hAnsi="宋体"/>
          <w:sz w:val="32"/>
          <w:szCs w:val="32"/>
          <w:lang w:eastAsia="zh-CN"/>
        </w:rPr>
        <w:t>大队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，各分局，各</w:t>
      </w:r>
      <w:r>
        <w:rPr>
          <w:rFonts w:ascii="仿宋_GB2312" w:eastAsia="仿宋_GB2312" w:hAnsi="宋体"/>
          <w:sz w:val="32"/>
          <w:szCs w:val="32"/>
          <w:lang w:eastAsia="zh-CN"/>
        </w:rPr>
        <w:t>股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室:</w:t>
      </w:r>
    </w:p>
    <w:p>
      <w:pPr>
        <w:spacing w:beforeAutospacing="0" w:afterAutospacing="0"/>
        <w:ind w:firstLineChars="200" w:firstLine="632"/>
      </w:pPr>
      <w:r>
        <w:rPr>
          <w:rFonts w:ascii="仿宋_GB2312" w:eastAsia="仿宋_GB2312" w:hAnsi="仿宋" w:hint="eastAsia"/>
          <w:bCs/>
          <w:color w:val="000000"/>
          <w:sz w:val="32"/>
          <w:szCs w:val="32"/>
          <w:lang w:eastAsia="zh-CN"/>
        </w:rPr>
        <w:t>现将《乐亭县</w:t>
      </w:r>
      <w:r>
        <w:rPr>
          <w:rFonts w:ascii="仿宋_GB2312" w:eastAsia="仿宋_GB2312" w:cs="Times New Roman" w:hAnsi="仿宋" w:hint="eastAsia"/>
          <w:bCs/>
          <w:kern w:val="2"/>
          <w:sz w:val="32"/>
          <w:szCs w:val="32"/>
        </w:rPr>
        <w:t>市场监管系统2025年“双随机、一公开”监管工作实施方案</w:t>
      </w:r>
      <w:r>
        <w:rPr>
          <w:rFonts w:ascii="仿宋_GB2312" w:eastAsia="仿宋_GB2312" w:hAnsi="仿宋" w:hint="eastAsia"/>
          <w:bCs/>
          <w:color w:val="000000"/>
          <w:sz w:val="32"/>
          <w:szCs w:val="32"/>
          <w:lang w:eastAsia="zh-CN"/>
        </w:rPr>
        <w:t>》印发给你们，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请结合实际，认真贯彻实施。</w:t>
      </w:r>
    </w:p>
    <w:p>
      <w:pPr>
        <w:pStyle w:val="15"/>
        <w:spacing w:line="540" w:lineRule="exact"/>
        <w:ind w:right="496"/>
      </w:pPr>
    </w:p>
    <w:p>
      <w:pPr>
        <w:pStyle w:val="15"/>
        <w:spacing w:line="540" w:lineRule="exact"/>
        <w:ind w:right="496"/>
      </w:pPr>
    </w:p>
    <w:p>
      <w:pPr>
        <w:tabs>
          <w:tab w:val="left" w:pos="7655"/>
        </w:tabs>
        <w:spacing w:line="540" w:lineRule="exact"/>
        <w:ind w:firstLineChars="200" w:firstLine="632"/>
        <w:jc w:val="right"/>
        <w:rPr>
          <w:rFonts w:ascii="仿宋_GB2312" w:eastAsia="仿宋_GB2312" w:hAnsi="仿宋"/>
          <w:bCs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  <w:lang w:eastAsia="zh-CN"/>
        </w:rPr>
        <w:t>乐亭县市场监督管理局</w:t>
      </w:r>
    </w:p>
    <w:p>
      <w:pPr>
        <w:spacing w:line="540" w:lineRule="exact"/>
        <w:ind w:firstLineChars="200" w:firstLine="632"/>
        <w:jc w:val="center"/>
        <w:rPr>
          <w:rFonts w:ascii="仿宋_GB2312" w:eastAsia="仿宋_GB2312" w:hAnsi="仿宋"/>
          <w:bCs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  <w:lang w:val="en-US" w:eastAsia="zh-CN"/>
        </w:rPr>
        <w:t xml:space="preserve">                                 </w:t>
      </w:r>
      <w:r>
        <w:rPr>
          <w:rFonts w:ascii="仿宋_GB2312" w:eastAsia="仿宋_GB2312" w:hAnsi="仿宋" w:hint="eastAsia"/>
          <w:bCs/>
          <w:color w:val="000000"/>
          <w:sz w:val="32"/>
          <w:szCs w:val="32"/>
          <w:lang w:eastAsia="zh-CN"/>
        </w:rPr>
        <w:t>202</w:t>
      </w:r>
      <w:r>
        <w:rPr>
          <w:rFonts w:ascii="仿宋_GB2312" w:eastAsia="仿宋_GB2312" w:hAnsi="仿宋"/>
          <w:bCs/>
          <w:color w:val="000000"/>
          <w:sz w:val="32"/>
          <w:szCs w:val="32"/>
          <w:lang w:eastAsia="zh-CN"/>
        </w:rPr>
        <w:t>5</w:t>
      </w:r>
      <w:r>
        <w:rPr>
          <w:rFonts w:ascii="仿宋_GB2312" w:eastAsia="仿宋_GB2312" w:hAnsi="仿宋" w:hint="eastAsia"/>
          <w:bCs/>
          <w:color w:val="000000"/>
          <w:sz w:val="32"/>
          <w:szCs w:val="32"/>
          <w:lang w:eastAsia="zh-CN"/>
        </w:rPr>
        <w:t>年</w:t>
      </w:r>
      <w:r>
        <w:rPr>
          <w:rFonts w:ascii="仿宋_GB2312" w:eastAsia="仿宋_GB2312" w:hAnsi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ascii="仿宋_GB2312" w:eastAsia="仿宋_GB2312" w:hAnsi="仿宋" w:hint="eastAsia"/>
          <w:bCs/>
          <w:color w:val="000000"/>
          <w:sz w:val="32"/>
          <w:szCs w:val="32"/>
          <w:lang w:eastAsia="zh-CN"/>
        </w:rPr>
        <w:t>月</w:t>
      </w:r>
      <w:r>
        <w:rPr>
          <w:rFonts w:ascii="仿宋_GB2312" w:eastAsia="仿宋_GB2312" w:hAnsi="仿宋"/>
          <w:bCs/>
          <w:color w:val="000000"/>
          <w:sz w:val="32"/>
          <w:szCs w:val="32"/>
          <w:lang w:eastAsia="zh-CN"/>
        </w:rPr>
        <w:t>1</w:t>
      </w:r>
      <w:r>
        <w:rPr>
          <w:rFonts w:ascii="仿宋_GB2312" w:eastAsia="仿宋_GB2312" w:hAnsi="仿宋" w:hint="eastAsia"/>
          <w:bCs/>
          <w:color w:val="000000"/>
          <w:sz w:val="32"/>
          <w:szCs w:val="32"/>
          <w:lang w:eastAsia="zh-CN"/>
        </w:rPr>
        <w:t>日</w:t>
      </w:r>
    </w:p>
    <w:p>
      <w:pPr>
        <w:widowControl/>
        <w:spacing w:line="540" w:lineRule="exact"/>
        <w:rPr>
          <w:rFonts w:ascii="方正小标宋简体" w:eastAsia="方正小标宋简体" w:cs="方正小标宋简体" w:hAnsi="方正小标宋简体"/>
          <w:sz w:val="40"/>
          <w:szCs w:val="40"/>
          <w:lang w:eastAsia="zh-CN"/>
        </w:rPr>
      </w:pPr>
    </w:p>
    <w:p>
      <w:pPr>
        <w:tabs>
          <w:tab w:val="left" w:pos="1756"/>
        </w:tabs>
        <w:bidi w:val="0"/>
        <w:jc w:val="left"/>
        <w:rPr>
          <w:rFonts w:ascii="宋体" w:eastAsia="宋体" w:cs="宋体" w:hAnsi="宋体"/>
          <w:kern w:val="0"/>
          <w:sz w:val="22"/>
          <w:szCs w:val="22"/>
          <w:lang w:val="en-US" w:eastAsia="zh-CN" w:bidi="ar-SA"/>
        </w:rPr>
        <w:sectPr>
          <w:footerReference w:type="default" r:id="rId2"/>
          <w:pgSz w:w="11907" w:h="16840"/>
          <w:pgMar w:top="2098" w:right="1474" w:bottom="1985" w:left="1588" w:header="851" w:footer="1701" w:gutter="0"/>
          <w:pgNumType w:fmt="numberInDash" w:start="1"/>
          <w:cols w:num="1" w:space="720"/>
          <w:docGrid w:type="linesAndChars" w:linePitch="579" w:charSpace="-842"/>
        </w:sectPr>
      </w:pPr>
      <w:r>
        <w:rPr>
          <w:rFonts w:cs="宋体" w:hint="eastAsia"/>
          <w:kern w:val="0"/>
          <w:sz w:val="22"/>
          <w:szCs w:val="22"/>
          <w:lang w:val="en-US" w:eastAsia="zh-CN" w:bidi="ar-SA"/>
        </w:rPr>
        <w:tab/>
      </w:r>
    </w:p>
    <w:p>
      <w:pPr>
        <w:adjustRightInd w:val="0"/>
        <w:snapToGrid w:val="0"/>
        <w:spacing w:line="540" w:lineRule="exact"/>
        <w:jc w:val="center"/>
        <w:rPr>
          <w:rFonts w:ascii="方正小标宋简体" w:eastAsia="方正小标宋简体" w:cs="方正小标宋简体" w:hAnsi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  <w:lang w:eastAsia="zh-CN"/>
        </w:rPr>
        <w:t>乐亭县市场监管系统2025年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  <w:lang w:eastAsia="zh-CN"/>
        </w:rPr>
        <w:t>“双随机、一公开”监管工作实施方案</w:t>
      </w:r>
    </w:p>
    <w:p>
      <w:pPr>
        <w:adjustRightInd w:val="0"/>
        <w:snapToGrid w:val="0"/>
        <w:spacing w:line="540" w:lineRule="exact"/>
        <w:jc w:val="center"/>
        <w:rPr>
          <w:rFonts w:ascii="方正小标宋_GBK" w:eastAsia="方正小标宋_GBK" w:cs="Times New Roman" w:hAnsi="仿宋"/>
          <w:sz w:val="44"/>
          <w:szCs w:val="44"/>
          <w:lang w:eastAsia="zh-CN"/>
        </w:rPr>
      </w:pPr>
    </w:p>
    <w:p>
      <w:pPr>
        <w:spacing w:beforeAutospacing="0" w:afterAutospacing="0"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kern w:val="2"/>
          <w:sz w:val="32"/>
          <w:szCs w:val="32"/>
        </w:rPr>
        <w:t>为认真贯彻落实</w:t>
      </w:r>
      <w:r>
        <w:rPr>
          <w:rFonts w:ascii="仿宋_GB2312" w:eastAsia="仿宋_GB2312" w:hAnsi="仿宋"/>
          <w:bCs/>
          <w:color w:val="000000"/>
          <w:kern w:val="2"/>
          <w:sz w:val="32"/>
          <w:szCs w:val="32"/>
        </w:rPr>
        <w:t>上级</w:t>
      </w:r>
      <w:r>
        <w:rPr>
          <w:rFonts w:ascii="仿宋_GB2312" w:eastAsia="仿宋_GB2312" w:hAnsi="仿宋" w:hint="eastAsia"/>
          <w:bCs/>
          <w:color w:val="000000"/>
          <w:kern w:val="2"/>
          <w:sz w:val="32"/>
          <w:szCs w:val="32"/>
        </w:rPr>
        <w:t>和省局关于“双随机、一公开”监管工作的部署要求，</w:t>
      </w:r>
      <w:r>
        <w:rPr>
          <w:rFonts w:ascii="仿宋_GB2312" w:eastAsia="仿宋_GB2312" w:hAnsi="仿宋" w:hint="eastAsia"/>
          <w:color w:val="000000"/>
          <w:kern w:val="2"/>
          <w:sz w:val="32"/>
          <w:szCs w:val="32"/>
        </w:rPr>
        <w:t>持续提升“双随机、一公开”监管效能，进一步规范涉企行政检查，根据《国务院办公厅关于严格规范涉企行政检查的意见》（国办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发〔2024〕54号）和《市场监管总局关于全面深化“双随机、一公开”监管规范涉企行政检查服务高质量发展的意见》（国市监信规〔2024〕5号）要求，</w:t>
      </w:r>
      <w:r>
        <w:rPr>
          <w:rFonts w:ascii="仿宋_GB2312" w:eastAsia="仿宋_GB2312" w:hAnsi="仿宋" w:hint="eastAsia"/>
          <w:color w:val="000000"/>
          <w:kern w:val="2"/>
          <w:sz w:val="32"/>
          <w:szCs w:val="32"/>
        </w:rPr>
        <w:t>制定本方案。</w:t>
      </w:r>
    </w:p>
    <w:p>
      <w:pPr>
        <w:spacing w:beforeAutospacing="0" w:afterAutospacing="0" w:line="48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lang w:eastAsia="zh-CN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lang w:eastAsia="zh-CN"/>
        </w:rPr>
        <w:t>一、工作目标</w:t>
      </w:r>
    </w:p>
    <w:p>
      <w:pPr>
        <w:spacing w:beforeAutospacing="0" w:afterAutospacing="0" w:line="4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持续深化“双随机、一公开”监管，强化市场监管系统内部联合抽查和跨部门联合抽查，拓展“一业一查”监管模式，不断扩大联合抽查的覆盖面和占比率，防止重复检查、多头检查；深入推进信用风险差异化抽查，聚焦问题线索、风险隐患和重点领域，开展靶向抽查，提升监管效能；探索开展非现场检查，切实压减涉企检查频次，促进营商环境持续优化。</w:t>
      </w:r>
    </w:p>
    <w:p>
      <w:pPr>
        <w:spacing w:beforeAutospacing="0" w:afterAutospacing="0" w:line="480" w:lineRule="exact"/>
        <w:ind w:firstLineChars="200" w:firstLine="640"/>
        <w:rPr>
          <w:rFonts w:ascii="黑体" w:eastAsia="黑体" w:cs="Times New Roman" w:hAnsi="黑体"/>
          <w:bCs/>
          <w:color w:val="000000"/>
          <w:sz w:val="32"/>
          <w:szCs w:val="32"/>
          <w:lang w:eastAsia="zh-CN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lang w:eastAsia="zh-CN"/>
        </w:rPr>
        <w:t>二、主要工作任务</w:t>
      </w:r>
    </w:p>
    <w:p>
      <w:pPr>
        <w:spacing w:beforeAutospacing="0" w:afterAutospacing="0" w:line="4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/>
          <w:b/>
          <w:bCs/>
          <w:color w:val="000000"/>
          <w:sz w:val="32"/>
          <w:szCs w:val="32"/>
          <w:lang w:eastAsia="zh-CN"/>
        </w:rPr>
        <w:t>（一）</w:t>
      </w:r>
      <w:r>
        <w:rPr>
          <w:rFonts w:ascii="仿宋_GB2312" w:eastAsia="仿宋_GB2312" w:hAnsi="仿宋" w:hint="eastAsia"/>
          <w:b/>
          <w:bCs/>
          <w:color w:val="000000"/>
          <w:sz w:val="32"/>
          <w:szCs w:val="32"/>
          <w:lang w:eastAsia="zh-CN"/>
        </w:rPr>
        <w:t>夯实工作基础。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依托河北省双随机执法监管平台(以下简称监管平台)，持续完善“一单两库一指引”。一是动态调整确认县级抽查事项清单。在监管平台中组织对涉及县级监管事权的事项进行认领。二是完善检查对象名录库。结合监管实际，及时充实、完善检查对象名录库，在监管平台中做好新增主体监管对象的认领、非主体类监管对象导入，并按照行业类别和监管领域进行分类标注，根据工作需要进行动态调整。三是完善执法人员名录库。指导、督促本单位内设机构管理员对执法人员名录库的管理、调整和维护，根据执法队伍实际、内部职能划分、执法人员专长等因素，通过分类标注加强对执法人员的分类管理，实现对检查对象的精准抽取、执法人员的精准匹配，提升检查质效。</w:t>
      </w:r>
    </w:p>
    <w:p>
      <w:pPr>
        <w:spacing w:beforeAutospacing="0" w:afterAutospacing="0" w:line="4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b/>
          <w:bCs/>
          <w:color w:val="000000"/>
          <w:sz w:val="32"/>
          <w:szCs w:val="32"/>
          <w:lang w:eastAsia="zh-CN"/>
        </w:rPr>
        <w:t>（二）规范工作程序。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规范抽查工作计划。根据上级要求、结合</w:t>
      </w:r>
      <w:r>
        <w:rPr>
          <w:rFonts w:ascii="仿宋_GB2312" w:eastAsia="仿宋_GB2312" w:hAnsi="仿宋"/>
          <w:color w:val="000000"/>
          <w:sz w:val="32"/>
          <w:szCs w:val="32"/>
          <w:lang w:eastAsia="zh-CN"/>
        </w:rPr>
        <w:t>我局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监管实际，统筹制定2025年度双随机抽查实施方案和抽查计划，合理安排抽查任务，确保完成年度抽查企业占比不低于3%的目标，对个体工商户、农民专业合作社抽查比例根据</w:t>
      </w:r>
      <w:r>
        <w:rPr>
          <w:rFonts w:ascii="仿宋_GB2312" w:eastAsia="仿宋_GB2312" w:hAnsi="仿宋"/>
          <w:color w:val="000000"/>
          <w:sz w:val="32"/>
          <w:szCs w:val="32"/>
          <w:lang w:eastAsia="zh-CN"/>
        </w:rPr>
        <w:t>监管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实际确定。完成年度抽查计划的制定、上报和公示。严格履行调整年度抽查计划的线下、线上工作程序，对确需增加或取消的抽查计划，调整后的年度抽查计划要及时向社会公开。规范实施抽查检查。按照年度随机抽查计划安排，依据《河北省“双随机、一公开”监管工作规范》《唐山市“双随机、一公开”监管工作规范化的指导意见》科学合理组织实施抽查检查。按照省司法厅统一部署，适时在“冀上双随机”掌上端上线入企检查二维码，实施“扫码入企”检查，通过“事前告知、事中记录、事后回看”，对执法检查全过程监督，使涉企检查更加规范、透明。规范抽查结果处置。抽查结束后，要及时公示检查结果。及时将相关抽查资料归档，确保档案资料齐全，签字完整，提高“双随机、一公开”监管规范化水平。</w:t>
      </w:r>
    </w:p>
    <w:p>
      <w:pPr>
        <w:tabs>
          <w:tab w:val="left" w:pos="1050"/>
        </w:tabs>
        <w:spacing w:beforeAutospacing="0" w:afterAutospacing="0" w:line="4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>
        <w:rPr>
          <w:rFonts w:ascii="楷体_GB2312" w:eastAsia="楷体_GB2312" w:hAnsi="楷体" w:hint="eastAsia"/>
          <w:b/>
          <w:bCs/>
          <w:color w:val="000000"/>
          <w:sz w:val="32"/>
          <w:szCs w:val="32"/>
          <w:lang w:eastAsia="zh-CN"/>
        </w:rPr>
        <w:t>（三）深化联合抽查。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以制定年度随机抽查计划为抓手，坚持“应合尽合、应联尽联”的原则，深入推进系统内部联合抽查，将系统内部检查对象相近、交集度较多的单项抽查检查计划进行优化整合，充分考虑联合的科学性，必要性和有效性，避免无方向、无针对性的大批量盲目随机，提高联合抽查质效。大力推行“一业一查”部门联合监管新模式，以全省“一业一查”清单为指导，根据监管实际，不断拓展联合监管领域和范围，按照行业领域，积极开展联合抽查，实现对经营主体“一次上门、集中规范、全面整改”，减少对经营主体正常生产经营的干扰。要积极运用企业信用风险分类结果，实施差异化随机抽查，提升“双随机、一公开”监管的精准性和震慑力。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left" w:pos="1636"/>
        </w:tabs>
        <w:bidi w:val="0"/>
        <w:spacing w:before="0" w:beforeAutospacing="0" w:after="0" w:afterAutospacing="0" w:line="480" w:lineRule="exact"/>
        <w:ind w:left="0" w:right="0" w:firstLine="800"/>
        <w:jc w:val="both"/>
        <w:rPr>
          <w:rFonts w:ascii="楷体_GB2312" w:eastAsia="楷体_GB2312" w:cs="楷体_GB2312" w:hAnsi="楷体_GB2312" w:hint="eastAsia"/>
          <w:color w:val="000000"/>
          <w:sz w:val="32"/>
          <w:szCs w:val="32"/>
          <w:lang w:eastAsia="zh-CN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z w:val="32"/>
          <w:szCs w:val="32"/>
          <w:lang w:eastAsia="zh-CN"/>
        </w:rPr>
        <w:t>（四）探索非现场检查。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积极探索建立非现场监管工作制度和业务流程，以抽查事项清单为引领，以制定年度抽查计划为抓手，科学合理确定非现场检查任务，对可通过书面检查、网络监测、信息核查、远程互动等非现场无感式监管的，不再实施现场检查，切实压减现场检查频次，减少对经营主体正常经营的干扰。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left" w:pos="1636"/>
        </w:tabs>
        <w:bidi w:val="0"/>
        <w:spacing w:before="0" w:beforeAutospacing="0" w:after="0" w:afterAutospacing="0" w:line="480" w:lineRule="exact"/>
        <w:ind w:left="0" w:right="0" w:firstLine="800"/>
        <w:jc w:val="both"/>
        <w:rPr>
          <w:rFonts w:ascii="楷体_GB2312" w:eastAsia="楷体_GB2312" w:cs="楷体_GB2312" w:hAnsi="楷体_GB2312" w:hint="eastAsia"/>
          <w:color w:val="000000"/>
          <w:sz w:val="32"/>
          <w:szCs w:val="32"/>
          <w:lang w:eastAsia="zh-CN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z w:val="32"/>
          <w:szCs w:val="32"/>
          <w:lang w:eastAsia="zh-CN"/>
        </w:rPr>
        <w:t>（五）聚焦重点任务。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结合投诉举报、舆情监测、风险预警等发现的问题线索，组织开展靶向抽查，加大抽查问题处置和惩戒力度，促进市场环境健康有序发展。贯彻落实新修订《公司法》，做好登记事项、实缴公示信息监管聚焦“一照多址”“零值年报”等企业登记事项和公示信息监管、大型企业拖欠中小企业账款、特种设备生产充装单位和检验检测机构、强制性认证获证企业等领域，积极配合省局开展专项抽查，确保抽查取得实效。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left" w:pos="1636"/>
        </w:tabs>
        <w:bidi w:val="0"/>
        <w:spacing w:before="0" w:beforeAutospacing="0" w:after="0" w:afterAutospacing="0" w:line="480" w:lineRule="exact"/>
        <w:ind w:left="0" w:right="0" w:firstLine="800"/>
        <w:jc w:val="both"/>
        <w:rPr>
          <w:rFonts w:ascii="楷体_GB2312" w:eastAsia="楷体_GB2312" w:cs="楷体_GB2312" w:hAnsi="楷体_GB2312" w:hint="eastAsia"/>
          <w:color w:val="000000"/>
          <w:sz w:val="32"/>
          <w:szCs w:val="32"/>
          <w:lang w:eastAsia="zh-CN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z w:val="32"/>
          <w:szCs w:val="32"/>
          <w:lang w:eastAsia="zh-CN"/>
        </w:rPr>
        <w:t>（六）推行服务型监管。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牢固树立服务型监管理念，开展双随机现场检查时，加强合规指导，帮助经营主体及时发现经营过程中可能发生的违法失信风险，做到早发现、早纠正。积极向经营主体宣传市场监管相关法律法规，为经营主体提供政策解读，提高经营主体自觉守法、诚信经营意识，实现与经营主体的良性互动，助力经营主体高质量发展。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left" w:pos="1636"/>
        </w:tabs>
        <w:bidi w:val="0"/>
        <w:spacing w:before="0" w:beforeAutospacing="0" w:after="0" w:afterAutospacing="0" w:line="480" w:lineRule="exact"/>
        <w:ind w:left="0" w:right="0" w:firstLine="800"/>
        <w:jc w:val="both"/>
        <w:rPr>
          <w:rFonts w:ascii="楷体_GB2312" w:eastAsia="楷体_GB2312" w:cs="楷体_GB2312" w:hAnsi="楷体_GB2312" w:hint="eastAsia"/>
          <w:color w:val="000000"/>
          <w:sz w:val="32"/>
          <w:szCs w:val="32"/>
          <w:lang w:eastAsia="zh-CN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z w:val="32"/>
          <w:szCs w:val="32"/>
          <w:lang w:eastAsia="zh-CN"/>
        </w:rPr>
        <w:t>（七）强化结果运用。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本着“谁检查、谁录入、谁公示”的原则，在检查结束后20个工作日内在监管平台中录入检查结果并向社会公示。进一步健全随机抽查后续处置工作机制，要对抽查中发现的违法违规问题，及时移交有处置权限的机构和相关部门进行调查处理，加大联合惩戒力度，并将后续处置结果录入监管平台，确保形成监管闭环。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left" w:pos="1636"/>
        </w:tabs>
        <w:spacing w:before="0" w:beforeAutospacing="0" w:after="0" w:afterAutospacing="0" w:line="480" w:lineRule="exact"/>
        <w:ind w:left="0" w:firstLine="80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z w:val="32"/>
          <w:szCs w:val="32"/>
          <w:lang w:eastAsia="zh-CN"/>
        </w:rPr>
        <w:t>（八）加大宣传培训。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加大对“双随机、一公开”监管政策的宣传力度，通过多种途径、采取多种形式宣传“双随机、一公开”监管工作的政策措施和监管成效，将双随机抽查的操作流程、检查标准、失信行为惩戒等向社会、市场主体开展普法宣传，提高市场主体对双随机抽查的认知度。要加大对执法人员业务培训力度，组织</w:t>
      </w:r>
      <w:r>
        <w:rPr>
          <w:rFonts w:ascii="仿宋_GB2312" w:eastAsia="仿宋_GB2312" w:hAnsi="仿宋"/>
          <w:color w:val="000000"/>
          <w:sz w:val="32"/>
          <w:szCs w:val="32"/>
          <w:lang w:eastAsia="zh-CN"/>
        </w:rPr>
        <w:t>执法人员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对《随机抽查工作规范—河北省地方标准》、抽查检查工作指引及监管平台相关模块功能进行培训，确保执法人员能够熟练掌握监管平台功能，提升执法人员抽查检查水平和发现问题能力，培养一批业务能力强、综合素质高、“一专多能”的执法人员。</w:t>
      </w:r>
    </w:p>
    <w:p>
      <w:pPr>
        <w:spacing w:beforeAutospacing="0" w:afterAutospacing="0" w:line="480" w:lineRule="exact"/>
        <w:ind w:firstLineChars="200" w:firstLine="640"/>
        <w:rPr>
          <w:rFonts w:ascii="楷体_GB2312" w:eastAsia="楷体_GB2312" w:cs="楷体_GB2312" w:hAnsi="楷体_GB2312" w:hint="eastAsia"/>
          <w:color w:val="000000"/>
          <w:sz w:val="32"/>
          <w:szCs w:val="32"/>
          <w:lang w:eastAsia="zh-CN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lang w:eastAsia="zh-CN"/>
        </w:rPr>
        <w:t>三、工作要求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left" w:pos="1636"/>
        </w:tabs>
        <w:bidi w:val="0"/>
        <w:spacing w:before="0" w:beforeAutospacing="0" w:after="0" w:afterAutospacing="0" w:line="480" w:lineRule="exact"/>
        <w:ind w:left="0" w:right="0" w:firstLine="800"/>
        <w:jc w:val="both"/>
        <w:rPr>
          <w:rFonts w:ascii="楷体_GB2312" w:eastAsia="楷体_GB2312" w:cs="楷体_GB2312" w:hAnsi="楷体_GB2312" w:hint="eastAsia"/>
          <w:color w:val="000000"/>
          <w:sz w:val="32"/>
          <w:szCs w:val="32"/>
          <w:lang w:eastAsia="zh-CN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z w:val="32"/>
          <w:szCs w:val="32"/>
          <w:lang w:eastAsia="zh-CN"/>
        </w:rPr>
        <w:t>（一）加强组织领导。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积极发挥牵头抓总作用，强化组织领导和统筹协调，细化目标任务和推进措施，形成工作合力</w:t>
      </w:r>
      <w:r>
        <w:rPr>
          <w:rFonts w:ascii="仿宋_GB2312" w:eastAsia="仿宋_GB2312" w:hAnsi="仿宋"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确保“双随机、一公开”监管工作落地见效。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left" w:pos="1636"/>
        </w:tabs>
        <w:bidi w:val="0"/>
        <w:spacing w:before="0" w:beforeAutospacing="0" w:after="0" w:afterAutospacing="0" w:line="480" w:lineRule="exact"/>
        <w:ind w:left="0" w:right="0" w:firstLine="800"/>
        <w:jc w:val="both"/>
        <w:rPr>
          <w:rFonts w:ascii="楷体_GB2312" w:eastAsia="楷体_GB2312" w:cs="楷体_GB2312" w:hAnsi="楷体_GB2312" w:hint="eastAsia"/>
          <w:color w:val="000000"/>
          <w:sz w:val="32"/>
          <w:szCs w:val="32"/>
          <w:lang w:eastAsia="zh-CN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z w:val="32"/>
          <w:szCs w:val="32"/>
          <w:lang w:eastAsia="zh-CN"/>
        </w:rPr>
        <w:t>（二）严格抽查纪律。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今年是市场监管系统行风建设三年攻坚行动的“巩固提升”年，</w:t>
      </w:r>
      <w:r>
        <w:rPr>
          <w:rFonts w:ascii="仿宋_GB2312" w:eastAsia="仿宋_GB2312" w:hAnsi="仿宋"/>
          <w:color w:val="000000"/>
          <w:sz w:val="32"/>
          <w:szCs w:val="32"/>
          <w:lang w:eastAsia="zh-CN"/>
        </w:rPr>
        <w:t>各单位要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严格落实国务院、市场监管总局关于规范涉企行政检查的部署要求，推动行风建设和业务工作深度融合，进一步压实主体责任，规范抽查检查行为，入企检查时要做到“五个严禁”“八个不得”，坚决杜绝任性检查、运动式检查和以各种名义变相检查等行为，自觉维护市场监管良好形象。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left" w:pos="1636"/>
        </w:tabs>
        <w:bidi w:val="0"/>
        <w:spacing w:before="0" w:beforeAutospacing="0" w:after="0" w:afterAutospacing="0" w:line="480" w:lineRule="exact"/>
        <w:ind w:left="0" w:right="0" w:firstLine="800"/>
        <w:jc w:val="both"/>
        <w:rPr>
          <w:rFonts w:ascii="仿宋_GB2312" w:eastAsia="仿宋_GB2312" w:cs="宋体" w:hAnsi="仿宋" w:hint="eastAsia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z w:val="32"/>
          <w:szCs w:val="32"/>
          <w:lang w:eastAsia="zh-CN"/>
        </w:rPr>
        <w:t>（三）强化责任担当。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科学合理制定每期随机抽查工作实施方案，抽查前要组织参与检查的执法人员进行相关业务培训；执法检查人员要本着对检查对象、检查结果负责的原则，严格按照确定的时间、抽查事项、检查流程和相关要求开展抽查检查，认真录入抽查检查结果；复核人员、主管领导要把好审核关，减少因操作失误造成方案作废、检查结果录入错误等现象。</w:t>
      </w:r>
    </w:p>
    <w:p>
      <w:pPr>
        <w:spacing w:beforeAutospacing="0" w:afterAutospacing="0" w:line="4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>
        <w:rPr>
          <w:rFonts w:ascii="楷体_GB2312" w:eastAsia="楷体_GB2312" w:hAnsi="楷体" w:hint="eastAsia"/>
          <w:b/>
          <w:bCs/>
          <w:color w:val="000000"/>
          <w:sz w:val="32"/>
          <w:szCs w:val="32"/>
          <w:lang w:eastAsia="zh-CN"/>
        </w:rPr>
        <w:t>（三）</w:t>
      </w:r>
      <w:r>
        <w:rPr>
          <w:rFonts w:ascii="楷体_GB2312" w:eastAsia="楷体_GB2312" w:hAnsi="楷体" w:hint="eastAsia"/>
          <w:b/>
          <w:bCs/>
          <w:color w:val="000000"/>
          <w:sz w:val="32"/>
          <w:szCs w:val="32"/>
          <w:lang w:val="en-US" w:eastAsia="zh-CN"/>
        </w:rPr>
        <w:t>及时报送信息</w:t>
      </w:r>
      <w:r>
        <w:rPr>
          <w:rFonts w:ascii="楷体_GB2312" w:eastAsia="楷体_GB2312" w:hAnsi="楷体" w:hint="eastAsia"/>
          <w:b/>
          <w:bCs/>
          <w:color w:val="000000"/>
          <w:sz w:val="32"/>
          <w:szCs w:val="32"/>
          <w:lang w:eastAsia="zh-CN"/>
        </w:rPr>
        <w:t>。</w:t>
      </w:r>
      <w:r>
        <w:rPr>
          <w:rFonts w:ascii="仿宋_GB2312" w:eastAsia="仿宋_GB2312" w:hAnsi="楷体" w:hint="eastAsia"/>
          <w:color w:val="000000"/>
          <w:sz w:val="32"/>
          <w:szCs w:val="32"/>
          <w:lang w:eastAsia="zh-CN"/>
        </w:rPr>
        <w:t>各相关</w:t>
      </w:r>
      <w:r>
        <w:rPr>
          <w:rFonts w:ascii="仿宋_GB2312" w:eastAsia="仿宋_GB2312" w:hAnsi="楷体"/>
          <w:color w:val="000000"/>
          <w:sz w:val="32"/>
          <w:szCs w:val="32"/>
          <w:lang w:eastAsia="zh-CN"/>
        </w:rPr>
        <w:t>股</w:t>
      </w:r>
      <w:r>
        <w:rPr>
          <w:rFonts w:ascii="仿宋_GB2312" w:eastAsia="仿宋_GB2312" w:hAnsi="楷体" w:hint="eastAsia"/>
          <w:color w:val="000000"/>
          <w:sz w:val="32"/>
          <w:szCs w:val="32"/>
          <w:lang w:eastAsia="zh-CN"/>
        </w:rPr>
        <w:t>室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要严格根据信息报送制度要求，于每月18日前向信用监管</w:t>
      </w:r>
      <w:r>
        <w:rPr>
          <w:rFonts w:ascii="仿宋_GB2312" w:eastAsia="仿宋_GB2312" w:hAnsi="仿宋"/>
          <w:color w:val="000000"/>
          <w:sz w:val="32"/>
          <w:szCs w:val="32"/>
          <w:lang w:eastAsia="zh-CN"/>
        </w:rPr>
        <w:t>股</w:t>
      </w:r>
      <w:bookmarkStart w:id="0" w:name="_GoBack"/>
      <w:bookmarkEnd w:id="0"/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报送本月“双随机一公开”工作情况,由信用监管</w:t>
      </w:r>
      <w:r>
        <w:rPr>
          <w:rFonts w:ascii="仿宋_GB2312" w:eastAsia="仿宋_GB2312" w:hAnsi="仿宋"/>
          <w:color w:val="000000"/>
          <w:sz w:val="32"/>
          <w:szCs w:val="32"/>
          <w:lang w:eastAsia="zh-CN"/>
        </w:rPr>
        <w:t>股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汇总上报。对抽查及平台使用中遇到的问题及工作中好的经验做法，及时反馈信用监管科。</w:t>
      </w:r>
    </w:p>
    <w:p>
      <w:pPr>
        <w:spacing w:line="540" w:lineRule="exact"/>
        <w:ind w:firstLineChars="200" w:firstLine="640"/>
        <w:rPr>
          <w:rFonts w:ascii="仿宋_GB2312" w:eastAsia="仿宋_GB2312" w:cs="Times New Roman" w:hAnsi="仿宋"/>
          <w:color w:val="000000"/>
          <w:sz w:val="32"/>
          <w:szCs w:val="32"/>
          <w:lang w:eastAsia="zh-CN"/>
        </w:rPr>
      </w:pPr>
    </w:p>
    <w:p>
      <w:pPr>
        <w:spacing w:line="540" w:lineRule="exact"/>
        <w:ind w:leftChars="51" w:left="112"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>
      <w:pPr>
        <w:pStyle w:val="15"/>
        <w:spacing w:line="540" w:lineRule="exact"/>
        <w:ind w:right="502"/>
        <w:rPr>
          <w:rFonts w:ascii="仿宋_GB2312" w:eastAsia="仿宋_GB2312"/>
          <w:szCs w:val="32"/>
        </w:rPr>
      </w:pPr>
    </w:p>
    <w:p>
      <w:pPr>
        <w:adjustRightInd w:val="0"/>
        <w:snapToGrid w:val="0"/>
        <w:spacing w:line="540" w:lineRule="exact"/>
        <w:ind w:firstLineChars="1450" w:firstLine="4524"/>
        <w:rPr>
          <w:rFonts w:ascii="仿宋_GB2312" w:eastAsia="仿宋_GB2312" w:hAnsi="宋体"/>
          <w:spacing w:val="-4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altName w:val="微软雅黑"/>
    <w:panose1 w:val="00000000000000000000"/>
    <w:charset w:val="86"/>
    <w:family w:val="script"/>
    <w:pitch w:val="variable"/>
    <w:sig w:usb0="00000000" w:usb1="00000000" w:usb2="00000000" w:usb3="00000000" w:csb0="00040000" w:csb1="0000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ingLiU">
    <w:altName w:val="宋体"/>
    <w:panose1 w:val="02020509000000000000"/>
    <w:charset w:val="88"/>
    <w:family w:val="auto"/>
    <w:pitch w:val="variable"/>
    <w:sig w:usb0="00000000" w:usb1="00000000" w:usb2="00000016" w:usb3="00000000" w:csb0="0010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906546606"/>
      <w:docPartList>
        <w:docPartGallery w:val="autotext"/>
      </w:docPartList>
    </w:sdtPr>
    <w:sdtContent>
      <w:p>
        <w:pPr>
          <w:pStyle w:val="17"/>
          <w:tabs>
            <w:tab w:val="center" w:pos="4153"/>
            <w:tab w:val="right" w:pos="8306"/>
          </w:tabs>
          <w:jc w:val="center"/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- 2 -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>
    <w:pPr>
      <w:pStyle w:val="17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autoSpaceDE w:val="0"/>
      <w:autoSpaceDN w:val="0"/>
    </w:pPr>
    <w:rPr>
      <w:rFonts w:ascii="宋体" w:eastAsia="宋体" w:cs="宋体" w:hAnsi="宋体"/>
      <w:kern w:val="0"/>
      <w:sz w:val="22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宋体" w:eastAsia="宋体" w:cs="宋体" w:hAnsi="宋体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宋体" w:hAnsi="Times New Roman"/>
      <w:b/>
      <w:bCs/>
      <w:kern w:val="0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宋体" w:eastAsia="宋体" w:cs="宋体" w:hAnsi="宋体"/>
      <w:b/>
      <w:bCs/>
      <w:kern w:val="0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pPr>
      <w:autoSpaceDE/>
      <w:autoSpaceDN/>
      <w:spacing w:after="120"/>
      <w:jc w:val="both"/>
    </w:pPr>
    <w:rPr>
      <w:rFonts w:eastAsia="方正仿宋简体" w:cs="Times New Roman"/>
      <w:kern w:val="2"/>
      <w:sz w:val="32"/>
      <w:szCs w:val="24"/>
      <w:lang w:eastAsia="zh-CN"/>
    </w:rPr>
  </w:style>
  <w:style w:type="paragraph" w:styleId="16">
    <w:name w:val="Balloon Text"/>
    <w:qFormat/>
    <w:basedOn w:val="0"/>
    <w:pPr>
      <w:autoSpaceDE/>
      <w:autoSpaceDN/>
      <w:jc w:val="both"/>
    </w:pPr>
    <w:rPr>
      <w:rFonts w:ascii="Calibri" w:eastAsia="宋体" w:cs="Arial" w:hAnsi="Calibri"/>
      <w:kern w:val="2"/>
      <w:sz w:val="18"/>
      <w:szCs w:val="18"/>
      <w:lang w:eastAsia="zh-CN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  <w:autoSpaceDE/>
      <w:autoSpaceDN/>
      <w:snapToGrid w:val="0"/>
    </w:pPr>
    <w:rPr>
      <w:rFonts w:ascii="Calibri" w:eastAsia="宋体" w:cs="Arial" w:hAnsi="Calibri"/>
      <w:kern w:val="2"/>
      <w:sz w:val="18"/>
      <w:szCs w:val="18"/>
      <w:lang w:eastAsia="zh-CN"/>
    </w:rPr>
  </w:style>
  <w:style w:type="paragraph" w:styleId="18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Calibri" w:eastAsia="宋体" w:cs="Arial" w:hAnsi="Calibri"/>
      <w:kern w:val="2"/>
      <w:sz w:val="18"/>
      <w:szCs w:val="18"/>
      <w:lang w:eastAsia="zh-CN"/>
    </w:rPr>
  </w:style>
  <w:style w:type="paragraph" w:customStyle="1" w:yozoId="4094" w:styleId="19">
    <w:name w:val="正文文本1"/>
    <w:qFormat/>
    <w:basedOn w:val="0"/>
    <w:pPr>
      <w:widowControl w:val="0"/>
      <w:shd w:val="clear" w:color="auto" w:fill="FFFFFF"/>
      <w:spacing w:line="401" w:lineRule="auto"/>
      <w:ind w:firstLine="400"/>
    </w:pPr>
    <w:rPr>
      <w:rFonts w:ascii="MingLiU" w:eastAsia="MingLiU" w:cs="MingLiU" w:hAnsi="MingLiU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50000" r="50000" b="5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  <sectPr/>
  </customProps>
</customData>
</file>

<file path=customXml/itemProps1.xml><?xml version="1.0" encoding="utf-8"?>
<ds:datastoreItem xmlns:ds="http://schemas.openxmlformats.org/officeDocument/2006/customXml" ds:itemID="{B8ED358E-B529-477B-80A1-43A17C6F389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2383</TotalTime>
  <Application>WPS_Yozo_Office9.0.5962.102ZH.HE58</Application>
  <Pages>6</Pages>
  <Words>0</Words>
  <Characters>2270</Characters>
  <Lines>0</Lines>
  <Paragraphs>45</Paragraphs>
  <CharactersWithSpaces>3027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123</dc:creator>
  <cp:lastModifiedBy>Administrator</cp:lastModifiedBy>
  <cp:revision>22</cp:revision>
  <cp:lastPrinted>2025-04-01T02:05:48Z</cp:lastPrinted>
  <dcterms:created xsi:type="dcterms:W3CDTF">2023-01-18T01:26:00Z</dcterms:created>
  <dcterms:modified xsi:type="dcterms:W3CDTF">2025-04-01T02:42:00Z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2052-11.8.2.11542</vt:lpwstr>
  </property>
  <property fmtid="{D5CDD505-2E9C-101B-9397-08002B2CF9AE}" pid="3" name="ICV">
    <vt:lpwstr>227198C568B643E6A266A0B230738C82</vt:lpwstr>
  </property>
</Properties>
</file>