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keepNext w:val="0"/>
        <w:keepLines w:val="0"/>
        <w:pageBreakBefore w:val="0"/>
        <w:kinsoku/>
        <w:wordWrap/>
        <w:overflowPunct/>
        <w:topLinePunct w:val="0"/>
        <w:autoSpaceDE/>
        <w:autoSpaceDN/>
        <w:bidi w:val="0"/>
        <w:adjustRightInd/>
        <w:snapToGrid/>
        <w:spacing w:before="0" w:after="0" w:line="600" w:lineRule="exact"/>
        <w:ind w:left="0" w:right="0" w:firstLine="0"/>
        <w:jc w:val="center"/>
        <w:textAlignment w:val="auto"/>
        <w:rPr>
          <w:rFonts w:ascii="黑体" w:eastAsia="黑体" w:hAnsi="黑体" w:hint="eastAsia"/>
          <w:lang w:val="en-US" w:eastAsia="zh-CN"/>
        </w:rPr>
      </w:pPr>
      <w:r>
        <w:rPr>
          <w:rFonts w:ascii="黑体" w:eastAsia="黑体" w:hAnsi="黑体" w:hint="eastAsia"/>
          <w:lang w:val="en-US" w:eastAsia="zh-CN"/>
        </w:rPr>
        <w:t>责任事项和追责情形依据分表</w:t>
      </w:r>
    </w:p>
    <w:p>
      <w:pPr>
        <w:keepNext w:val="0"/>
        <w:keepLines w:val="0"/>
        <w:pageBreakBefore w:val="0"/>
        <w:kinsoku/>
        <w:wordWrap/>
        <w:overflowPunct/>
        <w:topLinePunct w:val="0"/>
        <w:autoSpaceDE/>
        <w:autoSpaceDN/>
        <w:bidi w:val="0"/>
        <w:adjustRightInd/>
        <w:snapToGrid/>
        <w:spacing w:before="0" w:after="0" w:line="600" w:lineRule="exact"/>
        <w:ind w:right="0"/>
        <w:textAlignment w:val="auto"/>
        <w:rPr>
          <w:rFonts w:ascii="仿宋_GB2312" w:hint="eastAsia"/>
          <w:lang w:val="en-US" w:eastAsia="zh-CN"/>
        </w:rPr>
      </w:pPr>
      <w:r>
        <w:rPr>
          <w:rFonts w:ascii="楷体_GB2312" w:eastAsia="楷体_GB2312" w:hAnsi="楷体_GB2312" w:hint="eastAsia"/>
          <w:sz w:val="28"/>
          <w:lang w:val="en-US" w:eastAsia="zh-CN"/>
        </w:rPr>
        <w:t>单位：</w:t>
      </w:r>
      <w:r>
        <w:rPr>
          <w:rFonts w:ascii="楷体_GB2312" w:eastAsia="楷体_GB2312" w:cs="Arial" w:hAnsi="楷体_GB2312" w:hint="eastAsia"/>
          <w:sz w:val="28"/>
          <w:lang w:val="en-US" w:eastAsia="zh-CN"/>
        </w:rPr>
        <w:t>乐亭县商务和投资促进局（公章）</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808"/>
        <w:gridCol w:w="1458"/>
        <w:gridCol w:w="5254"/>
        <w:gridCol w:w="4982"/>
        <w:gridCol w:w="1335"/>
      </w:tblGrid>
      <w:tr>
        <w:trPr>
          <w:trHeight w:val="425"/>
        </w:trPr>
        <w:tc>
          <w:tcPr>
            <w:tcW w:w="808" w:type="dxa"/>
            <w:vAlign w:val="center"/>
          </w:tcPr>
          <w:p>
            <w:pPr>
              <w:keepNext w:val="0"/>
              <w:keepLines w:val="0"/>
              <w:pageBreakBefore w:val="0"/>
              <w:widowControl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ascii="黑体" w:eastAsia="黑体" w:hAnsi="黑体" w:hint="eastAsia"/>
                <w:sz w:val="24"/>
                <w:vertAlign w:val="baseline"/>
                <w:lang w:val="en-US" w:eastAsia="zh-CN"/>
              </w:rPr>
            </w:pPr>
            <w:r>
              <w:rPr>
                <w:rFonts w:ascii="黑体" w:eastAsia="黑体" w:hAnsi="黑体" w:hint="eastAsia"/>
                <w:sz w:val="24"/>
                <w:vertAlign w:val="baseline"/>
                <w:lang w:val="en-US" w:eastAsia="zh-CN"/>
              </w:rPr>
              <w:t>序号</w:t>
            </w:r>
          </w:p>
        </w:tc>
        <w:tc>
          <w:tcPr>
            <w:tcW w:w="1458" w:type="dxa"/>
            <w:vAlign w:val="center"/>
          </w:tcPr>
          <w:p>
            <w:pPr>
              <w:keepNext w:val="0"/>
              <w:keepLines w:val="0"/>
              <w:pageBreakBefore w:val="0"/>
              <w:widowControl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ascii="黑体" w:eastAsia="黑体" w:hAnsi="黑体" w:hint="eastAsia"/>
                <w:sz w:val="24"/>
                <w:vertAlign w:val="baseline"/>
                <w:lang w:val="en-US" w:eastAsia="zh-CN"/>
              </w:rPr>
            </w:pPr>
            <w:r>
              <w:rPr>
                <w:rFonts w:ascii="黑体" w:eastAsia="黑体" w:hAnsi="黑体" w:hint="eastAsia"/>
                <w:sz w:val="24"/>
                <w:vertAlign w:val="baseline"/>
                <w:lang w:val="en-US" w:eastAsia="zh-CN"/>
              </w:rPr>
              <w:t>权力事项</w:t>
            </w:r>
          </w:p>
        </w:tc>
        <w:tc>
          <w:tcPr>
            <w:tcW w:w="5254" w:type="dxa"/>
            <w:vAlign w:val="center"/>
          </w:tcPr>
          <w:p>
            <w:pPr>
              <w:keepNext w:val="0"/>
              <w:keepLines w:val="0"/>
              <w:pageBreakBefore w:val="0"/>
              <w:widowControl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ascii="黑体" w:eastAsia="黑体" w:hAnsi="黑体" w:hint="eastAsia"/>
                <w:sz w:val="24"/>
                <w:vertAlign w:val="baseline"/>
                <w:lang w:val="en-US" w:eastAsia="zh-CN"/>
              </w:rPr>
            </w:pPr>
            <w:r>
              <w:rPr>
                <w:rFonts w:ascii="黑体" w:eastAsia="黑体" w:hAnsi="黑体" w:hint="eastAsia"/>
                <w:sz w:val="24"/>
                <w:vertAlign w:val="baseline"/>
                <w:lang w:val="en-US" w:eastAsia="zh-CN"/>
              </w:rPr>
              <w:t>责任事项依据</w:t>
            </w:r>
          </w:p>
        </w:tc>
        <w:tc>
          <w:tcPr>
            <w:tcW w:w="4982" w:type="dxa"/>
            <w:vAlign w:val="center"/>
          </w:tcPr>
          <w:p>
            <w:pPr>
              <w:keepNext w:val="0"/>
              <w:keepLines w:val="0"/>
              <w:pageBreakBefore w:val="0"/>
              <w:widowControl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ascii="黑体" w:eastAsia="黑体" w:hAnsi="黑体" w:hint="eastAsia"/>
                <w:sz w:val="24"/>
                <w:vertAlign w:val="baseline"/>
                <w:lang w:val="en-US" w:eastAsia="zh-CN"/>
              </w:rPr>
            </w:pPr>
            <w:r>
              <w:rPr>
                <w:rFonts w:ascii="黑体" w:eastAsia="黑体" w:hAnsi="黑体" w:hint="eastAsia"/>
                <w:sz w:val="24"/>
                <w:vertAlign w:val="baseline"/>
                <w:lang w:val="en-US" w:eastAsia="zh-CN"/>
              </w:rPr>
              <w:t>追责情形依据</w:t>
            </w:r>
          </w:p>
        </w:tc>
        <w:tc>
          <w:tcPr>
            <w:tcW w:w="1335" w:type="dxa"/>
            <w:vAlign w:val="center"/>
          </w:tcPr>
          <w:p>
            <w:pPr>
              <w:keepNext w:val="0"/>
              <w:keepLines w:val="0"/>
              <w:pageBreakBefore w:val="0"/>
              <w:widowControl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ascii="黑体" w:eastAsia="黑体" w:hAnsi="黑体" w:hint="eastAsia"/>
                <w:sz w:val="24"/>
                <w:vertAlign w:val="baseline"/>
                <w:lang w:val="en-US" w:eastAsia="zh-CN"/>
              </w:rPr>
            </w:pPr>
            <w:r>
              <w:rPr>
                <w:rFonts w:ascii="黑体" w:eastAsia="黑体" w:hAnsi="黑体" w:hint="eastAsia"/>
                <w:sz w:val="24"/>
                <w:vertAlign w:val="baseline"/>
                <w:lang w:val="en-US" w:eastAsia="zh-CN"/>
              </w:rPr>
              <w:t>备注</w:t>
            </w:r>
          </w:p>
        </w:tc>
      </w:tr>
      <w:tr>
        <w:trPr>
          <w:trHeight w:val="6079"/>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以商务、旅游、留学等名义组织劳务人员赴国外工作；允许其他单位或个人以本企业名义组织劳务人员赴国外工作；组织劳务人员赴国外从事与赌博、色情活动相关的工作的处罚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《对外劳务合作管理条例》（2012年国务院令第620号）第四十条：商务主管部门吊销其对外劳务合作经营资格证书，有违法所得的予以没收</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.商务主管部门和其他有关部门的工作人员，在对外劳务合作监督管理工作中有下列行为之一的，依法给予处分；构成犯罪的，依法追究刑事责任：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（一）对不符合本条例规定条件的对外劳务合作经营资格申请予以批准；</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（二）对外劳务合作企业不再具备本条例规定的条件而不撤销原批准；</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（三）对违反本条例规定组织劳务人员赴国外工作以及其他违反本条例规定的行为不依法查处；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（四）其他滥用职权、玩忽职守、徇私舞弊，不依法履行监督管理职责的行为。</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5251"/>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未与国外雇主签订劳务合作合同组织劳务人员赴国外工作；未与劳务人员订立劳务合作合同或劳动合同，组织劳务人员赴国外工作；与未经批准的国外雇主或与外国的个人订立合同，组织劳务人员赴国外工作；在订立劳务合作合同时，隐瞒有关信息或者提供虚假信息；在国外发生突发事件未及时处理；停止开展对外劳务合作，未对其派出的尚在国外工作的劳务人员做出安排；拒不将服务合同或劳务合作合同或劳动合同副本报商务主管部门备案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对外劳务合作管理条例》（2012年国务院令第620号）第四十三条：由商务主管部门责令改正，处10万元以上20万元以下的罚款，并对其主要负责人处2万元以上5万元以下的罚款；在国外引起重大劳务纠纷、突发事件或者造成其他严重后果的，吊销其对外劳务合作经营资格证书</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.商务主管部门和其他有关部门的工作人员，在对外劳务合作监督管理工作中有下列行为之一的，依法给予处分；构成犯罪的，依法追究刑事责任：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（一）对不符合本条例规定条件的对外劳务合作经营资格申请予以批准；</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（二）对外劳务合作企业不再具备本条例规定的条件而不撤销原批准；</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（三）对违反本条例规定组织劳务人员赴国外工作以及其他违反本条例规定的行为不依法查处；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（四）其他滥用职权、玩忽职守、徇私舞弊，不依法履行监督管理职责的行为。</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3964"/>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未安排劳务人员接受培训、未按规定为劳务人员购买在国外工作期间的人身意外伤害保险、未按规定安排随行管理人员的处罚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《对外劳务合作管理条例》（2012年国务院令第620号）第四十二条：由商务主管部门责令改正；拒不改正的，处5万元以上10万元以下的罚款，并对其主要负责人处1万元以上3万元以下的罚款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.商务主管部门和其他有关部门的工作人员，在对外劳务合作监督管理工作中有下列行为之一的，依法给予处分；构成犯罪的，依法追究刑事责任：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（一）对不符合本条例规定条件的对外劳务合作经营资格申请予以批准；</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（二）对外劳务合作企业不再具备本条例规定的条件而不撤销原批准；</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（三）对违反本条例规定组织劳务人员赴国外工作以及其他违反本条例规定的行为不依法查处；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　　（四）其他滥用职权、玩忽职守、徇私舞弊，不依法履行监督管理职责的行为。</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580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4</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零售商滥用优势地位从事不公平交易行为的处罚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供应商公平交易管理办法》（商务部、国家发展和改革委员会、公安部、国家税务总局、国家工商行政管理总局令2006年第17号）第六条、第二十三条：法律法规有规定的，从其规定；没有规定的，责令改正；有违法所得的，可处违法所得三倍以下罚款，但最高不超过三万元；没有违法所得的，可处一万元以下罚款；并可向社会公告。</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零售商供应商公平交易</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1665"/>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5</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零售商收取促销服务费后，未按合同约定向供应商提供相应的服务，擅自终止服务或降低法务标准，并拒绝向供应商发还未提供服务部分费用的处罚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零售商供应商公平交易</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580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6</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零售商违规收费行为的处罚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零售商供应商公平交易</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580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7</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零售商违规延迟向供应商支付货款行为的处罚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零售商供应商公平交易</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580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8</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供应商供货时，强行搭售零售商未定购商品的处罚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零售商供应商公平交易</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319"/>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9</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供应商供货时，限制零售商销售其他供应商商品的处罚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零售商供应商公平交易管理办法》（商务部、国家发展和改革委员会、公安部、国家税务总局、国家工商行政管理总局令2006年第17号）第十八条、第二十三条：法律法规有规定的，从其规定；没有规定的，责令改正；有违法所得的，可处违法所得三倍以下罚款，但最高不超过三万元；没有违法所得的，可处一万元以下罚款；并可向社会公告。</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零售商供应商公平交易</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355"/>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10</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发卡企业未在开展单用途卡业务之日起30日内按照规定办理备案的处罚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 xml:space="preserve">《单用途商业预付卡管理办法》（试行）（商务部令2012年第9号）第三十六条：发卡企业违反本办法第七条规定的，由违法行为发生地县级以上地方人民政府商务主管部门责令限期改正；逾期仍不改正的，处以1万元以上3万元以下罚款。 </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发卡企业</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631"/>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11</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发卡企业违规发行预付卡行为的处罚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 xml:space="preserve">《单用途商业预付卡管理办法》（试行）（商务部令2012年第9号）第三十七条：发卡企业或售卡企业违反本办法第十四条至第二十二条规定的，由违法行为发生地县级以上地方人民政府商务主管部门责令限期改正；逾期仍不改正的，处以1万元以上3万元以下罚款。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发卡企业</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355"/>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12</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发卡企业违反资金管理行为的处罚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《单用途商业预付卡管理办法》（试行）（商务部令2012年第9号）第三十:八条：发卡企业违反本办法第二十九条规定，造成重大损失的，由备案机关处以1万元以上3万元以下罚款。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发卡企业</w:t>
            </w:r>
            <w:r>
              <w:rPr>
                <w:rFonts w:ascii="宋体" w:eastAsia="宋体" w:cs="宋体" w:hAnsi="宋体" w:hint="eastAsia"/>
                <w:kern w:val="0"/>
                <w:sz w:val="18"/>
                <w:szCs w:val="18"/>
              </w:rPr>
              <w:t>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079"/>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13</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家庭服务机构违规经营行为的处罚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《家庭服务业管理暂行办法》（商务部令2012年第11号）第三十二条、第三十三条、第三十四条、第三十五条、第三十六条：</w:t>
            </w:r>
            <w:r>
              <w:rPr>
                <w:rFonts w:ascii="宋体" w:eastAsia="宋体" w:cs="宋体" w:hAnsi="宋体" w:hint="eastAsia"/>
                <w:kern w:val="0"/>
                <w:sz w:val="18"/>
                <w:szCs w:val="18"/>
              </w:rPr>
              <w:t>第三十二条 家庭服务机构违反本办法第九条规定，未公开服务项目、收费标准和投诉监督电话的，由商务主管部门责令改正；拒不改正的，可处5000元以下罚款。第三十三条 家庭服务机构违反本办法第十条规定，未按要求建立工作档案、跟踪管理制度，对消费者和家庭服务员之间的投诉不予妥善处理的，由商务主管部门责令改正；拒不改正的，可处2万元以下罚款。第三十四条 家庭服务机构违反本办法第十一条、第二十六条规定，未按要求提供信息的，由商务主管部门责令改正；拒不改正的，可处1万元以下罚款。第三十五条 家庭服务机构有本办法第十二条规定行为的，由商务主管部门或有关主管部门责令改正；拒不改正的，属于商务主管部门职责的，可处3万元以下罚款，属于其他部门职责的，由商务主管部门提请有关主管部门处理。第三十六条 家庭服务机构违反本办法第十三条、第十四条、第十五条规定，未按要求订立家庭服务合同的，拒绝家庭服务员获取家庭服务合同的，由商务主管部门或有关部门责令改正；拒不改正的，可处3万元以下罚款。  </w:t>
            </w:r>
            <w:r>
              <w:rPr>
                <w:rFonts w:ascii="宋体" w:eastAsia="宋体" w:cs="宋体" w:hAnsi="宋体" w:hint="eastAsia"/>
                <w:kern w:val="0"/>
                <w:sz w:val="18"/>
                <w:szCs w:val="18"/>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商务主管部门在家庭服务业监督管理工作中，玩忽职守、滥用职权、徇私舞弊的，依法给予行政处分；构成犯罪的，依法追究刑事责任。 </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631"/>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14</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外国投资者或者外商投资企业未按照本办法要求报送投资信息</w:t>
            </w:r>
            <w:r>
              <w:rPr>
                <w:rFonts w:ascii="宋体" w:eastAsia="宋体" w:cs="宋体" w:hAnsi="宋体" w:hint="eastAsia"/>
                <w:kern w:val="0"/>
                <w:sz w:val="18"/>
                <w:szCs w:val="18"/>
                <w:lang w:val="en-US" w:eastAsia="zh-CN"/>
              </w:rPr>
              <w:t>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《外商投资信息报告办法》第二十五条 外国投资者或者外商投资企业未按照本办法要求报送投资信息，且在商务主管部门通知后未按照本办法第十九条予以补报或更正的，由商务主管部门责令其于20个工作日内改正;逾期不改正的，处十万元以上三十万元以下罚款;逾期不改正且存在以下情形的，处三十万元以上五十万元以下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外商投资者或者外商投资企业</w:t>
            </w:r>
            <w:r>
              <w:rPr>
                <w:rFonts w:ascii="宋体" w:eastAsia="宋体" w:cs="宋体" w:hAnsi="宋体" w:hint="eastAsia"/>
                <w:kern w:val="0"/>
                <w:sz w:val="18"/>
                <w:szCs w:val="18"/>
              </w:rPr>
              <w:t>监督管理工作中，玩忽职守、滥用职权、徇私舞弊的，依法给予行政处分；构成犯罪的，依法追究刑事责任。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5888"/>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15</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家电维修经营者违反《家电维修服务业管理办法》第九条规定的处罚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《家电维修服务业管理办法》第十四条：违反本办法第九条规定，情节严重的，可处三万元以下罚款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家电维修服务业</w:t>
            </w:r>
            <w:r>
              <w:rPr>
                <w:rFonts w:ascii="宋体" w:eastAsia="宋体" w:cs="宋体" w:hAnsi="宋体" w:hint="eastAsia"/>
                <w:kern w:val="0"/>
                <w:sz w:val="18"/>
                <w:szCs w:val="18"/>
              </w:rPr>
              <w:t>监督管理工作中，玩忽职守、滥用职权、徇私舞弊的，依法给予行政处分；构成犯罪的，依法追究刑事责任。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079"/>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16</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kern w:val="0"/>
                <w:sz w:val="18"/>
                <w:szCs w:val="18"/>
                <w:lang w:val="en-US" w:eastAsia="zh-CN"/>
              </w:rPr>
            </w:pPr>
            <w:r>
              <w:rPr>
                <w:rFonts w:ascii="宋体" w:eastAsia="宋体" w:cs="宋体" w:hAnsi="宋体" w:hint="eastAsia"/>
                <w:kern w:val="0"/>
                <w:sz w:val="18"/>
                <w:szCs w:val="18"/>
                <w:lang w:val="en-US" w:eastAsia="zh-CN"/>
              </w:rPr>
              <w:t>市场经营者违反第十一条、第十二条、第十三条、第十四条、第十七条、第十八条、第十九条、第二十一条规定的处罚</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商品现货市场交易特别规定</w:t>
            </w: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第二十三条： 市场经营者违反第十一条、第十二条、第十三条、第十四条、第十七条、第十八条、第十九条、第二十一条规定，由县级以上商务主管部门会同有关部门责令改正。逾期不改的，处一万元以上三万元以下罚款。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商品现货市场</w:t>
            </w:r>
            <w:r>
              <w:rPr>
                <w:rFonts w:ascii="宋体" w:eastAsia="宋体" w:cs="宋体" w:hAnsi="宋体" w:hint="eastAsia"/>
                <w:kern w:val="0"/>
                <w:sz w:val="18"/>
                <w:szCs w:val="18"/>
              </w:rPr>
              <w:t>监督管理工作中，玩忽职守、滥用职权、徇私舞弊的，依法给予行政处分；构成犯罪的，依法追究刑事责任。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23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17</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对于餐饮经营者违反餐饮业经营管理规定的处罚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餐饮业经营管理办法</w:t>
            </w: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第二十一条：</w:t>
            </w:r>
            <w:r>
              <w:rPr>
                <w:rFonts w:ascii="宋体" w:eastAsia="宋体" w:cs="宋体" w:hAnsi="宋体" w:hint="eastAsia"/>
                <w:kern w:val="0"/>
                <w:sz w:val="18"/>
                <w:szCs w:val="18"/>
              </w:rPr>
              <w:t>对于餐饮经营者违反本办法的行为，法律法规及规章有规定的，商务主管部门可提请有关部门依法处罚；没有规定的，由商务主管部门责令限期改正，其中有违法所得的，可处违法所得3倍以下罚款，但最高不超过3万元；没有违法所得的，可处1万元以下罚款；对涉嫌犯罪的，依法移送司法机关处理。</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商务主管部门在</w:t>
            </w:r>
            <w:r>
              <w:rPr>
                <w:rFonts w:ascii="宋体" w:eastAsia="宋体" w:cs="宋体" w:hAnsi="宋体"/>
                <w:kern w:val="0"/>
                <w:sz w:val="18"/>
                <w:szCs w:val="18"/>
              </w:rPr>
              <w:t>餐饮</w:t>
            </w:r>
            <w:r>
              <w:rPr>
                <w:rFonts w:ascii="宋体" w:eastAsia="宋体" w:cs="宋体" w:hAnsi="宋体" w:hint="eastAsia"/>
                <w:kern w:val="0"/>
                <w:sz w:val="18"/>
                <w:szCs w:val="18"/>
              </w:rPr>
              <w:t>业监督管理工作中，玩忽职守、滥用职权、徇私舞弊的，依法给予行政处分；构成犯罪的，依法追究刑事责任。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23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18</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对从事汽车销售及相关服务的企业违反销售行为规范及销售市场秩序行为的处罚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汽车销售管理办法</w:t>
            </w: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第三十二条：违反本办法第十条、第十二条、第十四条、第十七条第一款、第二十一条、第二十三条</w:t>
            </w:r>
            <w:r>
              <w:rPr>
                <w:rFonts w:ascii="宋体" w:eastAsia="宋体" w:cs="宋体" w:hAnsi="宋体" w:hint="eastAsia"/>
                <w:kern w:val="0"/>
                <w:sz w:val="18"/>
                <w:szCs w:val="18"/>
              </w:rPr>
              <w:t>第二款、第二十四条、第二十五条、第二十六条有关规定的，由县级以上地方商务主管部门责令改正，并可给予警告或3万元以下罚款。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商务主管部门的工作人员在汽车销售及其相关服务活动监督管理工作中滥用职权、玩忽职守、徇私舞弊的，依法给予处分;构成犯罪的，依法追究刑事责任；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23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19</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对从事汽车销售及相关服务的企业违反销售行为规范及销售市场秩序行为的处罚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汽车销售管理办法</w:t>
            </w:r>
            <w:r>
              <w:rPr>
                <w:rFonts w:ascii="宋体" w:eastAsia="宋体" w:cs="宋体" w:hAnsi="宋体" w:hint="eastAsia"/>
                <w:kern w:val="0"/>
                <w:sz w:val="18"/>
                <w:szCs w:val="18"/>
                <w:lang w:eastAsia="zh-CN"/>
              </w:rPr>
              <w:t>》</w:t>
            </w:r>
            <w:r>
              <w:rPr>
                <w:rFonts w:ascii="宋体" w:eastAsia="宋体" w:cs="宋体" w:hAnsi="宋体" w:hint="eastAsia"/>
                <w:kern w:val="0"/>
                <w:sz w:val="18"/>
                <w:szCs w:val="18"/>
              </w:rPr>
              <w:t>第三十三条</w:t>
            </w:r>
            <w:r>
              <w:rPr>
                <w:rFonts w:ascii="宋体" w:eastAsia="宋体" w:cs="宋体" w:hAnsi="宋体" w:hint="eastAsia"/>
                <w:kern w:val="0"/>
                <w:sz w:val="18"/>
                <w:szCs w:val="18"/>
                <w:lang w:eastAsia="zh-CN"/>
              </w:rPr>
              <w:t>：</w:t>
            </w:r>
            <w:r>
              <w:rPr>
                <w:rFonts w:ascii="宋体" w:eastAsia="宋体" w:cs="宋体" w:hAnsi="宋体" w:hint="eastAsia"/>
                <w:kern w:val="0"/>
                <w:sz w:val="18"/>
                <w:szCs w:val="18"/>
              </w:rPr>
              <w:t>违反本办法第十一条、第十五条、第十八条、第二十条第二款、第二十七条、第二十八条有关规定的，由县级以上地方商务主管部门责令改正，并可给予警告或1万元以下罚款。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商务主管部门的工作人员在汽车销售及其相关服务活动监督管理工作中滥用职权、玩忽职守、徇私舞弊的，依法给予处分;构成犯罪的，依法追究刑事责任；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6233"/>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20</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回收拆解企业违法细则第七条第一款的处罚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条：违反本细则第七条第一款规定，未取得资质认定，擅自从事报废机动车回收拆解活动的，由县级以上地方商务主管部门会同有关部门按照《管理办法》第十九条规定没收非法回收拆解的报废机动车、报废机动车“五大总成”和其他零部件，没收违法所得；违法所得在5万元以上的，并处违法所得2倍以上5倍以下的罚款；违法所得不足5万元或者没有违法所得的，并处5万元以上10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21</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回收拆解企业违反细则第十四条的处罚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第四十一条：</w:t>
            </w:r>
            <w:r>
              <w:rPr>
                <w:rFonts w:ascii="宋体" w:eastAsia="宋体" w:cs="宋体" w:hAnsi="宋体" w:hint="eastAsia"/>
                <w:kern w:val="0"/>
                <w:sz w:val="18"/>
                <w:szCs w:val="18"/>
                <w:lang w:eastAsia="zh-CN"/>
              </w:rPr>
              <w:t>违反本细则第十四条规定，回收拆解企业涂改、出租、出借或者以其他形式非法转让《资质认定书》的，由县级以上地方商务主管部门责令改正，并处1万元以上3万元以下的罚款。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22</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回收拆解企业违反细则第十五条第一款的处罚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》第四十二条： 违反本细则第十五条第一款规定，回收拆解企业未按照要求备案分支机构的，由分支机构注册登记所在地县级以上地方商务主管部门责令改正，并处1万元以上3万元以下的罚款。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23</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回收拆解企业违反细则第十五条第二款的处罚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二条：违反本细则第十五条第二款规定，回收拆解企业的分支机构对报废机动车进行拆解的，由分支机构注册登记所在地县级以上地方商务主管部门责令改正，并处3万元罚款；拒不改正或者情节严重的，由原发证部门吊销回收拆解企业的《资质认定书》。</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24</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回收拆解企业违反细则第十九条第一款、第二十条、第二十一条的处罚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w:t>
            </w:r>
            <w:r>
              <w:rPr>
                <w:rFonts w:ascii="宋体" w:eastAsia="宋体" w:cs="宋体" w:hAnsi="宋体" w:hint="eastAsia"/>
                <w:kern w:val="0"/>
                <w:sz w:val="18"/>
                <w:szCs w:val="18"/>
                <w:lang w:val="en-US" w:eastAsia="zh-CN"/>
              </w:rPr>
              <w:t>三</w:t>
            </w:r>
            <w:r>
              <w:rPr>
                <w:rFonts w:ascii="宋体" w:eastAsia="宋体" w:cs="宋体" w:hAnsi="宋体" w:hint="eastAsia"/>
                <w:kern w:val="0"/>
                <w:sz w:val="18"/>
                <w:szCs w:val="18"/>
                <w:lang w:eastAsia="zh-CN"/>
              </w:rPr>
              <w:t>条：</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违反本细则第十九条第一款、第二十条、第二十一条的规定，回收拆解企业违规开具或者发放《报废机动车回收证明》，或者未按照规定对已出具《报废机动车回收证明》的报废机动车进行拆解的，由县级以上地方商务主管部门责令限期改正，整改期间暂停打印《报废机动车回收证明》；情节严重的，处1万元以上3万元以下的罚款</w:t>
            </w:r>
            <w:r>
              <w:rPr>
                <w:rFonts w:ascii="宋体" w:eastAsia="宋体" w:cs="宋体" w:hAnsi="宋体" w:hint="eastAsia"/>
                <w:kern w:val="0"/>
                <w:sz w:val="18"/>
                <w:szCs w:val="18"/>
                <w:lang w:eastAsia="zh-CN"/>
              </w:rPr>
              <w:t>。</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25</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回收拆解企业违反细则第十九条第二款的处罚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w:t>
            </w:r>
            <w:r>
              <w:rPr>
                <w:rFonts w:ascii="宋体" w:eastAsia="宋体" w:cs="宋体" w:hAnsi="宋体" w:hint="eastAsia"/>
                <w:kern w:val="0"/>
                <w:sz w:val="18"/>
                <w:szCs w:val="18"/>
                <w:lang w:val="en-US" w:eastAsia="zh-CN"/>
              </w:rPr>
              <w:t>四</w:t>
            </w:r>
            <w:r>
              <w:rPr>
                <w:rFonts w:ascii="宋体" w:eastAsia="宋体" w:cs="宋体" w:hAnsi="宋体" w:hint="eastAsia"/>
                <w:kern w:val="0"/>
                <w:sz w:val="18"/>
                <w:szCs w:val="18"/>
                <w:lang w:eastAsia="zh-CN"/>
              </w:rPr>
              <w:t>条：违反本细则第十九条第二款规定，回收拆解企业未按照国家有关规定及时向公安机关交通管理部门办理机动车注销登记，并将注销证明转交机动车所有人的，由县级以上地方商务主管部门按照《管理办法》第二十二条规定责令改正，可以处1万元以上5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26</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回收拆解企业违反细则第二十三条的处罚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w:t>
            </w:r>
            <w:r>
              <w:rPr>
                <w:rFonts w:ascii="宋体" w:eastAsia="宋体" w:cs="宋体" w:hAnsi="宋体" w:hint="eastAsia"/>
                <w:kern w:val="0"/>
                <w:sz w:val="18"/>
                <w:szCs w:val="18"/>
                <w:lang w:val="en-US" w:eastAsia="zh-CN"/>
              </w:rPr>
              <w:t>五</w:t>
            </w:r>
            <w:r>
              <w:rPr>
                <w:rFonts w:ascii="宋体" w:eastAsia="宋体" w:cs="宋体" w:hAnsi="宋体" w:hint="eastAsia"/>
                <w:kern w:val="0"/>
                <w:sz w:val="18"/>
                <w:szCs w:val="18"/>
                <w:lang w:eastAsia="zh-CN"/>
              </w:rPr>
              <w:t>条</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违反本细则第二十三条规定，回收拆解企业未在其资质认定的拆解经营场地内对回收的报废机动车予以拆解，或者交易报废机动车整车、拼装车的，由县级以上地方商务主管部门责令改正，并处3万元罚款；拒不改正或者情节严重的，由原发证部门吊销《资质认定书》。</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27</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回收拆解企业违反细则第二十四条的处罚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w:t>
            </w:r>
            <w:r>
              <w:rPr>
                <w:rFonts w:ascii="宋体" w:eastAsia="宋体" w:cs="宋体" w:hAnsi="宋体" w:hint="eastAsia"/>
                <w:kern w:val="0"/>
                <w:sz w:val="18"/>
                <w:szCs w:val="18"/>
                <w:lang w:val="en-US" w:eastAsia="zh-CN"/>
              </w:rPr>
              <w:t>六</w:t>
            </w:r>
            <w:r>
              <w:rPr>
                <w:rFonts w:ascii="宋体" w:eastAsia="宋体" w:cs="宋体" w:hAnsi="宋体" w:hint="eastAsia"/>
                <w:kern w:val="0"/>
                <w:sz w:val="18"/>
                <w:szCs w:val="18"/>
                <w:lang w:eastAsia="zh-CN"/>
              </w:rPr>
              <w:t>条</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违反本细则第二十四条规定，回收拆解企业未建立生产经营全覆盖的电子监控系统，或者录像保存不足1年的，由县级以上地方商务主管部门责令限期改正，整改期间暂停打印《报废机动车回收证明》；情节严重的，处1万元以上3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28</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回收拆解企业违反细则第二十六条的处罚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w:t>
            </w:r>
            <w:r>
              <w:rPr>
                <w:rFonts w:ascii="宋体" w:eastAsia="宋体" w:cs="宋体" w:hAnsi="宋体" w:hint="eastAsia"/>
                <w:kern w:val="0"/>
                <w:sz w:val="18"/>
                <w:szCs w:val="18"/>
                <w:lang w:val="en-US" w:eastAsia="zh-CN"/>
              </w:rPr>
              <w:t>八</w:t>
            </w:r>
            <w:r>
              <w:rPr>
                <w:rFonts w:ascii="宋体" w:eastAsia="宋体" w:cs="宋体" w:hAnsi="宋体" w:hint="eastAsia"/>
                <w:kern w:val="0"/>
                <w:sz w:val="18"/>
                <w:szCs w:val="18"/>
                <w:lang w:eastAsia="zh-CN"/>
              </w:rPr>
              <w:t>条</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违反本细则第二十六条规定，回收拆解企业未按照要求建立报废机动车零部件销售台账并如实记录“五大总成”信息并上传信息系统的，由县级以上地方商务主管部门按照《管理办法》第二十三条规定责令改正，并处1万元以上5万元以下的罚款；情节严重的，责令停业整顿。</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29</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回收拆解企业违反细则第二十七条的处罚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》第四十</w:t>
            </w:r>
            <w:r>
              <w:rPr>
                <w:rFonts w:ascii="宋体" w:eastAsia="宋体" w:cs="宋体" w:hAnsi="宋体" w:hint="eastAsia"/>
                <w:kern w:val="0"/>
                <w:sz w:val="18"/>
                <w:szCs w:val="18"/>
                <w:lang w:val="en-US" w:eastAsia="zh-CN"/>
              </w:rPr>
              <w:t>九</w:t>
            </w:r>
            <w:r>
              <w:rPr>
                <w:rFonts w:ascii="宋体" w:eastAsia="宋体" w:cs="宋体" w:hAnsi="宋体" w:hint="eastAsia"/>
                <w:kern w:val="0"/>
                <w:sz w:val="18"/>
                <w:szCs w:val="18"/>
                <w:lang w:eastAsia="zh-CN"/>
              </w:rPr>
              <w:t>条：违反本细则第二十七条规定，回收拆解企业未按照国家有关标准和规定要求，对报废新能源汽车的废旧动力蓄电池或者其他类型储能设施进行拆卸、收集、贮存、运输及回收利用的，或者未将报废新能源汽车车辆识别代号及动力蓄电池编码、数量、型号、流向等信息录入有关平台的，由县级以上地方商务主管部门会同工业和信息化主管部门责令改正，并处1万元以上3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30</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回收拆解企业违反细则第二十八、第二十九条的处罚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cs="宋体" w:hAnsi="宋体" w:hint="eastAsia"/>
                <w:kern w:val="0"/>
                <w:sz w:val="18"/>
                <w:szCs w:val="18"/>
                <w:lang w:eastAsia="zh-CN"/>
              </w:rPr>
              <w:t>《</w:t>
            </w:r>
            <w:r>
              <w:rPr>
                <w:rFonts w:ascii="宋体" w:eastAsia="宋体" w:cs="宋体" w:hAnsi="宋体" w:hint="eastAsia"/>
                <w:kern w:val="0"/>
                <w:sz w:val="18"/>
                <w:szCs w:val="18"/>
                <w:lang w:val="en-US" w:eastAsia="zh-CN"/>
              </w:rPr>
              <w:t>报废机动车回收管理办法实施细则</w:t>
            </w:r>
            <w:r>
              <w:rPr>
                <w:rFonts w:ascii="宋体" w:eastAsia="宋体" w:cs="宋体" w:hAnsi="宋体" w:hint="eastAsia"/>
                <w:kern w:val="0"/>
                <w:sz w:val="18"/>
                <w:szCs w:val="18"/>
                <w:lang w:eastAsia="zh-CN"/>
              </w:rPr>
              <w:t>》第</w:t>
            </w:r>
            <w:r>
              <w:rPr>
                <w:rFonts w:ascii="宋体" w:eastAsia="宋体" w:cs="宋体" w:hAnsi="宋体" w:hint="eastAsia"/>
                <w:kern w:val="0"/>
                <w:sz w:val="18"/>
                <w:szCs w:val="18"/>
                <w:lang w:val="en-US" w:eastAsia="zh-CN"/>
              </w:rPr>
              <w:t>五十</w:t>
            </w:r>
            <w:r>
              <w:rPr>
                <w:rFonts w:ascii="宋体" w:eastAsia="宋体" w:cs="宋体" w:hAnsi="宋体" w:hint="eastAsia"/>
                <w:kern w:val="0"/>
                <w:sz w:val="18"/>
                <w:szCs w:val="18"/>
                <w:lang w:eastAsia="zh-CN"/>
              </w:rPr>
              <w:t>条：违反本细则第二十八条、第二十九条规定，回收拆解企业出售的报废机动车“五大总成”及其他零部件不符合相关要求的，由县级以上地方商务主管部门按照《管理办法》第二十一条规定责令改正，没收报废机动车“五大总成”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回收拆解企业将报废机动车“五大总成”及其他零部件出售给或者交予本细则第二十八条、第二十九条规定以外企业处理的，由县级以上地方商务主管部门会同有关部门责令改正，并处1万元以上3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报废机动车回收拆解</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adjustRightInd/>
              <w:snapToGrid/>
              <w:spacing w:line="600" w:lineRule="exact"/>
              <w:jc w:val="center"/>
              <w:rPr>
                <w:rFonts w:ascii="仿宋_GB2312"/>
                <w:sz w:val="28"/>
                <w:szCs w:val="28"/>
                <w:vertAlign w:val="baseline"/>
                <w:lang w:val="en-US" w:eastAsia="zh-CN"/>
              </w:rPr>
            </w:pPr>
            <w:r>
              <w:rPr>
                <w:rFonts w:ascii="仿宋_GB2312"/>
                <w:sz w:val="28"/>
                <w:szCs w:val="28"/>
                <w:vertAlign w:val="baseline"/>
                <w:lang w:val="en-US" w:eastAsia="zh-CN"/>
              </w:rPr>
              <w:t>31</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line="300" w:lineRule="exact"/>
              <w:ind w:left="0"/>
              <w:jc w:val="left"/>
              <w:textAlignment w:val="center"/>
              <w:rPr>
                <w:rFonts w:ascii="宋体" w:eastAsia="宋体" w:cs="宋体" w:hAnsi="宋体"/>
                <w:kern w:val="0"/>
                <w:sz w:val="18"/>
                <w:szCs w:val="18"/>
                <w:lang w:val="en-US" w:eastAsia="zh-CN"/>
              </w:rPr>
            </w:pPr>
            <w:r>
              <w:rPr>
                <w:rFonts w:ascii="宋体" w:eastAsia="宋体" w:hAnsi="宋体"/>
                <w:sz w:val="18"/>
                <w:szCs w:val="18"/>
              </w:rPr>
              <w:t>对商务领域经营者未遵守国家关于禁限使用不可降解塑料袋等一次性塑料制品规定行为的行政处罚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line="300" w:lineRule="exact"/>
              <w:ind w:left="0"/>
              <w:jc w:val="left"/>
              <w:textAlignment w:val="center"/>
              <w:rPr>
                <w:rFonts w:ascii="宋体" w:eastAsia="宋体" w:cs="宋体" w:hAnsi="宋体"/>
                <w:kern w:val="0"/>
                <w:sz w:val="18"/>
                <w:szCs w:val="18"/>
                <w:lang w:eastAsia="zh-CN"/>
              </w:rPr>
            </w:pPr>
            <w:r>
              <w:rPr>
                <w:rFonts w:ascii="宋体" w:eastAsia="宋体" w:hAnsi="宋体"/>
                <w:sz w:val="18"/>
                <w:szCs w:val="18"/>
              </w:rPr>
              <w:t xml:space="preserve">《商务领域经营者使用、报告一次性塑料制品管理办法》（商务部、发改委令2023年第1号）第二十五条 </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商务领域经营者未遵守国家禁限使用规定的，由县级以上地方商务主管部门责令限期改正，限期不改正的，处一万元以上十万元以下的罚款。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使用、报告一次性塑料制品</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adjustRightInd/>
              <w:snapToGrid/>
              <w:spacing w:line="300" w:lineRule="exact"/>
              <w:ind w:left="0"/>
              <w:jc w:val="left"/>
              <w:textAlignment w:val="center"/>
              <w:rPr>
                <w:rFonts w:ascii="宋体" w:eastAsia="宋体" w:cs="宋体" w:hAnsi="宋体"/>
                <w:kern w:val="0"/>
                <w:sz w:val="18"/>
                <w:szCs w:val="18"/>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adjustRightInd/>
              <w:snapToGrid/>
              <w:spacing w:line="600" w:lineRule="exact"/>
              <w:jc w:val="center"/>
              <w:rPr>
                <w:rFonts w:ascii="仿宋_GB2312"/>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adjustRightInd/>
              <w:snapToGrid/>
              <w:spacing w:line="600" w:lineRule="exact"/>
              <w:jc w:val="center"/>
              <w:rPr>
                <w:rFonts w:ascii="仿宋_GB2312"/>
                <w:sz w:val="28"/>
                <w:szCs w:val="28"/>
                <w:vertAlign w:val="baseline"/>
                <w:lang w:val="en-US" w:eastAsia="zh-CN"/>
              </w:rPr>
            </w:pPr>
            <w:r>
              <w:rPr>
                <w:rFonts w:ascii="仿宋_GB2312"/>
                <w:sz w:val="28"/>
                <w:szCs w:val="28"/>
                <w:vertAlign w:val="baseline"/>
                <w:lang w:val="en-US" w:eastAsia="zh-CN"/>
              </w:rPr>
              <w:t>32</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line="300" w:lineRule="exact"/>
              <w:ind w:left="0"/>
              <w:jc w:val="left"/>
              <w:textAlignment w:val="center"/>
              <w:rPr>
                <w:rFonts w:ascii="宋体" w:eastAsia="宋体" w:cs="宋体" w:hAnsi="宋体"/>
                <w:kern w:val="0"/>
                <w:sz w:val="18"/>
                <w:szCs w:val="18"/>
                <w:lang w:val="en-US" w:eastAsia="zh-CN"/>
              </w:rPr>
            </w:pPr>
            <w:r>
              <w:rPr>
                <w:rFonts w:ascii="宋体" w:eastAsia="宋体" w:hAnsi="宋体"/>
                <w:sz w:val="18"/>
                <w:szCs w:val="18"/>
              </w:rPr>
              <w:t>对商务领域经营者未遵守国家关于禁限使用不可降解塑料袋等一次性塑料制品规定行为的行政处罚</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line="300" w:lineRule="exact"/>
              <w:ind w:left="0"/>
              <w:jc w:val="left"/>
              <w:textAlignment w:val="center"/>
              <w:rPr>
                <w:rFonts w:ascii="宋体" w:eastAsia="宋体" w:cs="宋体" w:hAnsi="宋体"/>
                <w:kern w:val="0"/>
                <w:sz w:val="18"/>
                <w:szCs w:val="18"/>
                <w:lang w:eastAsia="zh-CN"/>
              </w:rPr>
            </w:pPr>
            <w:r>
              <w:rPr>
                <w:rFonts w:ascii="宋体" w:eastAsia="宋体" w:hAnsi="宋体"/>
                <w:sz w:val="18"/>
                <w:szCs w:val="18"/>
              </w:rPr>
              <w:t xml:space="preserve">《商务领域经营者使用、报告一次性塑料制品管理办法》（商务部、发改委令2023年第1号）第二十六条 </w:t>
            </w:r>
            <w:r>
              <w:rPr>
                <w:rFonts w:ascii="宋体" w:eastAsia="宋体" w:cs="宋体" w:hAnsi="宋体" w:hint="eastAsia"/>
                <w:b w:val="0"/>
                <w:bCs w:val="0"/>
                <w:i w:val="0"/>
                <w:iCs w:val="0"/>
                <w:caps w:val="0"/>
                <w:smallCaps w:val="0"/>
                <w:color w:val="333333"/>
                <w:spacing w:val="0"/>
                <w:sz w:val="18"/>
                <w:szCs w:val="18"/>
                <w:shd w:val="clear" w:color="auto" w:fill="FFFFFF"/>
                <w14:textFill>
                  <w14:solidFill>
                    <w14:srgbClr w14:val="333333"/>
                  </w14:solidFill>
                </w14:textFill>
              </w:rPr>
              <w:t>违反本办法第十六条、第十七条、第十八条第一款和第二款、第十九条规定，商品零售场所开办单位、电子商务平台（含外卖平台）企业、外卖企业未按照本办法报告一次性塑料制品使用情况的，由县级以上地方商务主管部门责令限期改正，限期不改正的，处一万元以上十万元以下的罚款。</w:t>
            </w: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2..</w:t>
            </w:r>
            <w:r>
              <w:rPr>
                <w:rFonts w:ascii="宋体" w:eastAsia="宋体" w:cs="宋体" w:hAnsi="宋体" w:hint="eastAsia"/>
                <w:kern w:val="0"/>
                <w:sz w:val="18"/>
                <w:szCs w:val="18"/>
              </w:rPr>
              <w:t>《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rPr>
            </w:pPr>
            <w:r>
              <w:rPr>
                <w:rFonts w:ascii="宋体" w:eastAsia="宋体" w:cs="宋体" w:hAnsi="宋体" w:hint="eastAsia"/>
                <w:kern w:val="0"/>
                <w:sz w:val="18"/>
                <w:szCs w:val="18"/>
                <w:lang w:val="en-US" w:eastAsia="zh-CN"/>
              </w:rPr>
              <w:t>3</w:t>
            </w:r>
            <w:r>
              <w:rPr>
                <w:rFonts w:ascii="宋体" w:eastAsia="宋体" w:cs="宋体" w:hAnsi="宋体" w:hint="eastAsia"/>
                <w:kern w:val="0"/>
                <w:sz w:val="18"/>
                <w:szCs w:val="18"/>
              </w:rPr>
              <w:t>.</w:t>
            </w:r>
            <w:r>
              <w:rPr>
                <w:rFonts w:ascii="宋体" w:eastAsia="宋体" w:cs="宋体" w:hAnsi="宋体" w:hint="eastAsia"/>
                <w:kern w:val="0"/>
                <w:sz w:val="18"/>
                <w:szCs w:val="18"/>
                <w:lang w:val="en-US" w:eastAsia="zh-CN"/>
              </w:rPr>
              <w:t>河北省相关法律法规规章等。</w:t>
            </w:r>
          </w:p>
          <w:p>
            <w:pPr>
              <w:keepNext w:val="0"/>
              <w:keepLines w:val="0"/>
              <w:pageBreakBefore w:val="0"/>
              <w:widowControl w:val="0"/>
              <w:kinsoku/>
              <w:wordWrap/>
              <w:overflowPunct/>
              <w:topLinePunct w:val="0"/>
              <w:autoSpaceDE/>
              <w:autoSpaceDN w:val="0"/>
              <w:adjustRightInd/>
              <w:snapToGrid/>
              <w:spacing w:before="0" w:after="0" w:line="300" w:lineRule="exact"/>
              <w:ind w:left="0" w:firstLine="0"/>
              <w:jc w:val="left"/>
              <w:textAlignment w:val="center"/>
              <w:rPr>
                <w:rFonts w:ascii="宋体" w:eastAsia="宋体" w:cs="宋体" w:hAnsi="宋体" w:hint="eastAsia"/>
                <w:kern w:val="0"/>
                <w:sz w:val="18"/>
                <w:szCs w:val="18"/>
                <w:lang w:val="en-US" w:eastAsia="zh-CN"/>
              </w:rPr>
            </w:pPr>
            <w:r>
              <w:rPr>
                <w:rFonts w:ascii="宋体" w:eastAsia="宋体" w:cs="宋体" w:hAnsi="宋体" w:hint="eastAsia"/>
                <w:kern w:val="0"/>
                <w:sz w:val="18"/>
                <w:szCs w:val="18"/>
                <w:lang w:val="en-US" w:eastAsia="zh-CN"/>
              </w:rPr>
              <w:t>4..</w:t>
            </w:r>
            <w:r>
              <w:rPr>
                <w:rFonts w:ascii="宋体" w:eastAsia="宋体" w:cs="宋体" w:hAnsi="宋体" w:hint="eastAsia"/>
                <w:kern w:val="0"/>
                <w:sz w:val="18"/>
                <w:szCs w:val="18"/>
              </w:rPr>
              <w:t>商务主管部门的工作人员在</w:t>
            </w:r>
            <w:r>
              <w:rPr>
                <w:rFonts w:ascii="宋体" w:eastAsia="宋体" w:cs="宋体" w:hAnsi="宋体"/>
                <w:kern w:val="0"/>
                <w:sz w:val="18"/>
                <w:szCs w:val="18"/>
              </w:rPr>
              <w:t>使用、报告一次性塑料制品</w:t>
            </w:r>
            <w:r>
              <w:rPr>
                <w:rFonts w:ascii="宋体" w:eastAsia="宋体" w:cs="宋体" w:hAnsi="宋体" w:hint="eastAsia"/>
                <w:kern w:val="0"/>
                <w:sz w:val="18"/>
                <w:szCs w:val="18"/>
              </w:rPr>
              <w:t>监督管理工作中滥用职权、玩忽职守、徇私舞弊的，依法给予处分;构成犯罪的，依法追究刑事责任；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val="0"/>
              <w:adjustRightInd/>
              <w:snapToGrid/>
              <w:spacing w:line="300" w:lineRule="exact"/>
              <w:ind w:left="0"/>
              <w:jc w:val="left"/>
              <w:textAlignment w:val="center"/>
              <w:rPr>
                <w:rFonts w:ascii="宋体" w:eastAsia="宋体" w:cs="宋体" w:hAnsi="宋体"/>
                <w:kern w:val="0"/>
                <w:sz w:val="18"/>
                <w:szCs w:val="18"/>
              </w:rPr>
            </w:pPr>
            <w:r>
              <w:rPr>
                <w:rFonts w:ascii="宋体" w:eastAsia="宋体" w:cs="宋体" w:hAnsi="宋体" w:hint="eastAsia"/>
                <w:kern w:val="0"/>
                <w:sz w:val="18"/>
                <w:szCs w:val="18"/>
                <w:lang w:val="en-US" w:eastAsia="zh-CN"/>
              </w:rPr>
              <w:t>5</w:t>
            </w:r>
            <w:r>
              <w:rPr>
                <w:rFonts w:ascii="宋体" w:eastAsia="宋体" w:cs="宋体" w:hAnsi="宋体" w:hint="eastAsia"/>
                <w:kern w:val="0"/>
                <w:sz w:val="18"/>
                <w:szCs w:val="18"/>
              </w:rPr>
              <w:t>.《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adjustRightInd/>
              <w:snapToGrid/>
              <w:spacing w:line="600" w:lineRule="exact"/>
              <w:jc w:val="center"/>
              <w:rPr>
                <w:rFonts w:ascii="仿宋_GB2312"/>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w:t>
            </w:r>
            <w:r>
              <w:rPr>
                <w:rFonts w:ascii="仿宋_GB2312"/>
                <w:sz w:val="28"/>
                <w:szCs w:val="28"/>
                <w:vertAlign w:val="baseline"/>
                <w:lang w:val="en-US" w:eastAsia="zh-CN"/>
              </w:rPr>
              <w:t>3</w:t>
            </w:r>
          </w:p>
        </w:tc>
        <w:tc>
          <w:tcPr>
            <w:tcW w:w="1458" w:type="dxa"/>
            <w:tcBorders>
              <w:lef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szCs w:val="18"/>
                <w:lang w:val="en-US" w:eastAsia="zh-CN"/>
              </w:rPr>
              <w:t>对家庭服务企业进行的行政检查</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hAnsi="宋体" w:hint="eastAsia"/>
                <w:sz w:val="18"/>
                <w:szCs w:val="18"/>
                <w:lang w:val="en-US" w:eastAsia="zh-CN"/>
              </w:rPr>
              <w:t>《家庭服务业管理暂行办法》（商务部令2012年第11号）第四条：</w:t>
            </w:r>
            <w:r>
              <w:rPr>
                <w:rFonts w:ascii="宋体" w:eastAsia="宋体" w:hAnsi="宋体" w:hint="eastAsia"/>
                <w:sz w:val="18"/>
                <w:szCs w:val="18"/>
              </w:rPr>
              <w:t>县级以上商务主管部门负责本行政区域内家庭服务业的监督管理。</w:t>
            </w:r>
          </w:p>
        </w:tc>
        <w:tc>
          <w:tcPr>
            <w:tcW w:w="4982" w:type="dxa"/>
            <w:tcBorders>
              <w:lef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rPr>
              <w:t>商务主管部门在家庭服务业监督管理工作中，玩忽职守、滥用职权、徇私舞弊的，依法给予行政处分；构成犯罪的，依法追究刑事责任。</w:t>
            </w: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w:t>
            </w:r>
            <w:r>
              <w:rPr>
                <w:rFonts w:ascii="仿宋_GB2312"/>
                <w:sz w:val="28"/>
                <w:szCs w:val="28"/>
                <w:vertAlign w:val="baseline"/>
                <w:lang w:val="en-US" w:eastAsia="zh-CN"/>
              </w:rPr>
              <w:t>4</w:t>
            </w:r>
          </w:p>
        </w:tc>
        <w:tc>
          <w:tcPr>
            <w:tcW w:w="1458" w:type="dxa"/>
            <w:tcBorders>
              <w:lef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szCs w:val="18"/>
                <w:lang w:val="en-US" w:eastAsia="zh-CN"/>
              </w:rPr>
              <w:t>对洗染经营企业进行的行政检查</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hAnsi="宋体" w:hint="eastAsia"/>
                <w:sz w:val="18"/>
                <w:szCs w:val="18"/>
                <w:lang w:val="en-US" w:eastAsia="zh-CN"/>
              </w:rPr>
              <w:t>《洗染业管理办法》（商务部、工商总局、环保总局令2007年第5号）第三条：</w:t>
            </w:r>
            <w:r>
              <w:rPr>
                <w:rFonts w:ascii="宋体" w:eastAsia="宋体" w:hAnsi="宋体" w:hint="eastAsia"/>
                <w:sz w:val="18"/>
                <w:szCs w:val="18"/>
              </w:rPr>
              <w:t>地方各级商务主管部门负责本行政区域内洗染行业指导、协调、监督和管理工作。</w:t>
            </w:r>
          </w:p>
        </w:tc>
        <w:tc>
          <w:tcPr>
            <w:tcW w:w="4982" w:type="dxa"/>
            <w:tcBorders>
              <w:left w:val="single" w:sz="4" w:space="0" w:color="auto"/>
            </w:tcBorders>
            <w:vAlign w:val="center"/>
          </w:tcPr>
          <w:p>
            <w:pPr>
              <w:tabs>
                <w:tab w:val="left" w:pos="7937"/>
              </w:tabs>
              <w:spacing w:line="260" w:lineRule="exact"/>
              <w:rPr>
                <w:rFonts w:ascii="宋体" w:eastAsia="宋体" w:hAnsi="宋体"/>
                <w:spacing w:val="-4"/>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rPr>
                <w:rFonts w:ascii="宋体" w:eastAsia="宋体" w:hAnsi="宋体"/>
                <w:spacing w:val="-4"/>
                <w:sz w:val="18"/>
                <w:szCs w:val="18"/>
              </w:rPr>
            </w:pPr>
            <w:r>
              <w:rPr>
                <w:rFonts w:ascii="宋体" w:eastAsia="宋体" w:hAnsi="宋体" w:hint="eastAsia"/>
                <w:spacing w:val="-4"/>
                <w:sz w:val="18"/>
                <w:szCs w:val="18"/>
                <w:lang w:val="en-US" w:eastAsia="zh-CN"/>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w:t>
            </w:r>
            <w:r>
              <w:rPr>
                <w:rFonts w:ascii="宋体" w:eastAsia="宋体" w:hAnsi="宋体" w:hint="eastAsia"/>
                <w:spacing w:val="-4"/>
                <w:sz w:val="18"/>
                <w:szCs w:val="18"/>
                <w:lang w:eastAsia="zh-CN"/>
              </w:rPr>
              <w:t>正</w:t>
            </w:r>
            <w:r>
              <w:rPr>
                <w:rFonts w:ascii="宋体" w:eastAsia="宋体" w:hAnsi="宋体" w:hint="eastAsia"/>
                <w:spacing w:val="-4"/>
                <w:sz w:val="18"/>
                <w:szCs w:val="18"/>
              </w:rPr>
              <w:t>、不依法实施处罚；</w:t>
            </w:r>
          </w:p>
          <w:p>
            <w:pPr>
              <w:spacing w:line="240" w:lineRule="exact"/>
              <w:rPr>
                <w:rFonts w:ascii="宋体" w:eastAsia="宋体" w:hAnsi="宋体"/>
                <w:spacing w:val="-4"/>
                <w:sz w:val="18"/>
                <w:szCs w:val="18"/>
              </w:rPr>
            </w:pPr>
            <w:r>
              <w:rPr>
                <w:rFonts w:ascii="宋体" w:eastAsia="宋体" w:hAnsi="宋体" w:hint="eastAsia"/>
                <w:spacing w:val="-4"/>
                <w:sz w:val="18"/>
                <w:szCs w:val="18"/>
                <w:lang w:val="en-US" w:eastAsia="zh-CN"/>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rPr>
                <w:rFonts w:ascii="宋体" w:eastAsia="宋体" w:hAnsi="宋体"/>
                <w:sz w:val="18"/>
              </w:rPr>
            </w:pPr>
            <w:r>
              <w:rPr>
                <w:rFonts w:ascii="宋体" w:eastAsia="宋体" w:hAnsi="宋体" w:hint="eastAsia"/>
                <w:spacing w:val="-4"/>
                <w:sz w:val="18"/>
                <w:szCs w:val="18"/>
                <w:lang w:val="en-US" w:eastAsia="zh-CN"/>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rPr>
                <w:rFonts w:ascii="宋体" w:eastAsia="宋体" w:cs="宋体" w:hAnsi="宋体" w:hint="eastAsia"/>
                <w:kern w:val="0"/>
                <w:sz w:val="18"/>
                <w:szCs w:val="18"/>
                <w:lang w:val="en-US" w:eastAsia="zh-CN"/>
              </w:rPr>
            </w:pP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w:t>
            </w:r>
            <w:r>
              <w:rPr>
                <w:rFonts w:ascii="仿宋_GB2312"/>
                <w:sz w:val="28"/>
                <w:szCs w:val="28"/>
                <w:vertAlign w:val="baseline"/>
                <w:lang w:val="en-US" w:eastAsia="zh-CN"/>
              </w:rPr>
              <w:t>5</w:t>
            </w:r>
          </w:p>
        </w:tc>
        <w:tc>
          <w:tcPr>
            <w:tcW w:w="1458" w:type="dxa"/>
            <w:tcBorders>
              <w:lef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szCs w:val="18"/>
                <w:lang w:val="en-US" w:eastAsia="zh-CN"/>
              </w:rPr>
              <w:t>对家电维修企业进行的行政检查</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hAnsi="宋体" w:hint="eastAsia"/>
                <w:sz w:val="18"/>
                <w:szCs w:val="18"/>
                <w:lang w:val="en-US" w:eastAsia="zh-CN"/>
              </w:rPr>
              <w:t>《家电维修服务业管理办法》（商务部令2012年第7号 2012年8月1日起施行）第三条：</w:t>
            </w:r>
            <w:r>
              <w:rPr>
                <w:rFonts w:ascii="宋体" w:eastAsia="宋体" w:hAnsi="宋体" w:hint="eastAsia"/>
                <w:sz w:val="18"/>
                <w:szCs w:val="18"/>
              </w:rPr>
              <w:t> </w:t>
            </w:r>
            <w:r>
              <w:rPr>
                <w:rFonts w:ascii="宋体" w:eastAsia="宋体" w:hAnsi="宋体"/>
                <w:sz w:val="18"/>
                <w:szCs w:val="18"/>
              </w:rPr>
              <w:t>商务部负责家电维修服务业的行业管理工作，各级商务主管部门负责本行政区域内的家电维修服务业的指导、协调和监督管理工作。</w:t>
            </w:r>
          </w:p>
        </w:tc>
        <w:tc>
          <w:tcPr>
            <w:tcW w:w="4982" w:type="dxa"/>
            <w:tcBorders>
              <w:left w:val="single" w:sz="4" w:space="0" w:color="auto"/>
            </w:tcBorders>
            <w:vAlign w:val="center"/>
          </w:tcPr>
          <w:p>
            <w:pPr>
              <w:tabs>
                <w:tab w:val="left" w:pos="7937"/>
              </w:tabs>
              <w:spacing w:line="260" w:lineRule="exact"/>
              <w:rPr>
                <w:rFonts w:ascii="宋体" w:eastAsia="宋体" w:hAnsi="宋体"/>
                <w:spacing w:val="-4"/>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rPr>
                <w:rFonts w:ascii="宋体" w:eastAsia="宋体" w:hAnsi="宋体"/>
                <w:spacing w:val="-4"/>
                <w:sz w:val="18"/>
                <w:szCs w:val="18"/>
              </w:rPr>
            </w:pPr>
            <w:r>
              <w:rPr>
                <w:rFonts w:ascii="宋体" w:eastAsia="宋体" w:hAnsi="宋体" w:hint="eastAsia"/>
                <w:spacing w:val="-4"/>
                <w:sz w:val="18"/>
                <w:szCs w:val="18"/>
                <w:lang w:val="en-US" w:eastAsia="zh-CN"/>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w:t>
            </w:r>
            <w:r>
              <w:rPr>
                <w:rFonts w:ascii="宋体" w:eastAsia="宋体" w:hAnsi="宋体" w:hint="eastAsia"/>
                <w:spacing w:val="-4"/>
                <w:sz w:val="18"/>
                <w:szCs w:val="18"/>
                <w:lang w:eastAsia="zh-CN"/>
              </w:rPr>
              <w:t>正</w:t>
            </w:r>
            <w:r>
              <w:rPr>
                <w:rFonts w:ascii="宋体" w:eastAsia="宋体" w:hAnsi="宋体" w:hint="eastAsia"/>
                <w:spacing w:val="-4"/>
                <w:sz w:val="18"/>
                <w:szCs w:val="18"/>
              </w:rPr>
              <w:t>、不依法实施处罚；</w:t>
            </w:r>
          </w:p>
          <w:p>
            <w:pPr>
              <w:spacing w:line="240" w:lineRule="exact"/>
              <w:rPr>
                <w:rFonts w:ascii="宋体" w:eastAsia="宋体" w:hAnsi="宋体"/>
                <w:spacing w:val="-4"/>
                <w:sz w:val="18"/>
                <w:szCs w:val="18"/>
              </w:rPr>
            </w:pPr>
            <w:r>
              <w:rPr>
                <w:rFonts w:ascii="宋体" w:eastAsia="宋体" w:hAnsi="宋体" w:hint="eastAsia"/>
                <w:spacing w:val="-4"/>
                <w:sz w:val="18"/>
                <w:szCs w:val="18"/>
                <w:lang w:val="en-US" w:eastAsia="zh-CN"/>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rPr>
                <w:rFonts w:ascii="宋体" w:eastAsia="宋体" w:hAnsi="宋体"/>
                <w:sz w:val="18"/>
              </w:rPr>
            </w:pPr>
            <w:r>
              <w:rPr>
                <w:rFonts w:ascii="宋体" w:eastAsia="宋体" w:hAnsi="宋体" w:hint="eastAsia"/>
                <w:spacing w:val="-4"/>
                <w:sz w:val="18"/>
                <w:szCs w:val="18"/>
                <w:lang w:val="en-US" w:eastAsia="zh-CN"/>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rPr>
                <w:rFonts w:ascii="宋体" w:eastAsia="宋体" w:cs="宋体" w:hAnsi="宋体" w:hint="eastAsia"/>
                <w:kern w:val="0"/>
                <w:sz w:val="18"/>
                <w:szCs w:val="18"/>
                <w:lang w:val="en-US" w:eastAsia="zh-CN"/>
              </w:rPr>
            </w:pP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w:t>
            </w:r>
            <w:r>
              <w:rPr>
                <w:rFonts w:ascii="仿宋_GB2312"/>
                <w:sz w:val="28"/>
                <w:szCs w:val="28"/>
                <w:vertAlign w:val="baseline"/>
                <w:lang w:val="en-US" w:eastAsia="zh-CN"/>
              </w:rPr>
              <w:t>6</w:t>
            </w:r>
          </w:p>
        </w:tc>
        <w:tc>
          <w:tcPr>
            <w:tcW w:w="1458"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r>
              <w:rPr>
                <w:rFonts w:ascii="宋体" w:eastAsia="宋体" w:hAnsi="宋体" w:hint="eastAsia"/>
                <w:sz w:val="18"/>
                <w:szCs w:val="18"/>
                <w:lang w:val="en-US" w:eastAsia="zh-CN"/>
              </w:rPr>
              <w:t>对餐饮企业进行的行政检查</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hAnsi="宋体" w:hint="eastAsia"/>
                <w:sz w:val="18"/>
                <w:szCs w:val="18"/>
              </w:rPr>
            </w:pPr>
            <w:r>
              <w:rPr>
                <w:rFonts w:ascii="宋体" w:eastAsia="宋体" w:hAnsi="宋体" w:hint="eastAsia"/>
                <w:sz w:val="18"/>
                <w:szCs w:val="18"/>
                <w:lang w:val="en-US" w:eastAsia="zh-CN"/>
              </w:rPr>
              <w:t>《餐饮业经营管理办法（试行）》（商务部令2014年第4号 2014年11月1日起施行）第二十一条第一款：</w:t>
            </w:r>
            <w:r>
              <w:rPr>
                <w:rFonts w:ascii="宋体" w:eastAsia="宋体" w:hAnsi="宋体" w:hint="eastAsia"/>
                <w:sz w:val="18"/>
                <w:szCs w:val="18"/>
              </w:rPr>
              <w:t xml:space="preserve"> 商务、价格等主管部门依照法律法规、规章及有关规定，在各自职责范围内对餐饮业经营行为进行监督管理。对于餐饮经营者违反本办法的行为，法律法规及规章有规定的，商务主管部门可提请有关部门依法处罚；没有规定的，由商务主管部门责令限期改正，其中有违法所得的，可处违法所得3倍以下罚款，但最高不超过3万元；没有违法所得的，可处1万元以下罚款；对涉嫌犯罪的，依法移送司法机关处理。</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4982"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hAnsi="宋体" w:hint="eastAsia"/>
                <w:sz w:val="18"/>
                <w:szCs w:val="18"/>
              </w:rPr>
            </w:pPr>
            <w:r>
              <w:rPr>
                <w:rFonts w:ascii="宋体" w:eastAsia="宋体" w:hAnsi="宋体" w:hint="eastAsia"/>
                <w:sz w:val="18"/>
                <w:szCs w:val="18"/>
                <w:lang w:val="en-US" w:eastAsia="zh-CN"/>
              </w:rPr>
              <w:t>《餐饮业经营管理办法（试行）》（商务部令2014年第4号 2014年11月1日起施行）</w:t>
            </w:r>
            <w:r>
              <w:rPr>
                <w:rFonts w:ascii="宋体" w:eastAsia="宋体" w:hAnsi="宋体" w:hint="eastAsia"/>
                <w:sz w:val="18"/>
                <w:szCs w:val="18"/>
              </w:rPr>
              <w:t>第二十二条</w:t>
            </w:r>
            <w:r>
              <w:rPr>
                <w:rFonts w:ascii="宋体" w:eastAsia="宋体" w:hAnsi="宋体" w:hint="eastAsia"/>
                <w:sz w:val="18"/>
                <w:szCs w:val="18"/>
                <w:lang w:eastAsia="zh-CN"/>
              </w:rPr>
              <w:t>：</w:t>
            </w:r>
            <w:r>
              <w:rPr>
                <w:rFonts w:ascii="宋体" w:eastAsia="宋体" w:hAnsi="宋体" w:hint="eastAsia"/>
                <w:sz w:val="18"/>
                <w:szCs w:val="18"/>
              </w:rPr>
              <w:t>商务、价格等主管部门工作人员在监督管理工作中滥用职权、徇私舞弊的，对直接负责的主管人员和其他直接责任人员依法给予行政处分；构成犯罪的，依法追究刑事责任。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val="en-US" w:eastAsia="zh-CN"/>
              </w:rPr>
            </w:pPr>
          </w:p>
        </w:tc>
        <w:tc>
          <w:tcPr>
            <w:tcW w:w="1335"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w:t>
            </w:r>
            <w:r>
              <w:rPr>
                <w:rFonts w:ascii="仿宋_GB2312"/>
                <w:sz w:val="28"/>
                <w:szCs w:val="28"/>
                <w:vertAlign w:val="baseline"/>
                <w:lang w:val="en-US" w:eastAsia="zh-CN"/>
              </w:rPr>
              <w:t>7</w:t>
            </w:r>
          </w:p>
        </w:tc>
        <w:tc>
          <w:tcPr>
            <w:tcW w:w="1458" w:type="dxa"/>
            <w:tcBorders>
              <w:lef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color w:val="000000"/>
                <w:sz w:val="18"/>
                <w:szCs w:val="18"/>
              </w:rPr>
              <w:t>对汽车销售及其相关服务活动实施日常监督检查</w:t>
            </w:r>
          </w:p>
        </w:tc>
        <w:tc>
          <w:tcPr>
            <w:tcW w:w="5254" w:type="dxa"/>
            <w:tcBorders>
              <w:left w:val="single" w:sz="4" w:space="0" w:color="auto"/>
            </w:tcBorders>
            <w:vAlign w:val="center"/>
          </w:tcPr>
          <w:p>
            <w:pPr>
              <w:spacing w:line="240" w:lineRule="exact"/>
              <w:rPr>
                <w:rFonts w:ascii="宋体" w:eastAsia="宋体" w:cs="宋体" w:hAnsi="宋体" w:hint="eastAsia"/>
                <w:color w:val="000000"/>
                <w:sz w:val="18"/>
                <w:szCs w:val="18"/>
                <w:shd w:val="clear" w:color="auto" w:fill="FFFFFF"/>
              </w:rPr>
            </w:pPr>
            <w:r>
              <w:rPr>
                <w:rFonts w:ascii="宋体" w:eastAsia="宋体" w:hAnsi="宋体" w:hint="eastAsia"/>
                <w:sz w:val="18"/>
              </w:rPr>
              <w:t>中华人民共和国商务部令2017年第1号《汽车销售管理办法》</w:t>
            </w:r>
            <w:r>
              <w:rPr>
                <w:rFonts w:ascii="宋体" w:eastAsia="宋体" w:cs="宋体" w:hAnsi="宋体" w:hint="eastAsia"/>
                <w:color w:val="333333"/>
                <w:sz w:val="18"/>
                <w:szCs w:val="18"/>
                <w:shd w:val="clear" w:color="auto" w:fill="FFFFFF"/>
              </w:rPr>
              <w:t>第二十九条：</w:t>
            </w:r>
            <w:r>
              <w:rPr>
                <w:rFonts w:ascii="宋体" w:eastAsia="宋体" w:cs="宋体" w:hAnsi="宋体" w:hint="eastAsia"/>
                <w:color w:val="000000"/>
                <w:sz w:val="18"/>
                <w:szCs w:val="18"/>
                <w:shd w:val="clear" w:color="auto" w:fill="FFFFFF"/>
              </w:rPr>
              <w:t>县级以上地方商务主管部门应当依据职责，采取“双随机”办法对汽车销售及其相关服务活动实施日常监督检查。</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p>
        </w:tc>
        <w:tc>
          <w:tcPr>
            <w:tcW w:w="4982" w:type="dxa"/>
            <w:tcBorders>
              <w:left w:val="single" w:sz="4" w:space="0" w:color="auto"/>
            </w:tcBorders>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00" w:lineRule="exact"/>
              <w:jc w:val="left"/>
              <w:textAlignment w:val="auto"/>
              <w:rPr>
                <w:rFonts w:ascii="宋体" w:eastAsia="宋体" w:hAnsi="宋体"/>
                <w:sz w:val="18"/>
                <w:szCs w:val="18"/>
              </w:rPr>
            </w:pPr>
            <w:r>
              <w:rPr>
                <w:rFonts w:ascii="宋体" w:eastAsia="宋体" w:hAnsi="宋体" w:hint="eastAsia"/>
                <w:spacing w:val="-4"/>
                <w:sz w:val="18"/>
                <w:szCs w:val="18"/>
              </w:rPr>
              <w:t>商务主管部门的工作人员在汽车销售及其相关服务活动监督管理工作中滥用职权、玩忽职守、徇私舞弊的，依法给予处分;构成犯罪的，依法追究刑事责任；</w:t>
            </w:r>
            <w:r>
              <w:rPr>
                <w:rFonts w:ascii="宋体" w:eastAsia="宋体" w:hAnsi="宋体"/>
                <w:sz w:val="18"/>
              </w:rPr>
              <w:br/>
            </w:r>
            <w:r>
              <w:rPr>
                <w:rFonts w:ascii="宋体" w:eastAsia="宋体" w:hAnsi="宋体" w:hint="eastAsia"/>
                <w:sz w:val="18"/>
                <w:szCs w:val="18"/>
              </w:rPr>
              <w:t>因不履行或不正确履行行政职责，有下列情形的，行政机关及相关工作人员应承担相应责任：</w:t>
            </w:r>
          </w:p>
          <w:p>
            <w:pPr>
              <w:spacing w:line="240" w:lineRule="exact"/>
              <w:rPr>
                <w:rFonts w:ascii="宋体" w:eastAsia="宋体" w:hAnsi="宋体"/>
                <w:spacing w:val="-4"/>
                <w:sz w:val="18"/>
                <w:szCs w:val="18"/>
              </w:rPr>
            </w:pPr>
            <w:r>
              <w:rPr>
                <w:rFonts w:ascii="宋体" w:eastAsia="宋体" w:hAnsi="宋体"/>
                <w:spacing w:val="-4"/>
                <w:sz w:val="18"/>
                <w:szCs w:val="18"/>
              </w:rPr>
              <w:t>1.</w:t>
            </w:r>
            <w:r>
              <w:rPr>
                <w:rFonts w:ascii="宋体" w:eastAsia="宋体" w:hAnsi="宋体" w:hint="eastAsia"/>
                <w:spacing w:val="-4"/>
                <w:sz w:val="18"/>
                <w:szCs w:val="18"/>
              </w:rPr>
              <w:t>不采取“双随机”办法</w:t>
            </w:r>
            <w:r>
              <w:rPr>
                <w:rFonts w:ascii="宋体" w:eastAsia="宋体" w:hAnsi="宋体" w:hint="eastAsia"/>
                <w:sz w:val="18"/>
              </w:rPr>
              <w:t>对辖区内</w:t>
            </w:r>
            <w:r>
              <w:rPr>
                <w:rFonts w:ascii="宋体" w:eastAsia="宋体" w:cs="宋体" w:hAnsi="宋体" w:hint="eastAsia"/>
                <w:color w:val="000000"/>
                <w:sz w:val="18"/>
                <w:szCs w:val="18"/>
                <w:shd w:val="clear" w:color="auto" w:fill="FFFFFF"/>
              </w:rPr>
              <w:t>汽车销售及其相关服务活动进行检查</w:t>
            </w:r>
            <w:r>
              <w:rPr>
                <w:rFonts w:ascii="宋体" w:eastAsia="宋体" w:hAnsi="宋体" w:hint="eastAsia"/>
                <w:spacing w:val="-4"/>
                <w:sz w:val="18"/>
                <w:szCs w:val="18"/>
              </w:rPr>
              <w:t>；</w:t>
            </w:r>
          </w:p>
          <w:p>
            <w:pPr>
              <w:spacing w:line="240" w:lineRule="exact"/>
              <w:rPr>
                <w:rFonts w:ascii="宋体" w:eastAsia="宋体" w:hAnsi="宋体"/>
                <w:spacing w:val="-4"/>
                <w:sz w:val="18"/>
                <w:szCs w:val="18"/>
              </w:rPr>
            </w:pPr>
            <w:r>
              <w:rPr>
                <w:rFonts w:ascii="宋体" w:eastAsia="宋体" w:hAnsi="宋体"/>
                <w:spacing w:val="-4"/>
                <w:sz w:val="18"/>
                <w:szCs w:val="18"/>
              </w:rPr>
              <w:t>2.</w:t>
            </w:r>
            <w:r>
              <w:rPr>
                <w:rFonts w:ascii="宋体" w:eastAsia="宋体" w:hAnsi="宋体" w:hint="eastAsia"/>
                <w:spacing w:val="-4"/>
                <w:sz w:val="18"/>
                <w:szCs w:val="18"/>
              </w:rPr>
              <w:t>对在检查中发现的问题，不责令限期改</w:t>
            </w:r>
            <w:r>
              <w:rPr>
                <w:rFonts w:ascii="宋体" w:eastAsia="宋体" w:hAnsi="宋体" w:hint="eastAsia"/>
                <w:spacing w:val="-4"/>
                <w:sz w:val="18"/>
                <w:szCs w:val="18"/>
                <w:lang w:eastAsia="zh-CN"/>
              </w:rPr>
              <w:t>正</w:t>
            </w:r>
            <w:r>
              <w:rPr>
                <w:rFonts w:ascii="宋体" w:eastAsia="宋体" w:hAnsi="宋体" w:hint="eastAsia"/>
                <w:spacing w:val="-4"/>
                <w:sz w:val="18"/>
                <w:szCs w:val="18"/>
              </w:rPr>
              <w:t>、不依法实施处罚；</w:t>
            </w:r>
          </w:p>
          <w:p>
            <w:pPr>
              <w:spacing w:line="240" w:lineRule="exact"/>
              <w:rPr>
                <w:rFonts w:ascii="宋体" w:eastAsia="宋体" w:hAnsi="宋体"/>
                <w:spacing w:val="-4"/>
                <w:sz w:val="18"/>
                <w:szCs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rPr>
                <w:rFonts w:ascii="宋体" w:eastAsia="宋体" w:hAnsi="宋体"/>
                <w:sz w:val="18"/>
              </w:rPr>
            </w:pPr>
            <w:r>
              <w:rPr>
                <w:rFonts w:ascii="宋体" w:eastAsia="宋体" w:hAnsi="宋体" w:hint="eastAsia"/>
                <w:spacing w:val="-4"/>
                <w:sz w:val="18"/>
                <w:szCs w:val="18"/>
              </w:rPr>
              <w:t>4</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rPr>
                <w:rFonts w:ascii="宋体" w:eastAsia="宋体" w:cs="宋体" w:hAnsi="宋体" w:hint="eastAsia"/>
                <w:kern w:val="0"/>
                <w:sz w:val="18"/>
                <w:szCs w:val="18"/>
                <w:lang w:val="en-US" w:eastAsia="zh-CN"/>
              </w:rPr>
            </w:pP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vertAlign w:val="baseline"/>
                <w:lang w:val="en-US" w:eastAsia="zh-CN"/>
              </w:rPr>
              <w:t>3</w:t>
            </w:r>
            <w:r>
              <w:rPr>
                <w:rFonts w:ascii="仿宋_GB2312"/>
                <w:vertAlign w:val="baseline"/>
                <w:lang w:val="en-US" w:eastAsia="zh-CN"/>
              </w:rPr>
              <w:t>8</w:t>
            </w:r>
          </w:p>
        </w:tc>
        <w:tc>
          <w:tcPr>
            <w:tcW w:w="1458" w:type="dxa"/>
            <w:tcBorders>
              <w:lef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rPr>
              <w:t>对发卡企业进行的行政检查</w:t>
            </w:r>
          </w:p>
        </w:tc>
        <w:tc>
          <w:tcPr>
            <w:tcW w:w="5254" w:type="dxa"/>
            <w:tcBorders>
              <w:left w:val="single" w:sz="4" w:space="0" w:color="auto"/>
            </w:tcBorders>
            <w:vAlign w:val="center"/>
          </w:tcPr>
          <w:p>
            <w:pPr>
              <w:tabs>
                <w:tab w:val="left" w:pos="7937"/>
              </w:tabs>
              <w:spacing w:line="240" w:lineRule="exact"/>
              <w:jc w:val="left"/>
              <w:rPr>
                <w:rFonts w:ascii="宋体" w:eastAsia="宋体" w:hAnsi="宋体" w:hint="eastAsia"/>
                <w:sz w:val="18"/>
              </w:rPr>
            </w:pPr>
            <w:r>
              <w:rPr>
                <w:rFonts w:ascii="宋体" w:eastAsia="宋体" w:hAnsi="宋体" w:hint="eastAsia"/>
                <w:sz w:val="18"/>
              </w:rPr>
              <w:t>《单用途商业预付卡管理办法（试行）》第三十三条 ：商务部和地方人民政府商务主管部门应对发卡企业和售卡企业的单用途卡业务活动、内部控制和风险状况等进行定期或不定期的现场及非现场检查。发卡企业和售卡企业应配合商务主管部门的检查。</w:t>
            </w:r>
          </w:p>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p>
        </w:tc>
        <w:tc>
          <w:tcPr>
            <w:tcW w:w="4982" w:type="dxa"/>
            <w:tcBorders>
              <w:left w:val="single" w:sz="4" w:space="0" w:color="auto"/>
            </w:tcBorders>
            <w:vAlign w:val="center"/>
          </w:tcPr>
          <w:p>
            <w:pPr>
              <w:tabs>
                <w:tab w:val="left" w:pos="7937"/>
              </w:tabs>
              <w:spacing w:line="260" w:lineRule="exact"/>
              <w:rPr>
                <w:rFonts w:ascii="宋体" w:eastAsia="宋体" w:hAnsi="宋体"/>
                <w:sz w:val="18"/>
                <w:szCs w:val="18"/>
              </w:rPr>
            </w:pPr>
            <w:r>
              <w:rPr>
                <w:rFonts w:ascii="宋体" w:eastAsia="宋体" w:hAnsi="宋体"/>
                <w:sz w:val="18"/>
              </w:rPr>
              <w:br/>
            </w:r>
            <w:r>
              <w:rPr>
                <w:rFonts w:ascii="宋体" w:eastAsia="宋体" w:hAnsi="宋体" w:hint="eastAsia"/>
                <w:sz w:val="18"/>
                <w:szCs w:val="18"/>
              </w:rPr>
              <w:t>因不履行或不正确履行行政职责，有下列情形的，行政机关及相关工作人员应承担相应责任：</w:t>
            </w:r>
          </w:p>
          <w:p>
            <w:pPr>
              <w:spacing w:line="240" w:lineRule="exact"/>
              <w:rPr>
                <w:rFonts w:ascii="宋体" w:eastAsia="宋体" w:hAnsi="宋体"/>
                <w:spacing w:val="-4"/>
                <w:sz w:val="18"/>
                <w:szCs w:val="18"/>
              </w:rPr>
            </w:pPr>
            <w:r>
              <w:rPr>
                <w:rFonts w:ascii="宋体" w:eastAsia="宋体" w:hAnsi="宋体"/>
                <w:spacing w:val="-4"/>
                <w:sz w:val="18"/>
                <w:szCs w:val="18"/>
              </w:rPr>
              <w:t>1.</w:t>
            </w:r>
            <w:r>
              <w:rPr>
                <w:rFonts w:ascii="宋体" w:eastAsia="宋体" w:hAnsi="宋体" w:hint="eastAsia"/>
                <w:spacing w:val="-4"/>
                <w:sz w:val="18"/>
                <w:szCs w:val="18"/>
              </w:rPr>
              <w:t>不</w:t>
            </w:r>
            <w:r>
              <w:rPr>
                <w:rFonts w:ascii="宋体" w:eastAsia="宋体" w:hAnsi="宋体" w:hint="eastAsia"/>
                <w:sz w:val="18"/>
              </w:rPr>
              <w:t>对辖区内发卡企业和售卡企业的单用途卡业务活动、内部控制和风险状况等进行现场及非现场检查</w:t>
            </w:r>
            <w:r>
              <w:rPr>
                <w:rFonts w:ascii="宋体" w:eastAsia="宋体" w:hAnsi="宋体" w:hint="eastAsia"/>
                <w:spacing w:val="-4"/>
                <w:sz w:val="18"/>
                <w:szCs w:val="18"/>
              </w:rPr>
              <w:t>；</w:t>
            </w:r>
          </w:p>
          <w:p>
            <w:pPr>
              <w:spacing w:line="240" w:lineRule="exact"/>
              <w:rPr>
                <w:rFonts w:ascii="宋体" w:eastAsia="宋体" w:hAnsi="宋体"/>
                <w:spacing w:val="-4"/>
                <w:sz w:val="18"/>
                <w:szCs w:val="18"/>
              </w:rPr>
            </w:pPr>
            <w:r>
              <w:rPr>
                <w:rFonts w:ascii="宋体" w:eastAsia="宋体" w:hAnsi="宋体"/>
                <w:spacing w:val="-4"/>
                <w:sz w:val="18"/>
                <w:szCs w:val="18"/>
              </w:rPr>
              <w:t>2.</w:t>
            </w:r>
            <w:r>
              <w:rPr>
                <w:rFonts w:ascii="宋体" w:eastAsia="宋体" w:hAnsi="宋体" w:hint="eastAsia"/>
                <w:spacing w:val="-4"/>
                <w:sz w:val="18"/>
                <w:szCs w:val="18"/>
              </w:rPr>
              <w:t>对在检查中发现的问题，不责令限期改</w:t>
            </w:r>
            <w:r>
              <w:rPr>
                <w:rFonts w:ascii="宋体" w:eastAsia="宋体" w:hAnsi="宋体" w:hint="eastAsia"/>
                <w:spacing w:val="-4"/>
                <w:sz w:val="18"/>
                <w:szCs w:val="18"/>
                <w:lang w:eastAsia="zh-CN"/>
              </w:rPr>
              <w:t>正</w:t>
            </w:r>
            <w:r>
              <w:rPr>
                <w:rFonts w:ascii="宋体" w:eastAsia="宋体" w:hAnsi="宋体" w:hint="eastAsia"/>
                <w:spacing w:val="-4"/>
                <w:sz w:val="18"/>
                <w:szCs w:val="18"/>
              </w:rPr>
              <w:t>、不依法实施处罚；</w:t>
            </w:r>
          </w:p>
          <w:p>
            <w:pPr>
              <w:spacing w:line="240" w:lineRule="exact"/>
              <w:rPr>
                <w:rFonts w:ascii="宋体" w:eastAsia="宋体" w:hAnsi="宋体"/>
                <w:spacing w:val="-4"/>
                <w:sz w:val="18"/>
                <w:szCs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rPr>
                <w:rFonts w:ascii="宋体" w:eastAsia="宋体" w:hAnsi="宋体"/>
                <w:sz w:val="18"/>
              </w:rPr>
            </w:pPr>
            <w:r>
              <w:rPr>
                <w:rFonts w:ascii="宋体" w:eastAsia="宋体" w:hAnsi="宋体" w:hint="eastAsia"/>
                <w:spacing w:val="-4"/>
                <w:sz w:val="18"/>
                <w:szCs w:val="18"/>
              </w:rPr>
              <w:t>4</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rPr>
                <w:rFonts w:ascii="宋体" w:eastAsia="宋体" w:cs="宋体" w:hAnsi="宋体" w:hint="eastAsia"/>
                <w:kern w:val="0"/>
                <w:sz w:val="18"/>
                <w:szCs w:val="18"/>
                <w:lang w:val="en-US" w:eastAsia="zh-CN"/>
              </w:rPr>
            </w:pP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sz w:val="28"/>
                <w:szCs w:val="28"/>
                <w:vertAlign w:val="baseline"/>
                <w:lang w:val="en-US" w:eastAsia="zh-CN"/>
              </w:rPr>
            </w:pPr>
            <w:r>
              <w:rPr>
                <w:rFonts w:ascii="仿宋_GB2312" w:hint="eastAsia"/>
                <w:sz w:val="28"/>
                <w:szCs w:val="28"/>
                <w:vertAlign w:val="baseline"/>
                <w:lang w:val="en-US" w:eastAsia="zh-CN"/>
              </w:rPr>
              <w:t>3</w:t>
            </w:r>
            <w:r>
              <w:rPr>
                <w:rFonts w:ascii="仿宋_GB2312"/>
                <w:sz w:val="28"/>
                <w:szCs w:val="28"/>
                <w:vertAlign w:val="baseline"/>
                <w:lang w:val="en-US" w:eastAsia="zh-CN"/>
              </w:rPr>
              <w:t>9</w:t>
            </w:r>
          </w:p>
        </w:tc>
        <w:tc>
          <w:tcPr>
            <w:tcW w:w="1458" w:type="dxa"/>
            <w:tcBorders>
              <w:lef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rPr>
              <w:t>对报废机动车回收拆解企业的检查</w:t>
            </w:r>
          </w:p>
        </w:tc>
        <w:tc>
          <w:tcPr>
            <w:tcW w:w="5254" w:type="dxa"/>
            <w:tcBorders>
              <w:lef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hAnsi="宋体" w:hint="eastAsia"/>
                <w:sz w:val="18"/>
              </w:rPr>
              <w:t>国务院《报废机动车回收管理办法》</w:t>
            </w:r>
            <w:r>
              <w:rPr>
                <w:rFonts w:ascii="宋体" w:eastAsia="宋体" w:hAnsi="宋体" w:hint="eastAsia"/>
                <w:bCs/>
                <w:sz w:val="18"/>
                <w:szCs w:val="18"/>
              </w:rPr>
              <w:t>（国务院令第715号）第十六条：　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w:t>
            </w:r>
          </w:p>
        </w:tc>
        <w:tc>
          <w:tcPr>
            <w:tcW w:w="4982" w:type="dxa"/>
            <w:tcBorders>
              <w:left w:val="single" w:sz="4" w:space="0" w:color="auto"/>
            </w:tcBorders>
            <w:vAlign w:val="center"/>
          </w:tcPr>
          <w:p>
            <w:pPr>
              <w:tabs>
                <w:tab w:val="left" w:pos="7937"/>
              </w:tabs>
              <w:spacing w:line="260" w:lineRule="exac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rPr>
                <w:rFonts w:ascii="宋体" w:eastAsia="宋体" w:cs="宋体" w:hAnsi="宋体" w:hint="eastAsia"/>
                <w:kern w:val="0"/>
                <w:sz w:val="18"/>
                <w:szCs w:val="18"/>
                <w:lang w:val="en-US" w:eastAsia="zh-CN"/>
              </w:rPr>
            </w:pP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r>
        <w:trPr>
          <w:trHeight w:val="7630"/>
        </w:trPr>
        <w:tc>
          <w:tcPr>
            <w:tcW w:w="808" w:type="dxa"/>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adjustRightInd/>
              <w:snapToGrid/>
              <w:spacing w:line="600" w:lineRule="exact"/>
              <w:jc w:val="center"/>
              <w:rPr>
                <w:rFonts w:ascii="仿宋_GB2312"/>
                <w:sz w:val="28"/>
                <w:szCs w:val="28"/>
                <w:vertAlign w:val="baseline"/>
                <w:lang w:val="en-US" w:eastAsia="zh-CN"/>
              </w:rPr>
            </w:pPr>
            <w:r>
              <w:rPr>
                <w:rFonts w:ascii="仿宋_GB2312"/>
                <w:sz w:val="28"/>
                <w:szCs w:val="28"/>
                <w:vertAlign w:val="baseline"/>
                <w:lang w:val="en-US" w:eastAsia="zh-CN"/>
              </w:rPr>
              <w:t>40</w:t>
            </w:r>
          </w:p>
        </w:tc>
        <w:tc>
          <w:tcPr>
            <w:tcW w:w="1458" w:type="dxa"/>
            <w:tcBorders>
              <w:left w:val="single" w:sz="4" w:space="0" w:color="auto"/>
            </w:tcBorders>
            <w:vAlign w:val="center"/>
          </w:tcPr>
          <w:p>
            <w:pPr>
              <w:tabs>
                <w:tab w:val="left" w:pos="7937"/>
              </w:tabs>
              <w:spacing w:line="260" w:lineRule="exact"/>
              <w:rPr>
                <w:rFonts w:ascii="宋体" w:eastAsia="宋体" w:hAnsi="宋体"/>
                <w:sz w:val="18"/>
              </w:rPr>
            </w:pPr>
            <w:r>
              <w:rPr>
                <w:rFonts w:ascii="宋体" w:eastAsia="宋体" w:cs="宋体" w:hAnsi="宋体" w:hint="eastAsia"/>
                <w:color w:val="262626"/>
                <w:sz w:val="18"/>
                <w:szCs w:val="18"/>
                <w:bdr w:val="none" w:sz="0" w:space="0" w:color="auto"/>
              </w:rPr>
              <w:t>对使用、报告一次性塑料制品的商品零售场所企业和电子商务平台企业的检查</w:t>
            </w:r>
          </w:p>
        </w:tc>
        <w:tc>
          <w:tcPr>
            <w:tcW w:w="5254" w:type="dxa"/>
            <w:tcBorders>
              <w:left w:val="single" w:sz="4" w:space="0" w:color="auto"/>
            </w:tcBorders>
            <w:vAlign w:val="center"/>
          </w:tcPr>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Style w:val="88"/>
                <w:rFonts w:ascii="宋体" w:eastAsia="宋体" w:cs="宋体" w:hAnsi="宋体" w:hint="eastAsia"/>
                <w:b w:val="0"/>
                <w:bCs w:val="0"/>
                <w:i w:val="0"/>
                <w:iCs w:val="0"/>
                <w:caps w:val="0"/>
                <w:smallCaps w:val="0"/>
                <w:color w:val="333333"/>
                <w:spacing w:val="0"/>
                <w:sz w:val="18"/>
                <w:szCs w:val="18"/>
                <w:shd w:val="clear" w:color="auto" w:fill="FFFFFF"/>
              </w:rPr>
              <w:t>商务领域经营者使用、报告一次性塑料制品管理办法</w:t>
            </w:r>
            <w:r>
              <w:rPr>
                <w:rFonts w:ascii="宋体" w:eastAsia="宋体" w:cs="宋体" w:hAnsi="宋体" w:hint="eastAsia"/>
                <w:i w:val="0"/>
                <w:iCs w:val="0"/>
                <w:caps w:val="0"/>
                <w:smallCaps w:val="0"/>
                <w:vanish w:val="0"/>
                <w:color w:val="333333"/>
                <w:spacing w:val="0"/>
                <w:sz w:val="18"/>
                <w:szCs w:val="18"/>
              </w:rPr>
              <w:t>第二十一条 县级以上地方商务主管部门采取“双随机、一公开”方式，对本行政区域内商务领域经营者执行国家禁限使用规定和使用、回收报告活动实施日常监督检查，重点检查以下方面：</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（一）一次性塑料制品使用的情况；</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（二）商务领域经营者张贴、摆放或设置国家禁限使用规定标语或链接标识的情况；</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（三）商品零售场所开办单位、电子商务平台（含外卖平台）企业对其入驻经营者作出自律承诺督促管理的情况；</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（四）电子商务平台（含外卖平台）企业平台规则制定情况；</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（五）展馆经营者告知义务履行的情况；</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（六）一次性塑料制品使用、回收报告的情况。</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第二十二条 县级以上地方商务主管部门可以依法采取以下措施实施监督检查：</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（一）进入一次性塑料制品使用等场所进行检查；</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（二）询问与监督检查事项有关的单位或个人，要求其说明情况；</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（三）查阅、复制有关文件、资料；</w:t>
            </w:r>
          </w:p>
          <w:p>
            <w:pPr>
              <w:pStyle w:val="15"/>
              <w:shd w:val="clear" w:color="auto" w:fill="FFFFFF"/>
              <w:kinsoku/>
              <w:wordWrap w:val="0"/>
              <w:overflowPunct/>
              <w:topLinePunct w:val="0"/>
              <w:autoSpaceDE/>
              <w:autoSpaceDN/>
              <w:adjustRightInd w:val="0"/>
              <w:snapToGrid w:val="0"/>
              <w:spacing w:before="0" w:beforeAutospacing="0" w:after="0" w:afterAutospacing="0" w:line="200" w:lineRule="exact"/>
              <w:ind w:firstLine="482"/>
              <w:rPr>
                <w:rFonts w:ascii="宋体" w:eastAsia="宋体" w:cs="宋体" w:hAnsi="宋体" w:hint="eastAsia"/>
                <w:i w:val="0"/>
                <w:iCs w:val="0"/>
                <w:caps w:val="0"/>
                <w:smallCaps w:val="0"/>
                <w:vanish w:val="0"/>
                <w:color w:val="333333"/>
                <w:spacing w:val="0"/>
                <w:sz w:val="18"/>
                <w:szCs w:val="18"/>
              </w:rPr>
            </w:pPr>
            <w:r>
              <w:rPr>
                <w:rFonts w:ascii="宋体" w:eastAsia="宋体" w:cs="宋体" w:hAnsi="宋体" w:hint="eastAsia"/>
                <w:i w:val="0"/>
                <w:iCs w:val="0"/>
                <w:caps w:val="0"/>
                <w:smallCaps w:val="0"/>
                <w:vanish w:val="0"/>
                <w:color w:val="333333"/>
                <w:spacing w:val="0"/>
                <w:sz w:val="18"/>
                <w:szCs w:val="18"/>
              </w:rPr>
              <w:t>（四）依据有关法律法规采取的其他措施。</w:t>
            </w:r>
          </w:p>
          <w:p>
            <w:pPr>
              <w:keepNext w:val="0"/>
              <w:keepLines w:val="0"/>
              <w:pageBreakBefore w:val="0"/>
              <w:widowControl w:val="0"/>
              <w:kinsoku/>
              <w:wordWrap/>
              <w:overflowPunct/>
              <w:topLinePunct w:val="0"/>
              <w:autoSpaceDE/>
              <w:autoSpaceDN w:val="0"/>
              <w:adjustRightInd/>
              <w:snapToGrid/>
              <w:spacing w:line="300" w:lineRule="exact"/>
              <w:ind w:left="0"/>
              <w:jc w:val="left"/>
              <w:textAlignment w:val="center"/>
              <w:rPr>
                <w:rFonts w:ascii="宋体" w:eastAsia="宋体" w:hAnsi="宋体"/>
                <w:sz w:val="18"/>
              </w:rPr>
            </w:pPr>
          </w:p>
        </w:tc>
        <w:tc>
          <w:tcPr>
            <w:tcW w:w="4982" w:type="dxa"/>
            <w:tcBorders>
              <w:left w:val="single" w:sz="4" w:space="0" w:color="auto"/>
            </w:tcBorders>
            <w:vAlign w:val="center"/>
          </w:tcPr>
          <w:p>
            <w:pPr>
              <w:tabs>
                <w:tab w:val="left" w:pos="7937"/>
              </w:tabs>
              <w:spacing w:line="260" w:lineRule="exact"/>
              <w:rPr>
                <w:rFonts w:ascii="宋体" w:eastAsia="宋体" w:hAnsi="宋体"/>
                <w:sz w:val="18"/>
                <w:szCs w:val="18"/>
              </w:rPr>
            </w:pPr>
            <w:r>
              <w:rPr>
                <w:rFonts w:ascii="宋体" w:eastAsia="宋体" w:hAnsi="宋体" w:hint="eastAsia"/>
                <w:sz w:val="18"/>
                <w:szCs w:val="18"/>
              </w:rPr>
              <w:t>因不履行或不正确履行行政职责，有下列情形的，行政机关及相关工作人员应承担相应责任：</w:t>
            </w:r>
          </w:p>
          <w:p>
            <w:pPr>
              <w:spacing w:line="240" w:lineRule="exact"/>
              <w:rPr>
                <w:rFonts w:ascii="宋体" w:eastAsia="宋体" w:hAnsi="宋体"/>
                <w:spacing w:val="-4"/>
                <w:sz w:val="18"/>
                <w:szCs w:val="18"/>
              </w:rPr>
            </w:pPr>
            <w:r>
              <w:rPr>
                <w:rFonts w:ascii="宋体" w:eastAsia="宋体" w:hAnsi="宋体" w:hint="eastAsia"/>
                <w:spacing w:val="-4"/>
                <w:sz w:val="18"/>
                <w:szCs w:val="18"/>
              </w:rPr>
              <w:t>1</w:t>
            </w:r>
            <w:r>
              <w:rPr>
                <w:rFonts w:ascii="宋体" w:eastAsia="宋体" w:hAnsi="宋体"/>
                <w:spacing w:val="-4"/>
                <w:sz w:val="18"/>
                <w:szCs w:val="18"/>
              </w:rPr>
              <w:t>.</w:t>
            </w:r>
            <w:r>
              <w:rPr>
                <w:rFonts w:ascii="宋体" w:eastAsia="宋体" w:hAnsi="宋体" w:hint="eastAsia"/>
                <w:spacing w:val="-4"/>
                <w:sz w:val="18"/>
                <w:szCs w:val="18"/>
              </w:rPr>
              <w:t>对在检查中发现的问题，不责令限期改正、不依法实施处罚；</w:t>
            </w:r>
          </w:p>
          <w:p>
            <w:pPr>
              <w:spacing w:line="240" w:lineRule="exact"/>
              <w:rPr>
                <w:rFonts w:ascii="宋体" w:eastAsia="宋体" w:hAnsi="宋体"/>
                <w:spacing w:val="-4"/>
                <w:sz w:val="18"/>
                <w:szCs w:val="18"/>
              </w:rPr>
            </w:pPr>
            <w:r>
              <w:rPr>
                <w:rFonts w:ascii="宋体" w:eastAsia="宋体" w:hAnsi="宋体" w:hint="eastAsia"/>
                <w:spacing w:val="-4"/>
                <w:sz w:val="18"/>
                <w:szCs w:val="18"/>
              </w:rPr>
              <w:t>2</w:t>
            </w:r>
            <w:r>
              <w:rPr>
                <w:rFonts w:ascii="宋体" w:eastAsia="宋体" w:hAnsi="宋体"/>
                <w:spacing w:val="-4"/>
                <w:sz w:val="18"/>
                <w:szCs w:val="18"/>
              </w:rPr>
              <w:t>.</w:t>
            </w:r>
            <w:r>
              <w:rPr>
                <w:rFonts w:ascii="宋体" w:eastAsia="宋体" w:hAnsi="宋体" w:hint="eastAsia"/>
                <w:spacing w:val="-4"/>
                <w:sz w:val="18"/>
                <w:szCs w:val="18"/>
              </w:rPr>
              <w:t>对监督检查发现的问题，企业整改完成后，不对整改情况进行核查；</w:t>
            </w:r>
          </w:p>
          <w:p>
            <w:pPr>
              <w:spacing w:line="240" w:lineRule="exact"/>
              <w:rPr>
                <w:rFonts w:ascii="宋体" w:eastAsia="宋体" w:hAnsi="宋体"/>
                <w:sz w:val="18"/>
              </w:rPr>
            </w:pPr>
            <w:r>
              <w:rPr>
                <w:rFonts w:ascii="宋体" w:eastAsia="宋体" w:hAnsi="宋体" w:hint="eastAsia"/>
                <w:spacing w:val="-4"/>
                <w:sz w:val="18"/>
                <w:szCs w:val="18"/>
              </w:rPr>
              <w:t>3</w:t>
            </w:r>
            <w:r>
              <w:rPr>
                <w:rFonts w:ascii="宋体" w:eastAsia="宋体" w:hAnsi="宋体"/>
                <w:spacing w:val="-4"/>
                <w:sz w:val="18"/>
                <w:szCs w:val="18"/>
              </w:rPr>
              <w:t>.</w:t>
            </w:r>
            <w:r>
              <w:rPr>
                <w:rFonts w:ascii="宋体" w:eastAsia="宋体" w:hAnsi="宋体" w:hint="eastAsia"/>
                <w:spacing w:val="-4"/>
                <w:sz w:val="18"/>
                <w:szCs w:val="18"/>
              </w:rPr>
              <w:t>其他违反法律法规规章文件规定的行为。</w:t>
            </w:r>
          </w:p>
          <w:p>
            <w:pPr>
              <w:tabs>
                <w:tab w:val="left" w:pos="7937"/>
              </w:tabs>
              <w:spacing w:line="260" w:lineRule="exact"/>
              <w:rPr>
                <w:rFonts w:ascii="宋体" w:eastAsia="宋体" w:hAnsi="宋体"/>
                <w:sz w:val="18"/>
                <w:szCs w:val="18"/>
              </w:rPr>
            </w:pPr>
          </w:p>
        </w:tc>
        <w:tc>
          <w:tcPr>
            <w:tcW w:w="1335" w:type="dxa"/>
            <w:tcBorders>
              <w:lef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adjustRightInd/>
              <w:snapToGrid/>
              <w:spacing w:line="600" w:lineRule="exact"/>
              <w:jc w:val="center"/>
              <w:rPr>
                <w:rFonts w:ascii="仿宋_GB2312"/>
                <w:vertAlign w:val="baseline"/>
                <w:lang w:val="en-US" w:eastAsia="zh-CN"/>
              </w:rPr>
            </w:pPr>
          </w:p>
        </w:tc>
      </w:tr>
      <w:tr>
        <w:trPr>
          <w:trHeight w:val="7639"/>
        </w:trPr>
        <w:tc>
          <w:tcPr>
            <w:tcW w:w="808" w:type="dxa"/>
            <w:tcBorders>
              <w:top w:val="single" w:sz="4" w:space="0" w:color="auto"/>
              <w:left w:val="single" w:sz="4" w:space="0" w:color="auto"/>
              <w:bottom w:val="single" w:sz="4" w:space="0" w:color="auto"/>
              <w:righ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vertAlign w:val="baseline"/>
                <w:lang w:val="en-US" w:eastAsia="zh-CN"/>
              </w:rPr>
            </w:pPr>
            <w:r>
              <w:rPr>
                <w:rFonts w:ascii="仿宋_GB2312"/>
                <w:sz w:val="28"/>
                <w:szCs w:val="28"/>
                <w:vertAlign w:val="baseline"/>
                <w:lang w:val="en-US" w:eastAsia="zh-CN"/>
              </w:rPr>
              <w:t>41</w:t>
            </w:r>
            <w:bookmarkStart w:id="0" w:name="_GoBack"/>
            <w:bookmarkEnd w:id="0"/>
          </w:p>
        </w:tc>
        <w:tc>
          <w:tcPr>
            <w:tcW w:w="1458" w:type="dxa"/>
            <w:tcBorders>
              <w:top w:val="single" w:sz="4" w:space="0" w:color="auto"/>
              <w:left w:val="single" w:sz="4" w:space="0" w:color="auto"/>
              <w:bottom w:val="single" w:sz="4" w:space="0" w:color="auto"/>
              <w:right w:val="single" w:sz="4" w:space="0" w:color="auto"/>
            </w:tcBorders>
            <w:vAlign w:val="center"/>
          </w:tcPr>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rPr>
              <w:t>单用途商业预付卡规模发卡企业备案</w:t>
            </w:r>
          </w:p>
        </w:tc>
        <w:tc>
          <w:tcPr>
            <w:tcW w:w="5254" w:type="dxa"/>
            <w:tcBorders>
              <w:top w:val="single" w:sz="4" w:space="0" w:color="auto"/>
              <w:left w:val="single" w:sz="4" w:space="0" w:color="auto"/>
              <w:bottom w:val="single" w:sz="4" w:space="0" w:color="auto"/>
              <w:right w:val="single" w:sz="4" w:space="0" w:color="auto"/>
            </w:tcBorders>
            <w:vAlign w:val="center"/>
          </w:tcPr>
          <w:p>
            <w:pPr>
              <w:keepNext w:val="0"/>
              <w:keepLines w:val="0"/>
              <w:pageBreakBefore w:val="0"/>
              <w:widowControl w:val="0"/>
              <w:kinsoku/>
              <w:wordWrap/>
              <w:overflowPunct/>
              <w:topLinePunct w:val="0"/>
              <w:autoSpaceDE/>
              <w:autoSpaceDN w:val="0"/>
              <w:bidi w:val="0"/>
              <w:adjustRightInd/>
              <w:snapToGrid/>
              <w:spacing w:before="0" w:after="0" w:line="300" w:lineRule="exact"/>
              <w:ind w:left="0" w:right="0" w:firstLine="0"/>
              <w:jc w:val="left"/>
              <w:textAlignment w:val="center"/>
              <w:outlineLvl w:val="9"/>
              <w:rPr>
                <w:rFonts w:ascii="宋体" w:eastAsia="宋体" w:cs="宋体" w:hAnsi="宋体" w:hint="eastAsia"/>
                <w:kern w:val="0"/>
                <w:sz w:val="18"/>
                <w:szCs w:val="18"/>
                <w:lang w:eastAsia="zh-CN"/>
              </w:rPr>
            </w:pPr>
            <w:r>
              <w:rPr>
                <w:rFonts w:ascii="宋体" w:eastAsia="宋体" w:hAnsi="宋体" w:hint="eastAsia"/>
                <w:sz w:val="18"/>
              </w:rPr>
              <w:t>《</w:t>
            </w:r>
            <w:r>
              <w:rPr>
                <w:rFonts w:ascii="宋体" w:eastAsia="宋体" w:hAnsi="宋体" w:hint="eastAsia"/>
                <w:sz w:val="18"/>
                <w:szCs w:val="18"/>
              </w:rPr>
              <w:t>单用途商业预付卡管理办法（试行）》</w:t>
            </w:r>
            <w:r>
              <w:rPr>
                <w:rFonts w:ascii="宋体" w:eastAsia="宋体" w:cs="宋体" w:hAnsi="宋体" w:hint="eastAsia"/>
                <w:kern w:val="0"/>
                <w:sz w:val="18"/>
                <w:szCs w:val="18"/>
              </w:rPr>
              <w:t>第七条 发卡企业应在开展单用途卡业务之日起30日内按照下列规定办理备案：（二） 规模发卡企业向其工商登记注册地设区的市人民政府商务主管部门备案；</w:t>
            </w:r>
          </w:p>
        </w:tc>
        <w:tc>
          <w:tcPr>
            <w:tcW w:w="4982" w:type="dxa"/>
            <w:tcBorders>
              <w:top w:val="single" w:sz="4" w:space="0" w:color="auto"/>
              <w:left w:val="single" w:sz="4" w:space="0" w:color="auto"/>
              <w:bottom w:val="single" w:sz="4" w:space="0" w:color="auto"/>
              <w:right w:val="single" w:sz="4" w:space="0" w:color="auto"/>
            </w:tcBorders>
            <w:vAlign w:val="center"/>
          </w:tcPr>
          <w:p>
            <w:pPr>
              <w:tabs>
                <w:tab w:val="left" w:pos="7937"/>
              </w:tabs>
              <w:spacing w:line="260" w:lineRule="exact"/>
              <w:rPr>
                <w:rFonts w:ascii="宋体" w:eastAsia="宋体" w:hAnsi="宋体" w:hint="eastAsia"/>
                <w:sz w:val="18"/>
                <w:szCs w:val="18"/>
              </w:rPr>
            </w:pPr>
            <w:r>
              <w:rPr>
                <w:rFonts w:ascii="宋体" w:eastAsia="宋体" w:hAnsi="宋体" w:hint="eastAsia"/>
                <w:sz w:val="18"/>
                <w:szCs w:val="18"/>
              </w:rPr>
              <w:t>因不履行或不正确履行行政职责，有下列情形的，行政机关及相关工作人员应承担相应责任：</w:t>
            </w:r>
          </w:p>
          <w:p>
            <w:pPr>
              <w:tabs>
                <w:tab w:val="left" w:pos="7937"/>
              </w:tabs>
              <w:spacing w:line="260" w:lineRule="exact"/>
              <w:rPr>
                <w:rFonts w:ascii="宋体" w:eastAsia="宋体" w:hAnsi="宋体" w:hint="eastAsia"/>
                <w:sz w:val="18"/>
                <w:szCs w:val="18"/>
              </w:rPr>
            </w:pPr>
            <w:r>
              <w:rPr>
                <w:rFonts w:ascii="宋体" w:eastAsia="宋体" w:hAnsi="宋体" w:hint="eastAsia"/>
                <w:sz w:val="18"/>
                <w:szCs w:val="18"/>
              </w:rPr>
              <w:t>1、无正当理由拒绝受理依法提出的单用途商业预付卡发卡企业备案请求的；</w:t>
            </w:r>
          </w:p>
          <w:p>
            <w:pPr>
              <w:tabs>
                <w:tab w:val="left" w:pos="7937"/>
              </w:tabs>
              <w:spacing w:line="260" w:lineRule="exact"/>
              <w:rPr>
                <w:rFonts w:ascii="宋体" w:eastAsia="宋体" w:hAnsi="宋体" w:hint="eastAsia"/>
                <w:sz w:val="18"/>
                <w:szCs w:val="18"/>
              </w:rPr>
            </w:pPr>
            <w:r>
              <w:rPr>
                <w:rFonts w:ascii="宋体" w:eastAsia="宋体" w:hAnsi="宋体" w:hint="eastAsia"/>
                <w:sz w:val="18"/>
                <w:szCs w:val="18"/>
              </w:rPr>
              <w:t>2、审核中有</w:t>
            </w:r>
            <w:r>
              <w:rPr>
                <w:rFonts w:ascii="宋体" w:eastAsia="宋体" w:hAnsi="宋体" w:hint="eastAsia"/>
                <w:sz w:val="18"/>
                <w:szCs w:val="18"/>
                <w:lang w:val="en-US" w:eastAsia="zh-CN"/>
              </w:rPr>
              <w:t>徇</w:t>
            </w:r>
            <w:r>
              <w:rPr>
                <w:rFonts w:ascii="宋体" w:eastAsia="宋体" w:hAnsi="宋体" w:hint="eastAsia"/>
                <w:sz w:val="18"/>
                <w:szCs w:val="18"/>
              </w:rPr>
              <w:t>私舞弊或者有其他渎职、失职行为的；</w:t>
            </w:r>
          </w:p>
          <w:p>
            <w:pPr>
              <w:tabs>
                <w:tab w:val="left" w:pos="7937"/>
              </w:tabs>
              <w:spacing w:line="260" w:lineRule="exact"/>
              <w:rPr>
                <w:rFonts w:ascii="宋体" w:eastAsia="宋体" w:hAnsi="宋体" w:hint="eastAsia"/>
                <w:sz w:val="18"/>
                <w:szCs w:val="18"/>
              </w:rPr>
            </w:pPr>
            <w:r>
              <w:rPr>
                <w:rFonts w:ascii="宋体" w:eastAsia="宋体" w:hAnsi="宋体" w:hint="eastAsia"/>
                <w:sz w:val="18"/>
                <w:szCs w:val="18"/>
              </w:rPr>
              <w:t>3、不在法定期限内作出单用途预付卡发卡企业备案决定的；</w:t>
            </w:r>
          </w:p>
          <w:p>
            <w:pPr>
              <w:tabs>
                <w:tab w:val="left" w:pos="7937"/>
              </w:tabs>
              <w:spacing w:line="260" w:lineRule="exact"/>
              <w:rPr>
                <w:rFonts w:ascii="宋体" w:eastAsia="宋体" w:cs="宋体" w:hAnsi="宋体" w:hint="eastAsia"/>
                <w:kern w:val="0"/>
                <w:sz w:val="18"/>
                <w:szCs w:val="18"/>
                <w:lang w:val="en-US" w:eastAsia="zh-CN"/>
              </w:rPr>
            </w:pPr>
            <w:r>
              <w:rPr>
                <w:rFonts w:ascii="宋体" w:eastAsia="宋体" w:hAnsi="宋体" w:hint="eastAsia"/>
                <w:sz w:val="18"/>
                <w:szCs w:val="18"/>
              </w:rPr>
              <w:t>4、其他违反法律法规规章文件规定的行为。</w:t>
            </w:r>
          </w:p>
        </w:tc>
        <w:tc>
          <w:tcPr>
            <w:tcW w:w="1335" w:type="dxa"/>
            <w:tcBorders>
              <w:top w:val="single" w:sz="4" w:space="0" w:color="auto"/>
              <w:left w:val="single" w:sz="4" w:space="0" w:color="auto"/>
              <w:bottom w:val="single" w:sz="4" w:space="0" w:color="auto"/>
              <w:right w:val="single" w:sz="4" w:space="0" w:color="auto"/>
            </w:tcBorders>
            <w:vAlign w:val="center"/>
          </w:tcPr>
          <w:p>
            <w:pPr>
              <w:keepNext w:val="0"/>
              <w:keepLines w:val="0"/>
              <w:pageBreakBefore w:val="0"/>
              <w:pBdr>
                <w:top w:val="none" w:sz="0" w:space="0" w:color="auto"/>
                <w:left w:val="none" w:sz="0" w:space="0" w:color="auto"/>
                <w:bottom w:val="none" w:sz="0" w:space="0" w:color="auto"/>
                <w:right w:val="none" w:sz="0" w:space="0" w:color="auto"/>
                <w:between w:val="none" w:sz="0" w:space="0" w:color="auto"/>
              </w:pBdr>
              <w:shd w:val="clear" w:color="auto" w:fill="auto"/>
              <w:kinsoku/>
              <w:wordWrap/>
              <w:overflowPunct/>
              <w:topLinePunct w:val="0"/>
              <w:autoSpaceDE/>
              <w:autoSpaceDN/>
              <w:bidi w:val="0"/>
              <w:adjustRightInd/>
              <w:snapToGrid/>
              <w:spacing w:before="0" w:after="0" w:line="600" w:lineRule="exact"/>
              <w:ind w:right="0"/>
              <w:jc w:val="center"/>
              <w:textAlignment w:val="auto"/>
              <w:rPr>
                <w:rFonts w:ascii="仿宋_GB2312" w:hint="eastAsia"/>
                <w:vertAlign w:val="baseline"/>
                <w:lang w:val="en-US" w:eastAsia="zh-CN"/>
              </w:rPr>
            </w:pPr>
          </w:p>
        </w:tc>
      </w:tr>
    </w:tbl>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黑体">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variable"/>
    <w:sig w:usb0="00000000" w:usb1="00000000" w:usb2="00000000" w:usb3="00000000" w:csb0="00040000" w:csb1="00000000"/>
  </w:font>
  <w:font w:name="Arial">
    <w:panose1 w:val="020B0604020202020204"/>
    <w:charset w:val="01"/>
    <w:family w:val="swiss"/>
    <w:pitch w:val="variable"/>
    <w:sig w:usb0="E0002EFF" w:usb1="C000785B" w:usb2="00000009" w:usb3="00000000" w:csb0="400001FF" w:csb1="FFFF0000"/>
  </w:font>
  <w:font w:name="仿宋_GB2312">
    <w:altName w:val="仿宋"/>
    <w:panose1 w:val="02010609030101010101"/>
    <w:charset w:val="86"/>
    <w:family w:val="modern"/>
    <w:pitch w:val="variable"/>
    <w:sig w:usb0="00000000" w:usb1="0000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86"/>
    <w:family w:val="auto"/>
    <w:pitch w:val="variable"/>
    <w:sig w:usb0="E0002EFF" w:usb1="C000785B" w:usb2="00000009"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60"/>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pPr>
      <w:widowControl w:val="0"/>
      <w:jc w:val="both"/>
    </w:pPr>
    <w:rPr>
      <w:rFonts w:ascii="Times New Roman" w:eastAsia="仿宋_GB2312" w:cs="Arial" w:hAnsi="Times New Roman"/>
      <w:kern w:val="2"/>
      <w:sz w:val="32"/>
      <w:szCs w:val="32"/>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仿宋_GB2312" w:cs="Arial" w:hAnsi="Times New Roman"/>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Arial" w:hAnsi="Times New Roman"/>
      <w:b/>
      <w:bCs/>
      <w:kern w:val="2"/>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仿宋_GB2312" w:cs="Arial" w:hAnsi="Times New Roman"/>
      <w:b/>
      <w:bCs/>
      <w:kern w:val="2"/>
      <w:sz w:val="32"/>
      <w:szCs w:val="32"/>
      <w:lang w:val="en-US" w:eastAsia="zh-CN" w:bidi="ar-SA"/>
    </w:rPr>
  </w:style>
  <w:style w:type="character" w:default="1" w:styleId="10">
    <w:name w:val="Default Paragraph Font"/>
    <w:qFormat/>
  </w:style>
  <w:style w:type="paragraph" w:styleId="15">
    <w:name w:val="Normal (Web)"/>
    <w:qFormat/>
    <w:basedOn w:val="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b w:val="0"/>
      <w:i w:val="0"/>
      <w:caps w:val="0"/>
      <w:smallCaps w:val="0"/>
      <w:strike w:val="0"/>
      <w:dstrike w:val="0"/>
      <w:snapToGrid/>
      <w:vanish w:val="0"/>
      <w:color w:val="auto"/>
      <w:spacing w:val="0"/>
      <w:w w:val="100"/>
      <w:kern w:val="0"/>
      <w:position w:val="0"/>
      <w:sz w:val="24"/>
      <w:u w:val="none" w:color="auto"/>
      <w:shd w:val="clear" w:color="auto" w:fill="auto"/>
      <w:vertAlign w:val="baseline"/>
      <w:em w:val="none"/>
      <w:lang w:val="en-US" w:eastAsia="zh-CN"/>
    </w:rPr>
  </w:style>
  <w:style w:type="character" w:styleId="88">
    <w:name w:val="Strong"/>
    <w:qFormat/>
    <w:basedOn w:val="10"/>
    <w:rPr>
      <w:b/>
      <w:bCs/>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D3A5968C-BDAA-40AD-9F2C-E9F50C0E49D7}">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25</TotalTime>
  <Application>WPS_Yozo_Office9.0.5962.102ZH.HE58</Application>
  <Pages>44</Pages>
  <Words>0</Words>
  <Characters>20283</Characters>
  <Lines>0</Lines>
  <Paragraphs>4</Paragraphs>
  <CharactersWithSpaces>27045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lenovo</dc:creator>
  <cp:lastModifiedBy>Administrator</cp:lastModifiedBy>
  <cp:revision>2</cp:revision>
  <dcterms:created xsi:type="dcterms:W3CDTF">2014-10-29T12:08:00Z</dcterms:created>
  <dcterms:modified xsi:type="dcterms:W3CDTF">2025-03-20T02:16:54Z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2052-11.8.2.11542</vt:lpwstr>
  </property>
  <property fmtid="{D5CDD505-2E9C-101B-9397-08002B2CF9AE}" pid="3" name="ICV">
    <vt:lpwstr>069C7E793AE54944BCA3EF98B54E1A88</vt:lpwstr>
  </property>
</Properties>
</file>