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1"/>
        <w:ind w:left="0"/>
        <w:jc w:val="center"/>
      </w:pPr>
      <w:r>
        <w:rPr>
          <w:rFonts w:hint="eastAsia"/>
        </w:rPr>
        <w:t>乐亭县商务和投资促进局权责清单事项总表</w:t>
      </w:r>
    </w:p>
    <w:p>
      <w:pPr>
        <w:spacing w:line="600" w:lineRule="exact"/>
        <w:jc w:val="center"/>
        <w:rPr>
          <w:rFonts w:ascii="楷体_GB2312" w:eastAsia="楷体_GB2312" w:hAnsi="楷体_GB2312"/>
          <w:sz w:val="36"/>
        </w:rPr>
      </w:pPr>
      <w:bookmarkStart w:id="0" w:name="_GoBack"/>
      <w:bookmarkEnd w:id="0"/>
      <w:r>
        <w:rPr>
          <w:rFonts w:ascii="楷体_GB2312" w:eastAsia="楷体_GB2312" w:hAnsi="楷体_GB2312" w:hint="eastAsia"/>
        </w:rPr>
        <w:t>（共3类、</w:t>
      </w:r>
      <w:r>
        <w:rPr>
          <w:rFonts w:ascii="楷体_GB2312" w:eastAsia="楷体_GB2312" w:hAnsi="楷体_GB2312"/>
        </w:rPr>
        <w:t>41</w:t>
      </w:r>
      <w:r>
        <w:rPr>
          <w:rFonts w:ascii="楷体_GB2312" w:eastAsia="楷体_GB2312" w:hAnsi="楷体_GB2312" w:hint="eastAsia"/>
        </w:rPr>
        <w:t>项）</w:t>
      </w:r>
    </w:p>
    <w:p>
      <w:pPr>
        <w:spacing w:line="600" w:lineRule="exact"/>
        <w:rPr>
          <w:rFonts w:ascii="仿宋_GB2312"/>
        </w:rPr>
      </w:pPr>
      <w:r>
        <w:rPr>
          <w:rFonts w:ascii="楷体_GB2312" w:eastAsia="楷体_GB2312" w:hAnsi="楷体_GB2312" w:hint="eastAsia"/>
          <w:sz w:val="28"/>
        </w:rPr>
        <w:t>单位：</w:t>
      </w:r>
      <w:r>
        <w:rPr>
          <w:rFonts w:ascii="楷体_GB2312" w:eastAsia="楷体_GB2312" w:cs="Arial" w:hAnsi="楷体_GB2312" w:hint="eastAsia"/>
          <w:sz w:val="28"/>
        </w:rPr>
        <w:t>乐亭县商务和投资促进局（公章）</w:t>
      </w:r>
    </w:p>
    <w:tbl>
      <w:tblPr>
        <w:jc w:val="center"/>
        <w:tblW w:w="12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3200"/>
        <w:gridCol w:w="6858"/>
        <w:gridCol w:w="2356"/>
      </w:tblGrid>
      <w:tr>
        <w:tc>
          <w:tcPr>
            <w:tcW w:w="3200" w:type="dxa"/>
            <w:vAlign w:val="center"/>
          </w:tcPr>
          <w:p>
            <w:pPr>
              <w:autoSpaceDE w:val="0"/>
              <w:autoSpaceDN w:val="0"/>
              <w:adjustRightInd w:val="0"/>
              <w:jc w:val="center"/>
              <w:rPr>
                <w:rFonts w:ascii="黑体" w:eastAsia="黑体" w:hAnsi="黑体"/>
              </w:rPr>
            </w:pPr>
            <w:r>
              <w:rPr>
                <w:rFonts w:ascii="黑体" w:eastAsia="黑体" w:hAnsi="黑体" w:hint="eastAsia"/>
                <w:color w:val="000000"/>
                <w:szCs w:val="28"/>
                <w:lang w:val="zh-CN"/>
              </w:rPr>
              <w:t>类别及序号</w:t>
            </w:r>
          </w:p>
        </w:tc>
        <w:tc>
          <w:tcPr>
            <w:tcW w:w="6858" w:type="dxa"/>
            <w:vAlign w:val="center"/>
          </w:tcPr>
          <w:p>
            <w:pPr>
              <w:autoSpaceDE w:val="0"/>
              <w:autoSpaceDN w:val="0"/>
              <w:adjustRightInd w:val="0"/>
              <w:jc w:val="center"/>
              <w:rPr>
                <w:rFonts w:ascii="黑体" w:eastAsia="黑体" w:hAnsi="黑体"/>
              </w:rPr>
            </w:pPr>
            <w:r>
              <w:rPr>
                <w:rFonts w:ascii="黑体" w:eastAsia="黑体" w:hAnsi="黑体" w:hint="eastAsia"/>
                <w:color w:val="000000"/>
                <w:szCs w:val="28"/>
                <w:lang w:val="zh-CN"/>
              </w:rPr>
              <w:t>项目名称及数量</w:t>
            </w:r>
          </w:p>
        </w:tc>
        <w:tc>
          <w:tcPr>
            <w:tcW w:w="2356" w:type="dxa"/>
            <w:vAlign w:val="center"/>
          </w:tcPr>
          <w:p>
            <w:pPr>
              <w:spacing w:line="600" w:lineRule="exact"/>
              <w:jc w:val="center"/>
              <w:rPr>
                <w:rFonts w:ascii="黑体" w:eastAsia="黑体" w:hAnsi="黑体"/>
              </w:rPr>
            </w:pPr>
            <w:r>
              <w:rPr>
                <w:rFonts w:ascii="黑体" w:eastAsia="黑体" w:hAnsi="黑体" w:hint="eastAsia"/>
              </w:rPr>
              <w:t>备注</w:t>
            </w:r>
          </w:p>
        </w:tc>
      </w:tr>
      <w:tr>
        <w:tc>
          <w:tcPr>
            <w:tcW w:w="3200" w:type="dxa"/>
            <w:tcBorders>
              <w:left w:val="single" w:sz="4" w:space="0" w:color="auto"/>
            </w:tcBorders>
            <w:vAlign w:val="center"/>
          </w:tcPr>
          <w:p>
            <w:pPr>
              <w:spacing w:line="600" w:lineRule="exact"/>
              <w:jc w:val="center"/>
              <w:rPr>
                <w:rFonts w:ascii="仿宋_GB2312"/>
              </w:rPr>
            </w:pPr>
            <w:r>
              <w:rPr>
                <w:rFonts w:ascii="仿宋_GB2312" w:hint="eastAsia"/>
              </w:rPr>
              <w:t>一、行政处罚</w:t>
            </w:r>
          </w:p>
        </w:tc>
        <w:tc>
          <w:tcPr>
            <w:tcW w:w="6858" w:type="dxa"/>
            <w:tcBorders>
              <w:left w:val="single" w:sz="4" w:space="0" w:color="auto"/>
            </w:tcBorders>
            <w:vAlign w:val="center"/>
          </w:tcPr>
          <w:p>
            <w:pPr>
              <w:spacing w:line="600" w:lineRule="exact"/>
              <w:jc w:val="center"/>
              <w:rPr>
                <w:rFonts w:ascii="仿宋_GB2312"/>
              </w:rPr>
            </w:pPr>
            <w:r>
              <w:rPr>
                <w:rFonts w:ascii="仿宋_GB2312" w:hint="eastAsia"/>
              </w:rPr>
              <w:t>共3</w:t>
            </w:r>
            <w:r>
              <w:rPr>
                <w:rFonts w:ascii="仿宋_GB2312"/>
              </w:rPr>
              <w:t>2</w:t>
            </w:r>
            <w:r>
              <w:rPr>
                <w:rFonts w:ascii="仿宋_GB2312" w:hint="eastAsia"/>
              </w:rPr>
              <w:t>项</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以商务、旅游、留学等名义组织劳务人员赴国外工作；允许其他单位或个人以本企业名义组织劳务人员赴国外工作；组织劳务人员赴国外从事与赌博、色情活动相关的工作的处罚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未与国外雇主签订劳务合作合同组织劳务人员赴国外工作；未与劳务人员订立劳务合作合同或劳动合同，组织劳务人员赴国外工作；与未经批准的国外雇主或与外国的个人订立合同，组织劳务人员赴国外工作；在订立劳务合作合同时，隐瞒有关信息或者提供虚假信息；在国外发生突发事件未及时处理；停止开展对外劳务合作，未对其派出的尚在国外工作的劳务人员做出安排；拒不将服务合同或劳务合作合同或劳动合同副本报商务主管部门备案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3</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未安排劳务人员接受培训、未按规定为劳务人员购买在国外工作期间的人身意外伤害保险、未按规定安排随行管理人员的处罚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4</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零售商滥用优势地位从事不公平交易行为的处罚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5</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零售商收取促销服务费后，未按合同约定向供应商提供相应的服务，擅自终止服务或降低法务标准，并拒绝向供应商发还未提供服务部分费用的处罚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6</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零售商违规收费行为的处罚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7</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零售商违规延迟向供应商支付货款行为的处罚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8</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供应商供货时，强行搭售零售商未定购商品的处罚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9</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供应商供货时，限制零售商销售其他供应商商品的处罚</w:t>
            </w:r>
          </w:p>
        </w:tc>
        <w:tc>
          <w:tcPr>
            <w:tcW w:w="2356" w:type="dxa"/>
            <w:tcBorders>
              <w:left w:val="single" w:sz="4" w:space="0" w:color="auto"/>
            </w:tcBorders>
            <w:vAlign w:val="center"/>
          </w:tcPr>
          <w:p>
            <w:pPr>
              <w:spacing w:line="600" w:lineRule="exact"/>
              <w:jc w:val="center"/>
              <w:rPr>
                <w:rFonts w:ascii="仿宋_GB2312"/>
              </w:rPr>
            </w:pPr>
          </w:p>
        </w:tc>
      </w:tr>
      <w:tr>
        <w:trPr>
          <w:trHeight w:val="90"/>
        </w:trP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10</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发卡企业未在开展单用途卡业务之日起30日内按照规定办理备案的处罚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11</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发卡企业违规发行预付卡行为的处罚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12</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发卡企业违反资金管理行为的处罚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13</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家庭服务机构违规经营行为的处罚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14</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color w:val="000000"/>
                <w:sz w:val="24"/>
              </w:rPr>
              <w:t>对外国投资者或者外商投资企业未按照要求报送投资信息且逾期未补报的行政处罚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15</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家电维修经营者违反《家电维修服务业管理办法》第九条规定的处罚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16</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市场经营者违反《商品现货市场交易特别规定（试行）》第十一条、第十二条、第十三条、第十四条、第十七条、第十八条、第十九条、第二十一条规定处罚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17</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对于餐饮经营者违反餐饮业经营管理规定的处罚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18</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对于从事汽车销售及相关服务的企业违反销售行为规范及销售市场秩序行为的处罚（一）</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19</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对于从事汽车销售及相关服务的企业违反销售行为规范及销售市场秩序行为的处罚（二）</w:t>
            </w:r>
          </w:p>
        </w:tc>
        <w:tc>
          <w:tcPr>
            <w:tcW w:w="2356" w:type="dxa"/>
            <w:tcBorders>
              <w:left w:val="single" w:sz="4" w:space="0" w:color="auto"/>
            </w:tcBorders>
            <w:vAlign w:val="center"/>
          </w:tcPr>
          <w:p>
            <w:pPr>
              <w:spacing w:line="600" w:lineRule="exact"/>
              <w:jc w:val="center"/>
              <w:rPr>
                <w:rFonts w:ascii="仿宋_GB2312"/>
              </w:rPr>
            </w:pPr>
          </w:p>
        </w:tc>
      </w:tr>
      <w:tr>
        <w:trPr>
          <w:trHeight w:val="96"/>
        </w:trP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20</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回收拆解企业违反细则第七条第一款的处罚</w:t>
            </w:r>
          </w:p>
        </w:tc>
        <w:tc>
          <w:tcPr>
            <w:tcW w:w="2356" w:type="dxa"/>
            <w:tcBorders>
              <w:left w:val="single" w:sz="4" w:space="0" w:color="auto"/>
            </w:tcBorders>
            <w:vAlign w:val="center"/>
          </w:tcPr>
          <w:p>
            <w:pPr>
              <w:spacing w:line="600" w:lineRule="exact"/>
              <w:jc w:val="center"/>
              <w:rPr>
                <w:rFonts w:ascii="仿宋_GB2312"/>
              </w:rPr>
            </w:pPr>
          </w:p>
        </w:tc>
      </w:tr>
      <w:tr>
        <w:trPr>
          <w:trHeight w:val="90"/>
        </w:trP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21</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回收拆解企业违反细则第十四条的处罚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22</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回收拆解企业违反细则第十五条第一款的处罚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23</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回收拆解企业违反细则第十五条第二款的处罚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24</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回收拆解企业违反细则第十九条第一款、第二十条、第二十一条的处罚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25</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回收拆解企业违反细则第十九条第二款的处罚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26</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回收拆解企业违反细则第二十三条的处罚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27</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回收拆解企业违反细则第二十四条的处罚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28</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回收拆解企业违反细则第二十六条的处罚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29</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回收拆解企业违反细则第二十七条的处罚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30</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回收拆解企业违反细则第二十八、第二十九条的处罚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color w:val="000000"/>
                <w:sz w:val="24"/>
              </w:rPr>
              <w:t>31</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bookmarkStart w:id="1" w:name="_Hlk142316793"/>
            <w:r>
              <w:rPr>
                <w:rFonts w:ascii="仿宋_GB2312" w:hAnsi="Helvetica" w:hint="eastAsia"/>
                <w:color w:val="262626"/>
                <w:sz w:val="24"/>
                <w:szCs w:val="24"/>
                <w:bdr w:val="none" w:sz="0" w:space="0" w:color="auto"/>
              </w:rPr>
              <w:t>商务领域经营者使用、报告一次性塑料制品管理办法违反第二十五条的处罚</w:t>
            </w:r>
            <w:bookmarkEnd w:id="1"/>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color w:val="000000"/>
                <w:sz w:val="24"/>
              </w:rPr>
              <w:t>32</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Helvetica" w:hint="eastAsia"/>
                <w:color w:val="262626"/>
                <w:sz w:val="24"/>
                <w:szCs w:val="24"/>
                <w:bdr w:val="none" w:sz="0" w:space="0" w:color="auto"/>
              </w:rPr>
              <w:t>商务领域经营者使用、报告一次性塑料制品管理办法违反第二十六条的处罚</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spacing w:line="600" w:lineRule="exact"/>
              <w:jc w:val="center"/>
              <w:rPr>
                <w:rFonts w:ascii="仿宋_GB2312" w:hAnsi="仿宋_GB2312"/>
                <w:color w:val="000000"/>
                <w:sz w:val="24"/>
              </w:rPr>
            </w:pPr>
            <w:r>
              <w:rPr>
                <w:rFonts w:ascii="仿宋_GB2312" w:hint="eastAsia"/>
              </w:rPr>
              <w:t>二、行政检查</w:t>
            </w:r>
          </w:p>
        </w:tc>
        <w:tc>
          <w:tcPr>
            <w:tcW w:w="6858" w:type="dxa"/>
            <w:tcBorders>
              <w:left w:val="single" w:sz="4" w:space="0" w:color="auto"/>
            </w:tcBorders>
            <w:vAlign w:val="center"/>
          </w:tcPr>
          <w:p>
            <w:pPr>
              <w:spacing w:line="600" w:lineRule="exact"/>
              <w:jc w:val="center"/>
              <w:rPr>
                <w:rFonts w:ascii="仿宋_GB2312" w:hAnsi="仿宋_GB2312"/>
                <w:color w:val="000000"/>
                <w:sz w:val="24"/>
              </w:rPr>
            </w:pPr>
            <w:r>
              <w:rPr>
                <w:rFonts w:ascii="仿宋_GB2312" w:hint="eastAsia"/>
              </w:rPr>
              <w:t>共</w:t>
            </w:r>
            <w:r>
              <w:rPr>
                <w:rFonts w:ascii="仿宋_GB2312"/>
              </w:rPr>
              <w:t>8</w:t>
            </w:r>
            <w:r>
              <w:rPr>
                <w:rFonts w:ascii="仿宋_GB2312" w:hint="eastAsia"/>
              </w:rPr>
              <w:t>项</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1</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对家庭服务企业进行的行政检查</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2</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对洗染经营企业进行的行政检查</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3</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对家电维修企业进行的行政检查</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4</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对餐饮企业进行的行政检查</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5</w:t>
            </w:r>
          </w:p>
        </w:tc>
        <w:tc>
          <w:tcPr>
            <w:tcW w:w="6858"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对汽车销售及其相关服务活动实施日常监督检查</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6</w:t>
            </w:r>
          </w:p>
        </w:tc>
        <w:tc>
          <w:tcPr>
            <w:tcW w:w="6858" w:type="dxa"/>
            <w:tcBorders>
              <w:left w:val="single" w:sz="4" w:space="0" w:color="auto"/>
            </w:tcBorders>
            <w:vAlign w:val="center"/>
          </w:tcPr>
          <w:p>
            <w:pPr>
              <w:autoSpaceDN w:val="0"/>
              <w:spacing w:line="300" w:lineRule="exact"/>
              <w:ind w:firstLineChars="800" w:firstLine="1854"/>
              <w:textAlignment w:val="center"/>
              <w:rPr>
                <w:rFonts w:ascii="仿宋_GB2312" w:hAnsi="仿宋_GB2312"/>
                <w:color w:val="000000"/>
                <w:sz w:val="24"/>
              </w:rPr>
            </w:pPr>
            <w:r>
              <w:rPr>
                <w:rFonts w:ascii="仿宋_GB2312" w:hAnsi="仿宋_GB2312" w:hint="eastAsia"/>
                <w:color w:val="000000"/>
                <w:sz w:val="24"/>
              </w:rPr>
              <w:t>对发卡企业进行的行政检查</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hint="eastAsia"/>
                <w:color w:val="000000"/>
                <w:sz w:val="24"/>
              </w:rPr>
              <w:t>7</w:t>
            </w:r>
          </w:p>
        </w:tc>
        <w:tc>
          <w:tcPr>
            <w:tcW w:w="6858" w:type="dxa"/>
            <w:tcBorders>
              <w:left w:val="single" w:sz="4" w:space="0" w:color="auto"/>
            </w:tcBorders>
            <w:vAlign w:val="center"/>
          </w:tcPr>
          <w:p>
            <w:pPr>
              <w:spacing w:line="600" w:lineRule="exact"/>
              <w:jc w:val="center"/>
              <w:rPr>
                <w:rFonts w:ascii="仿宋_GB2312" w:hAnsi="仿宋_GB2312"/>
                <w:color w:val="000000"/>
                <w:sz w:val="24"/>
              </w:rPr>
            </w:pPr>
            <w:r>
              <w:rPr>
                <w:rFonts w:ascii="仿宋_GB2312" w:hAnsi="仿宋_GB2312" w:hint="eastAsia"/>
                <w:color w:val="000000"/>
                <w:sz w:val="24"/>
              </w:rPr>
              <w:t>对报废机动车回收拆解企业的检查</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hAnsi="仿宋_GB2312"/>
                <w:color w:val="000000"/>
                <w:sz w:val="24"/>
              </w:rPr>
            </w:pPr>
            <w:r>
              <w:rPr>
                <w:rFonts w:ascii="仿宋_GB2312" w:hAnsi="仿宋_GB2312"/>
                <w:color w:val="000000"/>
                <w:sz w:val="24"/>
              </w:rPr>
              <w:t>8</w:t>
            </w:r>
          </w:p>
        </w:tc>
        <w:tc>
          <w:tcPr>
            <w:tcW w:w="6858" w:type="dxa"/>
            <w:tcBorders>
              <w:left w:val="single" w:sz="4" w:space="0" w:color="auto"/>
            </w:tcBorders>
            <w:vAlign w:val="center"/>
          </w:tcPr>
          <w:p>
            <w:pPr>
              <w:spacing w:line="600" w:lineRule="exact"/>
              <w:jc w:val="center"/>
              <w:rPr>
                <w:rFonts w:ascii="仿宋_GB2312" w:hAnsi="仿宋_GB2312"/>
                <w:color w:val="000000"/>
                <w:sz w:val="24"/>
              </w:rPr>
            </w:pPr>
            <w:r>
              <w:rPr>
                <w:rFonts w:ascii="仿宋_GB2312" w:hAnsi="Helvetica" w:hint="eastAsia"/>
                <w:color w:val="262626"/>
                <w:sz w:val="24"/>
                <w:szCs w:val="24"/>
                <w:bdr w:val="none" w:sz="0" w:space="0" w:color="auto"/>
              </w:rPr>
              <w:t>对使用、报告一次性塑料制品的商品零售场所企业和电子商务平台企业的检查</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spacing w:line="600" w:lineRule="exact"/>
              <w:jc w:val="center"/>
              <w:rPr>
                <w:rFonts w:ascii="仿宋_GB2312" w:hAnsi="仿宋_GB2312"/>
                <w:color w:val="000000"/>
                <w:sz w:val="24"/>
              </w:rPr>
            </w:pPr>
            <w:r>
              <w:rPr>
                <w:rFonts w:ascii="仿宋_GB2312" w:hint="eastAsia"/>
              </w:rPr>
              <w:t>三、其他类</w:t>
            </w:r>
          </w:p>
        </w:tc>
        <w:tc>
          <w:tcPr>
            <w:tcW w:w="6858" w:type="dxa"/>
            <w:tcBorders>
              <w:left w:val="single" w:sz="4" w:space="0" w:color="auto"/>
            </w:tcBorders>
            <w:vAlign w:val="center"/>
          </w:tcPr>
          <w:p>
            <w:pPr>
              <w:spacing w:line="600" w:lineRule="exact"/>
              <w:jc w:val="center"/>
              <w:rPr>
                <w:rFonts w:ascii="仿宋_GB2312" w:hAnsi="仿宋_GB2312"/>
                <w:color w:val="000000"/>
                <w:sz w:val="24"/>
              </w:rPr>
            </w:pPr>
            <w:r>
              <w:rPr>
                <w:rFonts w:ascii="仿宋_GB2312" w:hint="eastAsia"/>
              </w:rPr>
              <w:t>共1项</w:t>
            </w:r>
          </w:p>
        </w:tc>
        <w:tc>
          <w:tcPr>
            <w:tcW w:w="2356" w:type="dxa"/>
            <w:tcBorders>
              <w:left w:val="single" w:sz="4" w:space="0" w:color="auto"/>
            </w:tcBorders>
            <w:vAlign w:val="center"/>
          </w:tcPr>
          <w:p>
            <w:pPr>
              <w:spacing w:line="600" w:lineRule="exact"/>
              <w:jc w:val="center"/>
              <w:rPr>
                <w:rFonts w:ascii="仿宋_GB2312"/>
              </w:rPr>
            </w:pPr>
          </w:p>
        </w:tc>
      </w:tr>
      <w:tr>
        <w:tc>
          <w:tcPr>
            <w:tcW w:w="3200" w:type="dxa"/>
            <w:tcBorders>
              <w:left w:val="single" w:sz="4" w:space="0" w:color="auto"/>
            </w:tcBorders>
            <w:vAlign w:val="center"/>
          </w:tcPr>
          <w:p>
            <w:pPr>
              <w:autoSpaceDN w:val="0"/>
              <w:spacing w:line="300" w:lineRule="exact"/>
              <w:jc w:val="center"/>
              <w:textAlignment w:val="center"/>
              <w:rPr>
                <w:rFonts w:ascii="仿宋_GB2312"/>
              </w:rPr>
            </w:pPr>
            <w:r>
              <w:rPr>
                <w:rFonts w:ascii="仿宋_GB2312" w:hAnsi="仿宋_GB2312" w:hint="eastAsia"/>
                <w:color w:val="000000"/>
                <w:sz w:val="24"/>
              </w:rPr>
              <w:t>1</w:t>
            </w:r>
          </w:p>
        </w:tc>
        <w:tc>
          <w:tcPr>
            <w:tcW w:w="6858" w:type="dxa"/>
            <w:tcBorders>
              <w:left w:val="single" w:sz="4" w:space="0" w:color="auto"/>
            </w:tcBorders>
            <w:vAlign w:val="center"/>
          </w:tcPr>
          <w:p>
            <w:pPr>
              <w:autoSpaceDN w:val="0"/>
              <w:spacing w:line="300" w:lineRule="exact"/>
              <w:jc w:val="center"/>
              <w:textAlignment w:val="center"/>
              <w:rPr>
                <w:rFonts w:ascii="仿宋_GB2312"/>
              </w:rPr>
            </w:pPr>
            <w:r>
              <w:rPr>
                <w:rFonts w:ascii="仿宋_GB2312" w:hAnsi="仿宋_GB2312" w:hint="eastAsia"/>
                <w:color w:val="000000"/>
                <w:sz w:val="24"/>
              </w:rPr>
              <w:t>单用途商业预付卡规模发卡企业备案</w:t>
            </w:r>
          </w:p>
        </w:tc>
        <w:tc>
          <w:tcPr>
            <w:tcW w:w="2356" w:type="dxa"/>
            <w:tcBorders>
              <w:left w:val="single" w:sz="4" w:space="0" w:color="auto"/>
            </w:tcBorders>
            <w:vAlign w:val="center"/>
          </w:tcPr>
          <w:p>
            <w:pPr>
              <w:spacing w:line="600" w:lineRule="exact"/>
              <w:jc w:val="center"/>
              <w:rPr>
                <w:rFonts w:ascii="仿宋_GB2312"/>
              </w:rPr>
            </w:pPr>
          </w:p>
        </w:tc>
      </w:tr>
    </w:tbl>
    <w:p>
      <w:pPr>
        <w:spacing w:line="400" w:lineRule="exact"/>
      </w:pPr>
    </w:p>
    <w:sectPr>
      <w:footerReference w:type="default" r:id="rId2"/>
      <w:pgSz w:w="16838" w:h="11906" w:orient="landscape"/>
      <w:pgMar w:top="1587" w:right="1701" w:bottom="1587" w:left="1587" w:header="851" w:footer="992" w:gutter="0"/>
      <w:pgNumType w:fmt="numberInDash"/>
      <w:cols w:num="1" w:space="720"/>
      <w:titlePg/>
      <w:docGrid w:type="linesAndChars" w:linePitch="579" w:charSpace="-1683"/>
    </w:sectPr>
  </w:body>
</w:document>
</file>

<file path=word/fontTable.xml><?xml version="1.0" encoding="utf-8"?>
<w:fonts xmlns:w="http://schemas.openxmlformats.org/wordprocessingml/2006/main" xmlns:r="http://schemas.openxmlformats.org/officeDocument/2006/relationships">
  <w:font w:name="楷体_GB2312">
    <w:altName w:val="楷体"/>
    <w:panose1 w:val="00000000000000000000"/>
    <w:charset w:val="86"/>
    <w:family w:val="swiss"/>
    <w:pitch w:val="variable"/>
    <w:sig w:usb0="00000000" w:usb1="00000000" w:usb2="00000000" w:usb3="00000000" w:csb0="00040000" w:csb1="00000000"/>
  </w:font>
  <w:font w:name="Arial">
    <w:panose1 w:val="020B0604020202020204"/>
    <w:charset w:val="01"/>
    <w:family w:val="swiss"/>
    <w:pitch w:val="variable"/>
    <w:sig w:usb0="E0002EFF" w:usb1="C000785B" w:usb2="00000009" w:usb3="00000000" w:csb0="400001FF" w:csb1="FFFF0000"/>
  </w:font>
  <w:font w:name="仿宋_GB2312">
    <w:altName w:val="仿宋"/>
    <w:panose1 w:val="00000000000000000000"/>
    <w:charset w:val="86"/>
    <w:family w:val="swiss"/>
    <w:pitch w:val="variable"/>
    <w:sig w:usb0="00000000" w:usb1="00000000" w:usb2="00000000" w:usb3="00000000" w:csb0="00040000" w:csb1="00000000"/>
  </w:font>
  <w:font w:name="黑体">
    <w:panose1 w:val="02010609060101010101"/>
    <w:charset w:val="86"/>
    <w:family w:val="auto"/>
    <w:pitch w:val="variable"/>
    <w:sig w:usb0="800002BF" w:usb1="38CF7CFA" w:usb2="00000016" w:usb3="00000000" w:csb0="00040001" w:csb1="00000000"/>
  </w:font>
  <w:font w:name="Helvetica">
    <w:altName w:val="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framePr w:w="0" w:hRule="auto" w:wrap="around" w:vAnchor="text" w:hAnchor="margin" w:xAlign="center" w:y="1" w:anchorLock="0"/>
      <w:tabs>
        <w:tab w:val="center" w:pos="4153"/>
        <w:tab w:val="right" w:pos="8306"/>
      </w:tabs>
      <w:rPr>
        <w:rStyle w:val="17"/>
      </w:rPr>
    </w:pPr>
    <w:r>
      <w:fldChar w:fldCharType="begin"/>
    </w:r>
    <w:r>
      <w:rPr>
        <w:rStyle w:val="17"/>
      </w:rPr>
      <w:instrText xml:space="preserve">PAGE  </w:instrText>
    </w:r>
    <w:r>
      <w:fldChar w:fldCharType="separate"/>
    </w:r>
    <w:r>
      <w:rPr>
        <w:rStyle w:val="17"/>
      </w:rPr>
      <w:t>- 2 -</w:t>
    </w:r>
    <w:r>
      <w:fldChar w:fldCharType="end"/>
    </w:r>
  </w:p>
  <w:p>
    <w:pPr>
      <w:pStyle w:val="15"/>
      <w:tabs>
        <w:tab w:val="center" w:pos="4153"/>
        <w:tab w:val="right" w:pos="8306"/>
      </w:tabs>
      <w:ind w:right="360" w:firstLine="360"/>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0"/>
  <w:bordersDoNotSurroundHeader/>
  <w:bordersDoNotSurroundFooter/>
  <w:defaultTabStop w:val="420"/>
  <w:drawingGridHorizontalSpacing w:val="15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compatSetting w:name="compatibilityMode" w:uri="http://schemas.microsoft.com/office/word" w:val="12"/>
  </w:compat>
  <m:mathPr>
    <m:mathFont m:val="Cambria Math"/>
    <m:brkBin m:val="before"/>
    <m:brkBinSub m:val="--"/>
    <m:smallFrac/>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pPr>
      <w:widowControl w:val="0"/>
      <w:jc w:val="both"/>
    </w:pPr>
    <w:rPr>
      <w:rFonts w:ascii="Times New Roman" w:eastAsia="仿宋_GB2312" w:cs="Arial" w:hAnsi="Times New Roman"/>
      <w:kern w:val="2"/>
      <w:sz w:val="32"/>
      <w:szCs w:val="32"/>
      <w:lang w:val="en-US" w:eastAsia="zh-CN" w:bidi="ar-SA"/>
    </w:rPr>
  </w:style>
  <w:style w:type="paragraph" w:styleId="1">
    <w:name w:val="heading 1"/>
    <w:qFormat/>
    <w:basedOn w:val="0"/>
    <w:next w:val="0"/>
    <w:link w:val="1Char"/>
    <w:pPr>
      <w:keepNext/>
      <w:keepLines/>
      <w:spacing w:line="576" w:lineRule="auto"/>
      <w:outlineLvl w:val="0"/>
    </w:pPr>
    <w:rPr>
      <w:b/>
      <w:kern w:val="44"/>
      <w:sz w:val="44"/>
    </w:rPr>
  </w:style>
  <w:style w:type="character" w:customStyle="1" w:styleId="1Char">
    <w:name w:val="heading 1 Char"/>
    <w:basedOn w:val="10"/>
    <w:link w:val="1"/>
    <w:rPr>
      <w:rFonts w:ascii="Times New Roman" w:eastAsia="仿宋_GB2312" w:cs="Arial" w:hAnsi="Times New Roman"/>
      <w:b/>
      <w:kern w:val="44"/>
      <w:sz w:val="44"/>
      <w:szCs w:val="32"/>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Arial" w:hAnsi="Times New Roman"/>
      <w:b/>
      <w:bCs/>
      <w:kern w:val="2"/>
      <w:sz w:val="32"/>
      <w:szCs w:val="32"/>
      <w:lang w:val="en-US" w:eastAsia="zh-CN" w:bidi="ar-SA"/>
    </w:rPr>
  </w:style>
  <w:style w:type="paragraph" w:styleId="3">
    <w:name w:val="heading 3"/>
    <w:qFormat/>
    <w:basedOn w:val="0"/>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Times New Roman" w:eastAsia="仿宋_GB2312" w:cs="Arial" w:hAnsi="Times New Roman"/>
      <w:b/>
      <w:bCs/>
      <w:kern w:val="2"/>
      <w:sz w:val="32"/>
      <w:szCs w:val="32"/>
      <w:lang w:val="en-US" w:eastAsia="zh-CN" w:bidi="ar-SA"/>
    </w:rPr>
  </w:style>
  <w:style w:type="character" w:default="1" w:styleId="10">
    <w:name w:val="Default Paragraph Font"/>
    <w:qFormat/>
  </w:style>
  <w:style w:type="paragraph" w:styleId="15">
    <w:name w:val="footer"/>
    <w:qFormat/>
    <w:basedOn w:val="0"/>
    <w:pPr>
      <w:tabs>
        <w:tab w:val="center" w:pos="4153"/>
        <w:tab w:val="right" w:pos="8306"/>
      </w:tabs>
      <w:snapToGrid w:val="0"/>
      <w:jc w:val="left"/>
    </w:pPr>
    <w:rPr>
      <w:sz w:val="18"/>
      <w:szCs w:val="18"/>
    </w:rPr>
  </w:style>
  <w:style w:type="paragraph" w:styleId="16">
    <w:name w:val="header"/>
    <w:qFormat/>
    <w:basedOn w:val="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17">
    <w:name w:val="page number"/>
    <w:qFormat/>
    <w:basedOn w:val="10"/>
  </w:style>
  <w:style w:type="paragraph" w:customStyle="1" w:yozoId="4094" w:styleId="18">
    <w:name w:val="Char"/>
    <w:qFormat/>
    <w:basedOn w:val="0"/>
    <w:pPr>
      <w:snapToGrid w:val="0"/>
      <w:spacing w:afterLines="50" w:after="50" w:line="360" w:lineRule="auto"/>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customXml" Target="../customXml/item1.xml"/><Relationship Id="rId6"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ctr"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014DD1D0-514E-4135-A194-E0F0BB19060F}">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26</TotalTime>
  <Application>WPS_Yozo_Office9.0.5962.102ZH.HE58</Application>
  <Pages>4</Pages>
  <Words>0</Words>
  <Characters>1187</Characters>
  <Lines>0</Lines>
  <Paragraphs>5</Paragraphs>
  <CharactersWithSpaces>1583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等风来</dc:creator>
  <cp:lastModifiedBy>Administrator</cp:lastModifiedBy>
  <cp:revision>5</cp:revision>
  <cp:lastPrinted>2025-03-20T01:40:31Z</cp:lastPrinted>
  <dcterms:created xsi:type="dcterms:W3CDTF">2020-11-02T02:44:00Z</dcterms:created>
  <dcterms:modified xsi:type="dcterms:W3CDTF">2025-03-20T02:18:55Z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2052-10.1.0.5457</vt:lpwstr>
  </property>
  <property fmtid="{D5CDD505-2E9C-101B-9397-08002B2CF9AE}" pid="3" name="ICV">
    <vt:lpwstr>F9B81C2190074546B85148FAEFDB0C94</vt:lpwstr>
  </property>
</Properties>
</file>