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before="0" w:beforeLines="0" w:after="0" w:afterLines="0" w:line="600" w:lineRule="exact"/>
        <w:ind w:left="0" w:leftChars="0" w:right="0" w:rightChars="0" w:firstLine="0" w:firstLineChars="0"/>
        <w:jc w:val="center"/>
        <w:textAlignment w:val="auto"/>
        <w:rPr>
          <w:rFonts w:hint="eastAsia" w:ascii="黑体" w:hAnsi="黑体" w:eastAsia="黑体"/>
          <w:lang w:val="en-US" w:eastAsia="zh-CN"/>
        </w:rPr>
      </w:pPr>
      <w:r>
        <w:rPr>
          <w:rFonts w:hint="eastAsia" w:ascii="黑体" w:hAnsi="黑体" w:eastAsia="黑体"/>
          <w:lang w:val="en-US" w:eastAsia="zh-CN"/>
        </w:rPr>
        <w:t>责任事项和追责情形依据分表</w:t>
      </w:r>
    </w:p>
    <w:p>
      <w:pPr>
        <w:keepNext w:val="0"/>
        <w:keepLines w:val="0"/>
        <w:pageBreakBefore w:val="0"/>
        <w:kinsoku/>
        <w:wordWrap/>
        <w:overflowPunct/>
        <w:topLinePunct w:val="0"/>
        <w:autoSpaceDE/>
        <w:autoSpaceDN/>
        <w:bidi w:val="0"/>
        <w:adjustRightInd/>
        <w:snapToGrid/>
        <w:spacing w:before="0" w:beforeLines="0" w:after="0" w:afterLines="0" w:line="600" w:lineRule="exact"/>
        <w:ind w:right="0" w:rightChars="0"/>
        <w:textAlignment w:val="auto"/>
        <w:rPr>
          <w:rFonts w:hint="eastAsia" w:ascii="仿宋_GB2312"/>
          <w:lang w:val="en-US" w:eastAsia="zh-CN"/>
        </w:rPr>
      </w:pPr>
      <w:r>
        <w:rPr>
          <w:rFonts w:hint="eastAsia" w:ascii="楷体_GB2312" w:hAnsi="楷体_GB2312" w:eastAsia="楷体_GB2312"/>
          <w:sz w:val="28"/>
          <w:lang w:val="en-US" w:eastAsia="zh-CN"/>
        </w:rPr>
        <w:t>单位：乐亭县</w:t>
      </w:r>
      <w:r>
        <w:rPr>
          <w:rFonts w:hint="eastAsia" w:ascii="楷体_GB2312" w:hAnsi="楷体_GB2312" w:eastAsia="楷体_GB2312" w:cs="Arial"/>
          <w:sz w:val="28"/>
          <w:lang w:val="en-US" w:eastAsia="zh-CN"/>
        </w:rPr>
        <w:t>医疗保障局（公章）</w:t>
      </w:r>
    </w:p>
    <w:tbl>
      <w:tblPr>
        <w:tblStyle w:val="6"/>
        <w:tblW w:w="138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0"/>
        <w:gridCol w:w="1762"/>
        <w:gridCol w:w="5118"/>
        <w:gridCol w:w="4510"/>
        <w:gridCol w:w="14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top"/>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黑体" w:hAnsi="黑体" w:eastAsia="黑体"/>
                <w:sz w:val="24"/>
                <w:szCs w:val="24"/>
                <w:vertAlign w:val="baseline"/>
                <w:lang w:val="en-US" w:eastAsia="zh-CN"/>
              </w:rPr>
            </w:pPr>
            <w:r>
              <w:rPr>
                <w:rFonts w:hint="eastAsia" w:ascii="黑体" w:hAnsi="黑体" w:eastAsia="黑体"/>
                <w:sz w:val="24"/>
                <w:szCs w:val="24"/>
                <w:vertAlign w:val="baseline"/>
                <w:lang w:val="en-US" w:eastAsia="zh-CN"/>
              </w:rPr>
              <w:t>序号</w:t>
            </w:r>
          </w:p>
        </w:tc>
        <w:tc>
          <w:tcPr>
            <w:tcW w:w="1762" w:type="dxa"/>
            <w:vAlign w:val="top"/>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黑体" w:hAnsi="黑体" w:eastAsia="黑体"/>
                <w:sz w:val="24"/>
                <w:szCs w:val="24"/>
                <w:vertAlign w:val="baseline"/>
                <w:lang w:val="en-US" w:eastAsia="zh-CN"/>
              </w:rPr>
            </w:pPr>
            <w:r>
              <w:rPr>
                <w:rFonts w:hint="eastAsia" w:ascii="黑体" w:hAnsi="黑体" w:eastAsia="黑体"/>
                <w:sz w:val="24"/>
                <w:szCs w:val="24"/>
                <w:vertAlign w:val="baseline"/>
                <w:lang w:val="en-US" w:eastAsia="zh-CN"/>
              </w:rPr>
              <w:t>权力事项</w:t>
            </w:r>
          </w:p>
        </w:tc>
        <w:tc>
          <w:tcPr>
            <w:tcW w:w="5118" w:type="dxa"/>
            <w:vAlign w:val="top"/>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黑体" w:hAnsi="黑体" w:eastAsia="黑体"/>
                <w:sz w:val="24"/>
                <w:szCs w:val="24"/>
                <w:vertAlign w:val="baseline"/>
                <w:lang w:val="en-US" w:eastAsia="zh-CN"/>
              </w:rPr>
            </w:pPr>
            <w:r>
              <w:rPr>
                <w:rFonts w:hint="eastAsia" w:ascii="黑体" w:hAnsi="黑体" w:eastAsia="黑体"/>
                <w:sz w:val="24"/>
                <w:szCs w:val="24"/>
                <w:vertAlign w:val="baseline"/>
                <w:lang w:val="en-US" w:eastAsia="zh-CN"/>
              </w:rPr>
              <w:t>责任事项依据</w:t>
            </w:r>
          </w:p>
        </w:tc>
        <w:tc>
          <w:tcPr>
            <w:tcW w:w="4510" w:type="dxa"/>
            <w:vAlign w:val="top"/>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黑体" w:hAnsi="黑体" w:eastAsia="黑体"/>
                <w:sz w:val="24"/>
                <w:szCs w:val="24"/>
                <w:vertAlign w:val="baseline"/>
                <w:lang w:val="en-US" w:eastAsia="zh-CN"/>
              </w:rPr>
            </w:pPr>
            <w:r>
              <w:rPr>
                <w:rFonts w:hint="eastAsia" w:ascii="黑体" w:hAnsi="黑体" w:eastAsia="黑体"/>
                <w:sz w:val="24"/>
                <w:szCs w:val="24"/>
                <w:vertAlign w:val="baseline"/>
                <w:lang w:val="en-US" w:eastAsia="zh-CN"/>
              </w:rPr>
              <w:t>追责情形依据</w:t>
            </w:r>
          </w:p>
        </w:tc>
        <w:tc>
          <w:tcPr>
            <w:tcW w:w="1447" w:type="dxa"/>
            <w:vAlign w:val="top"/>
          </w:tcPr>
          <w:p>
            <w:pPr>
              <w:keepNext w:val="0"/>
              <w:keepLines w:val="0"/>
              <w:pageBreakBefore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before="0" w:beforeLines="0" w:after="0" w:afterLines="0" w:line="600" w:lineRule="exact"/>
              <w:ind w:right="0" w:rightChars="0"/>
              <w:jc w:val="center"/>
              <w:textAlignment w:val="auto"/>
              <w:rPr>
                <w:rFonts w:hint="eastAsia" w:ascii="黑体" w:hAnsi="黑体" w:eastAsia="黑体"/>
                <w:sz w:val="24"/>
                <w:szCs w:val="24"/>
                <w:vertAlign w:val="baseline"/>
                <w:lang w:val="en-US" w:eastAsia="zh-CN"/>
              </w:rPr>
            </w:pPr>
            <w:r>
              <w:rPr>
                <w:rFonts w:hint="eastAsia" w:ascii="黑体" w:hAnsi="黑体" w:eastAsia="黑体"/>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hAnsi="仿宋_GB2312" w:eastAsia="仿宋_GB2312"/>
                <w:b w:val="0"/>
                <w:i w:val="0"/>
                <w:snapToGrid/>
                <w:color w:val="000000"/>
                <w:sz w:val="22"/>
                <w:szCs w:val="22"/>
                <w:u w:val="none"/>
                <w:lang w:val="en-US" w:eastAsia="zh-CN"/>
              </w:rPr>
              <w:t>对用人单位不办理医疗保险和生育保险登记、未按规定变更登记或注销登记以及伪造、变造登记证明的处罚</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2.《行政处罚法》第三十七条“行政机关在调查或者进行检查时，执法人员不得少于两人，并应当向当事人或者有关人员出示证件。当事人或者有关人员……”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3.《行政处罚法》第三十八条“调查终结，行政机关负责人应当对调查结果进行审查，根据不同情况，分别作出如下决定：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(一)确有应受行政处罚的违法行为的，根据情节轻重及具体情况，作出行政处罚决定;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(二)违法行为轻微，依法可以不予行政处罚的，不予行政处罚;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(三)违法事实不能成立的，不得给予行政处罚;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(四)违法行为已构成犯罪的，移送司法机关。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对情节复杂或者重大违法行为给予较重的行政处罚，行政机关的负责人应当集体讨论决定……”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4-1.《行政处罚法》第三十一条“行政机关在作出行政处罚决定之前，应当告知当事人作出行政处罚决定的事实、理由及依据，并告知当事人依法享有的权利。”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4-2.《行政处罚法》第四十二条“行政机关作出责令停产停业、吊销许可证或者执照、较大数额罚款等行政处罚决定之前，应当告知当事人有要求举行听证的权利;当事人要求听证的，行政机关应当组织听证……”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5.《行政处罚法》第三十九条“行政机关依照本法第三十八条的规定给予行政处罚，应当制作行政处罚决定书。行政处罚决定书应当载明下列……”</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7.《行政处罚法》第四十四条“行政处罚决定依法作出后，当事人应当在行政处罚决定的期限内，予以履行。”</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8.同1。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r>
              <w:rPr>
                <w:rFonts w:hint="eastAsia" w:ascii="仿宋_GB2312" w:hAnsi="仿宋_GB2312" w:eastAsia="仿宋_GB2312"/>
                <w:b w:val="0"/>
                <w:i w:val="0"/>
                <w:snapToGrid/>
                <w:color w:val="000000"/>
                <w:sz w:val="22"/>
                <w:szCs w:val="22"/>
                <w:u w:val="none"/>
                <w:lang w:val="en-US" w:eastAsia="zh-CN"/>
              </w:rPr>
              <w:t>2</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val="en-US" w:eastAsia="zh-CN"/>
              </w:rPr>
              <w:t>对将本人的基本医疗保险凭证出借给他人就医或者出借给医疗机构使用的处罚</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2.《行政处罚法》第三十七条“行政机关在调查或者进行检查时，执法人员不得少于两人，并应当向当事人或者有关人员出示证件。当事人或者有关人员……”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3.《行政处罚法》第三十八条“调查终结，行政机关负责人应当对调查结果进行审查，根据不同情况，分别作出如下决定：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(一)确有应受行政处罚的违法行为的，根据情节轻重及具体情况，作出行政处罚决定;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(二)违法行为轻微，依法可以不予行政处罚的，不予行政处罚;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(三)违法事实不能成立的，不得给予行政处罚;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(四)违法行为已构成犯罪的，移送司法机关。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对情节复杂或者重大违法行为给予较重的行政处罚，行政机关的负责人应当集体讨论决定……”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4-1.《行政处罚法》第三十一条“行政机关在作出行政处罚决定之前，应当告知当事人作出行政处罚决定的事实、理由及依据，并告知当事人依法享有的权利。”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4-2.《行政处罚法》第四十二条“行政机关作出责令停产停业、吊销许可证或者执照、较大数额罚款等行政处罚决定之前，应当告知当事人有要求举行听证的权利;当事人要求听证的，行政机关应当组织听证……”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5.《行政处罚法》第三十九条“行政机关依照本法第三十八条的规定给予行政处罚，应当制作行政处罚决定书。行政处罚决定书应当载明下列……”</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7.《行政处罚法》第四十四条“行政处罚决定依法作出后，当事人应当在行政处罚决定的期限内，予以履行。”</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8.同1。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3</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eastAsia="仿宋_GB2312"/>
                <w:b w:val="0"/>
                <w:i w:val="0"/>
                <w:snapToGrid/>
                <w:color w:val="000000"/>
                <w:sz w:val="22"/>
                <w:szCs w:val="22"/>
                <w:u w:val="none"/>
                <w:lang w:eastAsia="zh-CN"/>
              </w:rPr>
              <w:t>对医疗保险经办机构以及医疗机构、药品经营单位等医疗保险服务机构以欺诈、伪造证明材料或者其他手段骗取医疗保险、生育保险基金支出的处罚</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2.《行政处罚法》第三十七条“行政机关在调查或者进行检查时，执法人员不得少于两人，并应当向当事人或者有关人员出示证件。当事人或者有关人员……”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3.《行政处罚法》第三十八条“调查终结，行政机关负责人应当对调查结果进行审查，根据不同情况，分别作出如下决定：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(一)确有应受行政处罚的违法行为的，根据情节轻重及具体情况，作出行政处罚决定;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(二)违法行为轻微，依法可以不予行政处罚的，不予行政处罚;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(三)违法事实不能成立的，不得给予行政处罚;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(四)违法行为已构成犯罪的，移送司法机关。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对情节复杂或者重大违法行为给予较重的行政处罚，行政机关的负责人应当集体讨论决定……”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4-1.《行政处罚法》第三十一条“行政机关在作出行政处罚决定之前，应当告知当事人作出行政处罚决定的事实、理由及依据，并告知当事人依法享有的权利。”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4-2.《行政处罚法》第四十二条“行政机关作出责令停产停业、吊销许可证或者执照、较大数额罚款等行政处罚决定之前，应当告知当事人有要求举行听证的权利;当事人要求听证的，行政机关应当组织听证……”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5.《行政处罚法》第三十九条“行政机关依照本法第三十八条的规定给予行政处罚，应当制作行政处罚决定书。行政处罚决定书应当载明下列……”</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7.《行政处罚法》第四十四条“行政处罚决定依法作出后，当事人应当在行政处罚决定的期限内，予以履行。”</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8.同1。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eastAsia="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4</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eastAsia="仿宋_GB2312"/>
                <w:b w:val="0"/>
                <w:i w:val="0"/>
                <w:snapToGrid/>
                <w:color w:val="000000"/>
                <w:sz w:val="22"/>
                <w:szCs w:val="22"/>
                <w:u w:val="none"/>
                <w:lang w:eastAsia="zh-CN"/>
              </w:rPr>
              <w:t>对以欺诈、伪造证明材料或者其他手段骗取医疗保险、生育保险待遇的处罚</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2.《行政处罚法》第三十七条“行政机关在调查或者进行检查时，执法人员不得少于两人，并应当向当事人或者有关人员出示证件。当事人或者有关人员……”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3.《行政处罚法》第三十八条“调查终结，行政机关负责人应当对调查结果进行审查，根据不同情况，分别作出如下决定：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(一)确有应受行政处罚的违法行为的，根据情节轻重及具体情况，作出行政处罚决定;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(二)违法行为轻微，依法可以不予行政处罚的，不予行政处罚;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(三)违法事实不能成立的，不得给予行政处罚;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(四)违法行为已构成犯罪的，移送司法机关。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对情节复杂或者重大违法行为给予较重的行政处罚，行政机关的负责人应当集体讨论决定……”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4-1.《行政处罚法》第三十一条“行政机关在作出行政处罚决定之前，应当告知当事人作出行政处罚决定的事实、理由及依据，并告知当事人依法享有的权利。”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4-2.《行政处罚法》第四十二条“行政机关作出责令停产停业、吊销许可证或者执照、较大数额罚款等行政处罚决定之前，应当告知当事人有要求举行听证的权利;当事人要求听证的，行政机关应当组织听证……”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5.《行政处罚法》第三十九条“行政机关依照本法第三十八条的规定给予行政处罚，应当制作行政处罚决定书。行政处罚决定书应当载明下列……”</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7.《行政处罚法》第四十四条“行政处罚决定依法作出后，当事人应当在行政处罚决定的期限内，予以履行。”</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8.同1。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5</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eastAsia="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对采取虚报、隐瞒、伪造等手段，骗取医疗救助基金的处罚</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2.《行政处罚法》第三十七条“行政机关在调查或者进行检查时，执法人员不得少于两人，并应当向当事人或者有关人员出示证件。当事人或者有关人员……”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3.《行政处罚法》第三十八条“调查终结，行政机关负责人应当对调查结果进行审查，根据不同情况，分别作出如下决定：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(一)确有应受行政处罚的违法行为的，根据情节轻重及具体情况，作出行政处罚决定;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(二)违法行为轻微，依法可以不予行政处罚的，不予行政处罚;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(三)违法事实不能成立的，不得给予行政处罚;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(四)违法行为已构成犯罪的，移送司法机关。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对情节复杂或者重大违法行为给予较重的行政处罚，行政机关的负责人应当集体讨论决定……”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4-1.《行政处罚法》第三十一条“行政机关在作出行政处罚决定之前，应当告知当事人作出行政处罚决定的事实、理由及依据，并告知当事人依法享有的权利。”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4-2.《行政处罚法》第四十二条“行政机关作出责令停产停业、吊销许可证或者执照、较大数额罚款等行政处罚决定之前，应当告知当事人有要求举行听证的权利;当事人要求听证的，行政机关应当组织听证……”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5.《行政处罚法》第三十九条“行政机关依照本法第三十八条的规定给予行政处罚，应当制作行政处罚决定书。行政处罚决定书应当载明下列……”</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7.《行政处罚法》第四十四条“行政处罚决定依法作出后，当事人应当在行政处罚决定的期限内，予以履行。”</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8.同1。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6</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对以违反医药价格管理政策等为手段，骗取医保基金支出行为的处罚</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2.《行政处罚法》第三十七条“行政机关在调查或者进行检查时，执法人员不得少于两人，并应当向当事人或者有关人员出示证件。当事人或者有关人员……”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3.《行政处罚法》第三十八条“调查终结，行政机关负责人应当对调查结果进行审查，根据不同情况，分别作出如下决定：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(一)确有应受行政处罚的违法行为的，根据情节轻重及具体情况，作出行政处罚决定;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(二)违法行为轻微，依法可以不予行政处罚的，不予行政处罚;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(三)违法事实不能成立的，不得给予行政处罚;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(四)违法行为已构成犯罪的，移送司法机关。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对情节复杂或者重大违法行为给予较重的行政处罚，行政机关的负责人应当集体讨论决定……”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4-1.《行政处罚法》第三十一条“行政机关在作出行政处罚决定之前，应当告知当事人作出行政处罚决定的事实、理由及依据，并告知当事人依法享有的权利。”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4-2.《行政处罚法》第四十二条“行政机关作出责令停产停业、吊销许可证或者执照、较大数额罚款等行政处罚决定之前，应当告知当事人有要求举行听证的权利;当事人要求听证的，行政机关应当组织听证……”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5.《行政处罚法》第三十九条“行政机关依照本法第三十八条的规定给予行政处罚，应当制作行政处罚决定书。行政处罚决定书应当载明下列……”</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7.《行政处罚法》第四十四条“行政处罚决定依法作出后，当事人应当在行政处罚决定的期限内，予以履行。”</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8.同1。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7</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对参加药品采购投标的投标人的违法行为进行监督管理</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三十六条“除本法第三十三条规定的可以当场作出的行政处罚外，行政机关发现公民、法人或者其他组织有依法应当给予行政处罚的行为的，必须全面、客观、公正地调查，收集有关证据;必要时，依照法律、法规的规定，可以进行检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2.《行政处罚法》第三十七条“行政机关在调查或者进行检查时，执法人员不得少于两人，并应当向当事人或者有关人员出示证件。当事人或者有关人员……”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3.《行政处罚法》第三十八条“调查终结，行政机关负责人应当对调查结果进行审查，根据不同情况，分别作出如下决定：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(一)确有应受行政处罚的违法行为的，根据情节轻重及具体情况，作出行政处罚决定;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(二)违法行为轻微，依法可以不予行政处罚的，不予行政处罚;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(三)违法事实不能成立的，不得给予行政处罚;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20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(四)违法行为已构成犯罪的，移送司法机关。</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对情节复杂或者重大违法行为给予较重的行政处罚，行政机关的负责人应当集体讨论决定……”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4-1.《行政处罚法》第三十一条“行政机关在作出行政处罚决定之前，应当告知当事人作出行政处罚决定的事实、理由及依据，并告知当事人依法享有的权利。”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4-2.《行政处罚法》第四十二条“行政机关作出责令停产停业、吊销许可证或者执照、较大数额罚款等行政处罚决定之前，应当告知当事人有要求举行听证的权利;当事人要求听证的，行政机关应当组织听证……”</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5.《行政处罚法》第三十九条“行政机关依照本法第三十八条的规定给予行政处罚，应当制作行政处罚决定书。行政处罚决定书应当载明下列……”</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6.《行政处罚法》第四十条“行政处罚决定书应当在宣告后当场交付当事人;当事人不在场的，行政机关应当在七日内依照民事诉讼法的有关规定，将行政处罚决定书送达当事人。”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7.《行政处罚法》第四十四条“行政处罚决定依法作出后，当事人应当在行政处罚决定的期限内，予以履行。”</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处罚法》第五十五条“行政机关实施行政处罚，有下列情形之一的，由上级行政机关或者有关部门责令改正，可以对直接负责的主管人员和其他直接责任人员依法给予行政处分：（一）没有法定的行政处罚依据的；（二）擅自改变行政处罚种类、幅度的；（三）违反法定的行政处罚程序的；（四）违反本法第十八条关于委托处罚的规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处罚法》第六十二条“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处罚法》第六十一条“行政机关为牟取本单位私利，对应当依法移交司法机关追究刑事责任的不移交，以行政处罚代替刑罚，由上级行政机关或者有关部门责令纠正;拒不纠正的，对直接负责的主管人员给予行政处分;徇私舞弊、包庇纵容违法行为的，依照刑法有关规定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7.同1。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8.同1。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9.《行政处罚法》第五十八条“行政机关将罚款、没收的违法所得或者财物截留、私分或者变相私分的，由财政部门或者有关部门予以追缴，对直接负责的主管人员和其他直接责任人员依法给予行政处分；情节严重构成犯罪的，依法追究刑事责任。执法人员利用职务上的便利，索取或者收受他人财物、收缴罚款据为己有，构成犯罪的，依法追究刑事责任；情节轻微不构成犯罪的，依法给予行政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8</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对被转移、隐匿或者灭失的医疗保障基金收支、管理相关的资料予以封存</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1-1.《行政强制法》第十八条“行政机关实施行政强制措施应当遵守下列规定：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（一）实施前须向行政机关负责人报告并经批准；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（二）由两名以上行政执法人员实施；</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（三）出示执法身份证件；</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（四）通知当事人到场；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（五）当场告知当事人采取行政强制措施的理由、依据以及当事人依法享有的权利、救济途径；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（六）听取当事人的陈述和申辩；</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（七）制作现场笔录；</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（八）现场笔录由当事人和行政执法人员签名或者盖章，当事人拒绝的，在笔录中予以注明；</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（九）当事人不到场的，邀请见证人到场，由见证人和行政执法人员在现场笔录上签名或者盖章；</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（十）法律、法规规定的其他程序。”</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-2.《行政强制法》第十九条“情况紧急，需要当场实施行政强制措施的，行政执法人员应当在二十四小时内向行政机关负责人报告，并补办批准手续。行政机关负责人认为不应当采取行政强制措施的，应当立即解除。”</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2.《行政强制法》第二十四条“行政机关决定实施查封、扣押的，应当履行本法第十八条规定的程序，制作并当场交付查封、扣押决定书和清单。</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查封、扣押决定书应当载明下列事项：</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（一）当事人的姓名或者名称、地址；</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（二）查封、扣押的理由、依据和期限；</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（三）查封、扣押场所、设施或者财物的名称、数量等；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（四）申请行政复议或者提起行政诉讼的途径和期限；</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（五）行政机关的名称、印章和日期。</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查封、扣押清单一式二份，由当事人和行政机关分别保存。”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3.《行政强制法》第二十六条“对查封、扣押的场所、设施或者财物，行政机关应当妥善保管，不得使用或者损毁；造成损失的，应当承担赔偿责任。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对查封的场所、设施或者财物，行政机关可以委托第三人保管，第三人不得损毁或者擅自转移、处置。因第三人的原因造成的损失，行政机关先行赔付后，有权向第三人追偿。</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因查封、扣押发生的保管费用由行政机关承担。”</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1.《行政强制法》第六十一条“行政机关实施行政强制，有下列情形之一的，由上级行政机关或者有关部门责令改正，对直接负责的主管人员和其他直接责任人员依法给予处分：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（一）没有法律、法规依据的；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（二）改变行政强制对象、条件、方式的；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（三）违反法定程序实施行政强制的；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（四）违反本法规定，在夜间或者法定节假日实施行政强制执行的；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（五）对居民生活采取停止供水、供电、供热、供燃气等方式迫使当事人履行相关行政决定的；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440" w:firstLine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（六）有其他违法实施行政强制情形的。”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2.《行政强制法》第六十八条“违反本法规定，给公民、法人或者其他组织造成损失的，依法给予赔偿。”</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3.河北省相关法律法规规章。</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5.《行政强制法》第六十二条“违反本法规定，行政机关有下列情形之一的，由上级行政机关或者有关部门责令改正，对直接负责的主管人员和其他直接责任人员依法给予处分：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（一）扩大查封、扣押、冻结范围的；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（二）使用或者损毁查封、扣押场所、设施或者财物的；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（三）在查封、扣押法定期间不作出处理决定或者未依法及时解除查封、扣押的；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firstLine="44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（四）在冻结存款、汇款法定期间不作出处理决定或者未依法及时解除冻结的。”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6-1.《行政强制法》第六十三条“行政机关将查封、扣押的财物或者划拨的存款、汇款以及拍卖和依法处理所得的款项，截留、私分或者变相私分的，由财政部门或者有关部门予以追缴；对直接负责的主管人员和其他直接责任人员依法给予记大过、降级、撤职或者开除的处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行政机关工作人员利用职务上的便利，将查封、扣押的场所、设施或者财物据为己有的，由上级行政机关或者有关部门责令改正，依法给予记大过、降级、撤职或者开除的处分。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 6-2.《行政强制法》第六十四条“行政机关及其工作人员利用行政强制权为单位或者个人谋取利益的，由上级行政机关或者有关部门责令改正，对直接负责的主管人员和其他直接责任人员依法给予处分。”</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9</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生育津贴给付</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参照《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2.参照《中华人民共和国行政许可法》第三十四条“行政机关应当对申请人提交的申请材料进行审查”；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3.参照《行政许可法》第三十七条“行政机关对行政许可申请进行审查后，除当场作出行政许可决定的外，应当在法定期限内按照规定程序作出行政许可决定。”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4.参照《行政许可法 》第六十一条“行政机关应当建立健全监督制度，通过核查反映被许可人从事行政许可事项活动情况的有关材料，履行监督责任。</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社会保险法》第九十二条“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2.《社会保险法》第九十三条“国家工作人员在社会保险管理、监督工作中滥用职权、玩忽职守、徇私舞弊的，依法给予处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4.同1。</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10</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对用人单位和个人遵守医疗保险法律、法规情况进行监督检查</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中华人民共和国社会保险法》第七十七条：县级以上人民政府社会保险行政部门应当加强对用人单位和个人遵守社会保险法律、法规情况的监督检查。社会保险行政部门实施监督检查时,被检查的用人单位和个人应当如实提供与社会保险有关的资料,不得拒绝检查或者谎报、瞒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2.《河北省基本医疗保险服务监督管理办法》（河北省人民政府令〔2015〕第12号）第十七条“社会保险行政部门对基本医疗保险服务以及有关活动进行监督检查时，可以采取下列措施：</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(一)进入与监督检查事项有关的场所进行调查，询问与调查事项有关的单位和个人，要求其对有关问题作出说明、提供有关证明材料;</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(二)查阅、记录、复制与基本医疗保险服务和基本医疗保险基金支付管理有关的材料，对可能被转移、隐匿或者灭失的材料依法予以封存;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(三)根据监督检查工作的需要，委托社会中介组织就监督检查事项进行审计;</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(四)对骗取基本医疗保险基金支出或者可能造成基金损失的行为予以制止并责令改正。”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4"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11</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对纳入基本医疗保险基金支付范围的医疗服务行为和医疗费用进行监督管理</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中华人民共和国基本医疗卫生与健康促进法》第八十七条：县级以上人民政府医疗保障主管部门应当提高医疗保障监管能力和水平，对纳入基本医疗保险基金支付范围的医疗服务行为和医疗费用加强监督管理，确保基本医疗保险基金合理使用、安全可控。</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hAnsi="仿宋_GB2312"/>
                <w:b w:val="0"/>
                <w:i w:val="0"/>
                <w:snapToGrid/>
                <w:color w:val="000000"/>
                <w:sz w:val="22"/>
                <w:szCs w:val="22"/>
                <w:u w:val="none"/>
                <w:lang w:val="en-US" w:eastAsia="zh-CN"/>
              </w:rPr>
              <w:t>2.</w:t>
            </w:r>
            <w:r>
              <w:rPr>
                <w:rFonts w:hint="eastAsia" w:ascii="仿宋_GB2312"/>
                <w:sz w:val="22"/>
                <w:szCs w:val="22"/>
                <w:vertAlign w:val="baseline"/>
                <w:lang w:val="en-US" w:eastAsia="zh-CN"/>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-1.《中华人民共和国基本医疗卫生与健康促进法》第九十八条“违反本法规定，地方各级人民政府、县级以上人民政府卫生健康主管部门和其他有关部门，滥用职权、玩忽职守、徇私舞弊的，对直接负责的主管人员和其他直接责任人员依法给予处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-2.《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2.同1-2。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3.同1-2。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12</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对医疗救助的监督检查</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1.《社会救助暂行办法》（中华人民共和国国务院令第649号）第五十七条“县级以上人民政府及其社会救助管理部门应当加强对社会救助工作的监督检查，完善相关监督管理制度。”</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hAnsi="仿宋_GB2312"/>
                <w:b w:val="0"/>
                <w:i w:val="0"/>
                <w:snapToGrid/>
                <w:color w:val="000000"/>
                <w:sz w:val="22"/>
                <w:szCs w:val="22"/>
                <w:u w:val="none"/>
                <w:lang w:val="en-US" w:eastAsia="zh-CN"/>
              </w:rPr>
              <w:t>2.</w:t>
            </w:r>
            <w:r>
              <w:rPr>
                <w:rFonts w:hint="eastAsia" w:ascii="仿宋_GB2312"/>
                <w:sz w:val="22"/>
                <w:szCs w:val="22"/>
                <w:vertAlign w:val="baseline"/>
                <w:lang w:val="en-US" w:eastAsia="zh-CN"/>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13</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对药品、医用耗材价格进行监测和成本调查</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1-1.《药品管理法》第八十六条“药品上市许可持有人、药品生产企业、药品经营企业和医疗机构应当依法向药品价格主管部门提供其药品的实际购销价格和购销数量的资料。”</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1-2.各级医疗保障主管部门《职能配置、机构设置和人员编制规定》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hAnsi="仿宋_GB2312"/>
                <w:b w:val="0"/>
                <w:i w:val="0"/>
                <w:snapToGrid/>
                <w:color w:val="000000"/>
                <w:sz w:val="22"/>
                <w:szCs w:val="22"/>
                <w:u w:val="none"/>
                <w:lang w:val="en-US" w:eastAsia="zh-CN"/>
              </w:rPr>
              <w:t>2.</w:t>
            </w:r>
            <w:r>
              <w:rPr>
                <w:rFonts w:hint="eastAsia" w:ascii="仿宋_GB2312"/>
                <w:sz w:val="22"/>
                <w:szCs w:val="22"/>
                <w:vertAlign w:val="baseline"/>
                <w:lang w:val="en-US" w:eastAsia="zh-CN"/>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jc w:val="left"/>
              <w:textAlignment w:val="auto"/>
              <w:outlineLvl w:val="9"/>
              <w:rPr>
                <w:rFonts w:hint="eastAsia" w:ascii="仿宋_GB2312"/>
                <w:color w:val="FF0000"/>
                <w:sz w:val="22"/>
                <w:szCs w:val="22"/>
                <w:vertAlign w:val="baseline"/>
                <w:lang w:val="en-US" w:eastAsia="zh-CN"/>
              </w:rPr>
            </w:pPr>
            <w:r>
              <w:rPr>
                <w:rFonts w:hint="eastAsia" w:ascii="仿宋_GB2312"/>
                <w:sz w:val="22"/>
                <w:szCs w:val="22"/>
                <w:vertAlign w:val="baseline"/>
                <w:lang w:val="en-US" w:eastAsia="zh-CN"/>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color w:val="FF0000"/>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14</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val="en-US" w:eastAsia="zh-CN"/>
              </w:rPr>
              <w:t>对药品上市许可持有人、药品和医用耗材生产企业、药品经营企业和医疗机构向医药价格主管部门提供其药品、医用耗材的实际购销价格和购销数量等资料的监督检查</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1-1.《药品管理法》第八十六条“药品上市许可持有人、药品生产企业、药品经营企业和医疗机构应当依法向药品价格主管部门提供其药品的实际购销价格和购销数量的资料。”</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1-2.各级医疗保障主管部门《职能配置、机构设置和人员编制规定》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hAnsi="仿宋_GB2312"/>
                <w:b w:val="0"/>
                <w:i w:val="0"/>
                <w:snapToGrid/>
                <w:color w:val="000000"/>
                <w:sz w:val="22"/>
                <w:szCs w:val="22"/>
                <w:u w:val="none"/>
                <w:lang w:val="en-US" w:eastAsia="zh-CN"/>
              </w:rPr>
              <w:t>2.</w:t>
            </w:r>
            <w:r>
              <w:rPr>
                <w:rFonts w:hint="eastAsia" w:ascii="仿宋_GB2312"/>
                <w:sz w:val="22"/>
                <w:szCs w:val="22"/>
                <w:vertAlign w:val="baseline"/>
                <w:lang w:val="en-US" w:eastAsia="zh-CN"/>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color w:val="FF0000"/>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15</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eastAsia="zh-CN"/>
              </w:rPr>
              <w:t>对公立医疗机构药品和高值医用耗材集中采购行为合规性的监督检查</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sz w:val="22"/>
                <w:szCs w:val="22"/>
                <w:vertAlign w:val="baseline"/>
                <w:lang w:val="en-US" w:eastAsia="zh-CN"/>
              </w:rPr>
              <w:t>1.</w:t>
            </w:r>
            <w:r>
              <w:rPr>
                <w:rFonts w:hint="eastAsia" w:ascii="仿宋_GB2312" w:hAnsi="仿宋_GB2312"/>
                <w:b w:val="0"/>
                <w:i w:val="0"/>
                <w:snapToGrid/>
                <w:color w:val="000000"/>
                <w:sz w:val="22"/>
                <w:szCs w:val="22"/>
                <w:u w:val="none"/>
                <w:lang w:val="en-US" w:eastAsia="zh-CN"/>
              </w:rPr>
              <w:t>各级医疗保障主管部门《职能配置、机构设置和人员编制规定》。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hAnsi="仿宋_GB2312"/>
                <w:b w:val="0"/>
                <w:i w:val="0"/>
                <w:snapToGrid/>
                <w:color w:val="000000"/>
                <w:sz w:val="22"/>
                <w:szCs w:val="22"/>
                <w:u w:val="none"/>
                <w:lang w:val="en-US" w:eastAsia="zh-CN"/>
              </w:rPr>
              <w:t>2.</w:t>
            </w:r>
            <w:r>
              <w:rPr>
                <w:rFonts w:hint="eastAsia" w:ascii="仿宋_GB2312"/>
                <w:sz w:val="22"/>
                <w:szCs w:val="22"/>
                <w:vertAlign w:val="baseline"/>
                <w:lang w:val="en-US" w:eastAsia="zh-CN"/>
              </w:rPr>
              <w:t>《河北省基本医疗保险服务监督管理办法》（河北省人民政府令〔2015〕第12号）第十七条“社会保险行政部门对基本医疗保险服务以及有关活动进行监督检查时，可以采取下列措施：……(四)对骗取基本医疗保险基金支出或者可能造成基金损失的行为予以制止并责令改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-1.《河北省基本医疗保险服务监督管理办法》（河北省人民政府令〔2015〕第12号）第二十一条“社会保险行政部门应当加强基本医疗保险服务信用体系建设，定期对开展基本医疗保险服务的单位进行信用等级评价;建立违法失信行为记录制度，并可以向社会公布违法失信行为及处理结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-2.《河北省基本医疗保险服务监督管理办法》（河北省人民政府令〔2015〕第12号）第十六条“社会保险行政部门应当加强对基本医疗保险服务以及有关活动的监督检查，依法调查处理违反基本医疗保险法律、法规、规章的行为。对事实清楚、证据确凿的违法行为，社会保险行政部门应当依法处理或者及时移送有关部门依法处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河北省基本医疗保险服务监督管理办法》（河北省人民政府令〔2015〕第12号）第二十二条“社会保险行政部门和其他有关部门及其工作人员不依法履行基本医疗保险服务监督管理职责，对违反本办法的行为不及时、不依法处理，或者有其他滥用职权、玩忽职守、徇私舞弊行为的，对直接负责的主管人员和其他直接责任人员依法给予处分;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4.河北省相关法律法规规章等。</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color w:val="FF0000"/>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16</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医疗保险稽核</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-1.《中华人民共和国社会保险法》第三十一条“社会保险经办机构根据管理服务的需要，可以与医疗机构、药品经营单位签订服务协议，规范医疗服务行为。医疗机构应当为参保人员提供合理、必要的医疗服务。”</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1-2.《社会保险稽核办法》（劳动部令第16号）</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第二条“本办法所称稽核是指社会保险经办机构依法对社会保险费缴纳情况和社会保险待遇领取情况进行的核查。”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2-1.《社会保险稽核办法》（劳动部令第16号）第十条“社会保险经办机构对社会保险费缴纳情况按照下列程序实施稽核：</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(一)提前3日将进行稽核的有关内容、要求、方法和需要准备的资料等事项通知被稽核对象，特殊情况下的稽核也可以不事先通知;</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(二)应有两名以上稽核人员共同进行，出示执行公务的证件，并向被稽核对象说明身份;</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(三)对稽核情况应做笔录，笔录应当由稽核人员和被稽核单位法定代表人(或法定代表人委托的代理人)签名或盖章，被稽核单位法定代表人拒不签名或盖章的，应注明拒签原因;</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(四)对于经稽核未发现违反法规行为的被稽核对象，社会保险经办机构应当在稽核结束后5个工作日内书面告知其稽核结果;</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(五)发现被稽核对象在缴纳社会保险费或按规定参加社会保险等方面，存在违反法规行为，要据实写出稽核意见书，并在稽核结束后10个工作日内送达被稽核对象。被稽核对象应在限定时间内予以改正。”</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-2.《社会保险稽核办法》（劳动部令第16号）第十二条“社会保险经办机构应当对参保个人领取社会保险待遇情况进行核查，发现社会保险待遇领取人丧失待遇领取资格后本人或他人继续领取待遇或以其他形式骗取社会保险待遇的，社会保险经办机构应当立即停止待遇的支付并责令退还。”</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-3.《社会保险稽核办法》（劳动部令第16号）第十一条“被稽核对象少报、瞒报缴费基数和缴费人数，社会保险经办机构应当责令其改正;拒不改正的，社会保险经办机构应当报请劳动保障行政部门依法处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3.《社会保险稽核办法》（劳动部令第16号）第十二条“……构成犯罪的，由司法机关依法追究刑事责任。”</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河北省基本医疗保险服务监督管理办法》（河北省人民政府令〔2015〕第12号）第二十三条“医疗保险经办机构及其工作人员有下列行为之一的，由社会保险行政部门责令改正;对直接负责的主管人员和其他直接责任人员依法给予处分;给基本医疗保险基金造成损失的，依法承担赔偿责任;构成犯罪的，依法追究刑事责任：</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(一)未依法履行基本医疗保险管理服务职责的;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(二)克扣或者拒不按时支付基本医疗保险基金的;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(三)丢失或者篡改基本医疗保险待遇记录的;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(四)骗取或者协助他人骗取基本医疗保险基金支出的;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(五)违反基本医疗保险法律、法规、规章的其他行为。”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2.同1。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4.同1。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5.《社会保险稽核办法》（劳动部令第16号）</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第十三条“第十三条　社会保险经办机构工作人员在稽核工作中滥用职权、徇私舞弊、玩忽职守的，依法给予行政处分;构成犯罪的，依法追究刑事责任。”</w:t>
            </w:r>
          </w:p>
          <w:p>
            <w:pPr>
              <w:pStyle w:val="2"/>
              <w:rPr>
                <w:rFonts w:hint="eastAsia"/>
                <w:lang w:val="en-US" w:eastAsia="zh-CN"/>
              </w:rPr>
            </w:pP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40" w:lineRule="exact"/>
              <w:ind w:left="0" w:leftChars="0" w:right="0" w:rightChars="0"/>
              <w:jc w:val="left"/>
              <w:textAlignment w:val="auto"/>
              <w:outlineLvl w:val="9"/>
              <w:rPr>
                <w:rFonts w:hint="eastAsia" w:ascii="仿宋_GB2312"/>
                <w:color w:val="FF0000"/>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000000"/>
                <w:sz w:val="22"/>
                <w:szCs w:val="22"/>
                <w:u w:val="none"/>
                <w:lang w:val="en-US" w:eastAsia="zh-CN"/>
              </w:rPr>
            </w:pPr>
            <w:r>
              <w:rPr>
                <w:rFonts w:hint="eastAsia" w:ascii="仿宋_GB2312" w:hAnsi="仿宋_GB2312"/>
                <w:b w:val="0"/>
                <w:i w:val="0"/>
                <w:snapToGrid/>
                <w:color w:val="000000"/>
                <w:sz w:val="22"/>
                <w:szCs w:val="22"/>
                <w:u w:val="none"/>
                <w:lang w:val="en-US" w:eastAsia="zh-CN"/>
              </w:rPr>
              <w:t>17</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000000"/>
                <w:sz w:val="22"/>
                <w:szCs w:val="22"/>
                <w:u w:val="none"/>
                <w:lang w:eastAsia="zh-CN"/>
              </w:rPr>
            </w:pPr>
            <w:r>
              <w:rPr>
                <w:rFonts w:hint="eastAsia" w:ascii="仿宋_GB2312" w:hAnsi="仿宋_GB2312"/>
                <w:b w:val="0"/>
                <w:i w:val="0"/>
                <w:snapToGrid/>
                <w:color w:val="000000"/>
                <w:sz w:val="22"/>
                <w:szCs w:val="22"/>
                <w:u w:val="none"/>
                <w:lang w:eastAsia="zh-CN"/>
              </w:rPr>
              <w:t>统筹单位医疗保险登记</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参照《行政许可法》第三十条“行政机关应当将法律、法规、规章规定的有关行政许可的事项、依据、条件、数量、程序、期限以及需要提交的全部材料的目录和申请书示范文本等在办公场所公示。申请人要求行政机关对公示内容予以说明、解释的，行政机关应当说明、解释，提供准确、可靠的信息。”</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 xml:space="preserve">2.参照《中华人民共和国行政许可法》第三十四条“行政机关应当对申请人提交的申请材料进行审查”；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3.参照《行政许可法》第三十七条“行政机关对行政许可申请进行审查后，除当场作出行政许可决定的外，应当在法定期限内按照规定程序作出行政许可决定。”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4.参照《行政许可法 》第六十一条“行政机关应当建立健全监督制度，通过核查反映被许可人从事行政许可事项活动情况的有关材料，履行监督责任。</w:t>
            </w: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1.《社会保险法》第九十二条“社会保险行政部门和其他有关行政部门、社会保险经办机构、社会保险费征收机构及其工作人员泄露用人单位和个人信息的，对直接负责的主管人员和其他直接责任人员依法给予处分；给用人单位或者个人造成损失的，应当承担赔偿责任。”2.《社会保险法》第九十三条“国家工作人员在社会保险管理、监督工作中滥用职权、玩忽职守、徇私舞弊的，依法给予处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sz w:val="22"/>
                <w:szCs w:val="22"/>
                <w:vertAlign w:val="baseline"/>
                <w:lang w:val="en-US" w:eastAsia="zh-CN"/>
              </w:rPr>
            </w:pPr>
            <w:r>
              <w:rPr>
                <w:rFonts w:hint="eastAsia" w:ascii="仿宋_GB2312"/>
                <w:sz w:val="22"/>
                <w:szCs w:val="22"/>
                <w:vertAlign w:val="baseline"/>
                <w:lang w:val="en-US" w:eastAsia="zh-CN"/>
              </w:rPr>
              <w:t>3.同2。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color w:val="FF0000"/>
                <w:sz w:val="22"/>
                <w:szCs w:val="22"/>
                <w:vertAlign w:val="baseline"/>
                <w:lang w:val="en-US" w:eastAsia="zh-CN"/>
              </w:rPr>
            </w:pP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sz w:val="22"/>
                <w:szCs w:val="22"/>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3" w:hRule="atLeast"/>
          <w:jc w:val="center"/>
        </w:trPr>
        <w:tc>
          <w:tcPr>
            <w:tcW w:w="99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hAnsi="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18</w:t>
            </w:r>
          </w:p>
        </w:tc>
        <w:tc>
          <w:tcPr>
            <w:tcW w:w="1762"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left"/>
              <w:textAlignment w:val="auto"/>
              <w:outlineLvl w:val="9"/>
              <w:rPr>
                <w:rFonts w:hint="eastAsia" w:ascii="仿宋_GB2312" w:hAnsi="仿宋_GB2312"/>
                <w:b w:val="0"/>
                <w:i w:val="0"/>
                <w:snapToGrid/>
                <w:color w:val="auto"/>
                <w:sz w:val="22"/>
                <w:szCs w:val="22"/>
                <w:u w:val="none"/>
                <w:lang w:eastAsia="zh-CN"/>
              </w:rPr>
            </w:pPr>
            <w:r>
              <w:rPr>
                <w:rFonts w:hint="eastAsia" w:ascii="仿宋_GB2312" w:hAnsi="仿宋_GB2312"/>
                <w:b w:val="0"/>
                <w:i w:val="0"/>
                <w:snapToGrid/>
                <w:color w:val="auto"/>
                <w:sz w:val="22"/>
                <w:szCs w:val="22"/>
                <w:u w:val="none"/>
                <w:lang w:eastAsia="zh-CN"/>
              </w:rPr>
              <w:t>对举报人举报欺诈骗取医保基金行为进行奖励</w:t>
            </w:r>
          </w:p>
        </w:tc>
        <w:tc>
          <w:tcPr>
            <w:tcW w:w="5118"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color w:val="auto"/>
                <w:sz w:val="22"/>
                <w:szCs w:val="22"/>
                <w:vertAlign w:val="baseline"/>
                <w:lang w:val="en-US" w:eastAsia="zh-CN"/>
              </w:rPr>
              <w:t>1.</w:t>
            </w:r>
            <w:r>
              <w:rPr>
                <w:rFonts w:hint="eastAsia" w:ascii="仿宋_GB2312" w:hAnsi="仿宋_GB2312"/>
                <w:b w:val="0"/>
                <w:i w:val="0"/>
                <w:snapToGrid/>
                <w:color w:val="auto"/>
                <w:sz w:val="22"/>
                <w:szCs w:val="22"/>
                <w:u w:val="none"/>
                <w:lang w:val="en-US" w:eastAsia="zh-CN"/>
              </w:rPr>
              <w:t>《河北省违法违规使用医疗保障基金举报奖励办法实施细则》（冀医保规〔2023〕1号）</w:t>
            </w:r>
            <w:r>
              <w:rPr>
                <w:rFonts w:hint="eastAsia" w:ascii="仿宋_GB2312" w:hAnsi="仿宋_GB2312" w:eastAsia="仿宋_GB2312"/>
                <w:b w:val="0"/>
                <w:i w:val="0"/>
                <w:snapToGrid/>
                <w:color w:val="auto"/>
                <w:sz w:val="22"/>
                <w:szCs w:val="22"/>
                <w:u w:val="none"/>
                <w:lang w:val="en-US" w:eastAsia="zh-CN"/>
              </w:rPr>
              <w:t>第十一条</w:t>
            </w:r>
            <w:r>
              <w:rPr>
                <w:rFonts w:hint="eastAsia" w:ascii="仿宋_GB2312" w:hAnsi="仿宋_GB2312"/>
                <w:b w:val="0"/>
                <w:i w:val="0"/>
                <w:snapToGrid/>
                <w:color w:val="auto"/>
                <w:sz w:val="22"/>
                <w:szCs w:val="22"/>
                <w:u w:val="none"/>
                <w:lang w:val="en-US" w:eastAsia="zh-CN"/>
              </w:rPr>
              <w:t>“</w:t>
            </w:r>
            <w:r>
              <w:rPr>
                <w:rFonts w:hint="eastAsia" w:ascii="仿宋_GB2312" w:hAnsi="仿宋_GB2312" w:eastAsia="仿宋_GB2312"/>
                <w:b w:val="0"/>
                <w:i w:val="0"/>
                <w:snapToGrid/>
                <w:color w:val="auto"/>
                <w:sz w:val="22"/>
                <w:szCs w:val="22"/>
                <w:u w:val="none"/>
                <w:lang w:val="en-US" w:eastAsia="zh-CN"/>
              </w:rPr>
              <w:t>受理的举报线索应当符合下列条件：</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（一）涉嫌违反医疗保障基金使用监督管理法律、法规、规章的规定；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（二）属于医疗保障部门监管职责范围；</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（三）有明确的被举报对象；</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（四）有涉嫌违法违规行为的具体事实；</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（五）能够提供相应证据材料。</w:t>
            </w:r>
            <w:r>
              <w:rPr>
                <w:rFonts w:hint="eastAsia" w:ascii="仿宋_GB2312" w:hAnsi="仿宋_GB2312"/>
                <w:b w:val="0"/>
                <w:i w:val="0"/>
                <w:snapToGrid/>
                <w:color w:val="auto"/>
                <w:sz w:val="22"/>
                <w:szCs w:val="22"/>
                <w:u w:val="none"/>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b w:val="0"/>
                <w:i w:val="0"/>
                <w:snapToGrid/>
                <w:color w:val="auto"/>
                <w:sz w:val="22"/>
                <w:szCs w:val="22"/>
                <w:u w:val="none"/>
                <w:lang w:val="en-US" w:eastAsia="zh-CN"/>
              </w:rPr>
              <w:t>2.《河北省违法违规使用医疗保障基金举报奖励办法实施细则》（冀医保规〔2023〕1号）</w:t>
            </w:r>
            <w:r>
              <w:rPr>
                <w:rFonts w:hint="eastAsia" w:ascii="仿宋_GB2312" w:hAnsi="仿宋_GB2312" w:eastAsia="仿宋_GB2312"/>
                <w:b w:val="0"/>
                <w:i w:val="0"/>
                <w:snapToGrid/>
                <w:color w:val="auto"/>
                <w:sz w:val="22"/>
                <w:szCs w:val="22"/>
                <w:u w:val="none"/>
                <w:lang w:val="en-US" w:eastAsia="zh-CN"/>
              </w:rPr>
              <w:t>第十六条</w:t>
            </w:r>
            <w:r>
              <w:rPr>
                <w:rFonts w:hint="eastAsia" w:ascii="仿宋_GB2312" w:hAnsi="仿宋_GB2312"/>
                <w:b w:val="0"/>
                <w:i w:val="0"/>
                <w:snapToGrid/>
                <w:color w:val="auto"/>
                <w:sz w:val="22"/>
                <w:szCs w:val="22"/>
                <w:u w:val="none"/>
                <w:lang w:val="en-US" w:eastAsia="zh-CN"/>
              </w:rPr>
              <w:t>“</w:t>
            </w:r>
            <w:r>
              <w:rPr>
                <w:rFonts w:hint="eastAsia" w:ascii="仿宋_GB2312" w:hAnsi="仿宋_GB2312" w:eastAsia="仿宋_GB2312"/>
                <w:b w:val="0"/>
                <w:i w:val="0"/>
                <w:snapToGrid/>
                <w:color w:val="auto"/>
                <w:sz w:val="22"/>
                <w:szCs w:val="22"/>
                <w:u w:val="none"/>
                <w:lang w:val="en-US" w:eastAsia="zh-CN"/>
              </w:rPr>
              <w:t>医疗保障行政部门按查实违法违规使用医疗保障基金行为涉及案值的一定比例，对符合条件的举报人予以一次性资金奖励，原则上应当采用非现金方式支付，按国库集中支付规定办理。具体奖励标准为：</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（一）查实金额在10万元以下（含10万元）的，按查实金额的3%给予奖励，不足500元的补足500元；</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（二)查实金额在10万元以上50万元以下（含50万元）的，奖励3000元加上超出10万元部分的2%；</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（三）查实金额在50万元以上的，奖励11000元加上超出50万元部分的1%；</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（四）最高奖励金额不超过20万元。举报线索移交公安、纪检监察、卫健、市场监管、民政、司法等部门，按照移交前查实的案值进行奖励</w:t>
            </w:r>
            <w:r>
              <w:rPr>
                <w:rFonts w:hint="eastAsia" w:ascii="仿宋_GB2312" w:hAnsi="仿宋_GB2312"/>
                <w:b w:val="0"/>
                <w:i w:val="0"/>
                <w:snapToGrid/>
                <w:color w:val="auto"/>
                <w:sz w:val="22"/>
                <w:szCs w:val="22"/>
                <w:u w:val="none"/>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color w:val="auto"/>
                <w:sz w:val="22"/>
                <w:szCs w:val="22"/>
                <w:vertAlign w:val="baseline"/>
                <w:lang w:val="en-US" w:eastAsia="zh-CN"/>
              </w:rPr>
            </w:pPr>
          </w:p>
        </w:tc>
        <w:tc>
          <w:tcPr>
            <w:tcW w:w="4510"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color w:val="auto"/>
                <w:sz w:val="22"/>
                <w:szCs w:val="22"/>
                <w:vertAlign w:val="baseline"/>
                <w:lang w:val="en-US" w:eastAsia="zh-CN"/>
              </w:rPr>
              <w:t>1.</w:t>
            </w:r>
            <w:r>
              <w:rPr>
                <w:rFonts w:hint="eastAsia" w:ascii="仿宋_GB2312" w:hAnsi="仿宋_GB2312"/>
                <w:b w:val="0"/>
                <w:i w:val="0"/>
                <w:snapToGrid/>
                <w:color w:val="auto"/>
                <w:sz w:val="22"/>
                <w:szCs w:val="22"/>
                <w:u w:val="none"/>
                <w:lang w:val="en-US" w:eastAsia="zh-CN"/>
              </w:rPr>
              <w:t>《河北省违法违规使用医疗保障基金举报奖励办法实施细则》（冀医保规〔2023〕1号）</w:t>
            </w:r>
            <w:r>
              <w:rPr>
                <w:rFonts w:hint="eastAsia" w:ascii="仿宋_GB2312" w:hAnsi="仿宋_GB2312" w:eastAsia="仿宋_GB2312"/>
                <w:b w:val="0"/>
                <w:i w:val="0"/>
                <w:snapToGrid/>
                <w:color w:val="auto"/>
                <w:sz w:val="22"/>
                <w:szCs w:val="22"/>
                <w:u w:val="none"/>
                <w:lang w:val="en-US" w:eastAsia="zh-CN"/>
              </w:rPr>
              <w:t>第十二条</w:t>
            </w:r>
            <w:r>
              <w:rPr>
                <w:rFonts w:hint="eastAsia" w:ascii="仿宋_GB2312" w:hAnsi="仿宋_GB2312"/>
                <w:b w:val="0"/>
                <w:i w:val="0"/>
                <w:snapToGrid/>
                <w:color w:val="auto"/>
                <w:sz w:val="22"/>
                <w:szCs w:val="22"/>
                <w:u w:val="none"/>
                <w:lang w:val="en-US" w:eastAsia="zh-CN"/>
              </w:rPr>
              <w:t>“</w:t>
            </w:r>
            <w:r>
              <w:rPr>
                <w:rFonts w:hint="eastAsia" w:ascii="仿宋_GB2312" w:hAnsi="仿宋_GB2312" w:eastAsia="仿宋_GB2312"/>
                <w:b w:val="0"/>
                <w:i w:val="0"/>
                <w:snapToGrid/>
                <w:color w:val="auto"/>
                <w:sz w:val="22"/>
                <w:szCs w:val="22"/>
                <w:u w:val="none"/>
                <w:lang w:val="en-US" w:eastAsia="zh-CN"/>
              </w:rPr>
              <w:t>举报线索有下列情形之一的，不予受理：</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（一）未违反医疗保障基金使用监督管理法律、法规、规章的规定；</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（二)不属于医疗保障部门监管职责范围的；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（三）无具体、明确的被举报对象或违法违规行为的；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（四）举报事项已经受理且在调查处理过程中，举报人就同一事项重复举报的；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（五)举报事项已经依法办结，举报人对处理结果不满意，在无法提供新线索的情况下就同一事项重复举报的；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（六)经上级医疗保障行政部门复核，原处理程序及结论均符合相关法律、法规、规章规定和客观事实的；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（七）依法应当通过诉讼、仲裁、行政复议等法定途径解决或已进入上述程序的；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（八）举报内容超出追诉时限的；</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hAnsi="仿宋_GB2312" w:eastAsia="仿宋_GB2312"/>
                <w:b w:val="0"/>
                <w:i w:val="0"/>
                <w:snapToGrid/>
                <w:color w:val="auto"/>
                <w:sz w:val="22"/>
                <w:szCs w:val="22"/>
                <w:u w:val="none"/>
                <w:lang w:val="en-US" w:eastAsia="zh-CN"/>
              </w:rPr>
            </w:pPr>
            <w:r>
              <w:rPr>
                <w:rFonts w:hint="eastAsia" w:ascii="仿宋_GB2312" w:hAnsi="仿宋_GB2312" w:eastAsia="仿宋_GB2312"/>
                <w:b w:val="0"/>
                <w:i w:val="0"/>
                <w:snapToGrid/>
                <w:color w:val="auto"/>
                <w:sz w:val="22"/>
                <w:szCs w:val="22"/>
                <w:u w:val="none"/>
                <w:lang w:val="en-US" w:eastAsia="zh-CN"/>
              </w:rPr>
              <w:t>（九）其他依法不予受理的情形。</w:t>
            </w:r>
            <w:r>
              <w:rPr>
                <w:rFonts w:hint="eastAsia" w:ascii="仿宋_GB2312" w:hAnsi="仿宋_GB2312"/>
                <w:b w:val="0"/>
                <w:i w:val="0"/>
                <w:snapToGrid/>
                <w:color w:val="auto"/>
                <w:sz w:val="22"/>
                <w:szCs w:val="22"/>
                <w:u w:val="none"/>
                <w:lang w:val="en-US" w:eastAsia="zh-CN"/>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right="0" w:rightChars="0"/>
              <w:jc w:val="left"/>
              <w:textAlignment w:val="auto"/>
              <w:outlineLvl w:val="9"/>
              <w:rPr>
                <w:rFonts w:hint="eastAsia" w:ascii="仿宋_GB2312"/>
                <w:color w:val="auto"/>
                <w:sz w:val="22"/>
                <w:szCs w:val="22"/>
                <w:vertAlign w:val="baseline"/>
                <w:lang w:val="en-US" w:eastAsia="zh-CN"/>
              </w:rPr>
            </w:pPr>
            <w:r>
              <w:rPr>
                <w:rFonts w:hint="eastAsia" w:ascii="仿宋_GB2312" w:hAnsi="仿宋_GB2312"/>
                <w:b w:val="0"/>
                <w:i w:val="0"/>
                <w:snapToGrid/>
                <w:color w:val="auto"/>
                <w:sz w:val="22"/>
                <w:szCs w:val="22"/>
                <w:u w:val="none"/>
                <w:lang w:val="en-US" w:eastAsia="zh-CN"/>
              </w:rPr>
              <w:t>2.《河北省违法违规使用医疗保障基金举报奖励办法实施细则》（冀医保规〔2023〕1号）</w:t>
            </w:r>
            <w:r>
              <w:rPr>
                <w:rFonts w:hint="eastAsia" w:ascii="仿宋_GB2312" w:hAnsi="仿宋_GB2312" w:eastAsia="仿宋_GB2312"/>
                <w:b w:val="0"/>
                <w:i w:val="0"/>
                <w:snapToGrid/>
                <w:color w:val="auto"/>
                <w:sz w:val="22"/>
                <w:szCs w:val="22"/>
                <w:u w:val="none"/>
                <w:lang w:val="en-US" w:eastAsia="zh-CN"/>
              </w:rPr>
              <w:t>第二十六条</w:t>
            </w:r>
            <w:r>
              <w:rPr>
                <w:rFonts w:hint="eastAsia" w:ascii="仿宋_GB2312" w:hAnsi="仿宋_GB2312"/>
                <w:b w:val="0"/>
                <w:i w:val="0"/>
                <w:snapToGrid/>
                <w:color w:val="auto"/>
                <w:sz w:val="22"/>
                <w:szCs w:val="22"/>
                <w:u w:val="none"/>
                <w:lang w:val="en-US" w:eastAsia="zh-CN"/>
              </w:rPr>
              <w:t>“</w:t>
            </w:r>
            <w:r>
              <w:rPr>
                <w:rFonts w:hint="eastAsia" w:ascii="仿宋_GB2312" w:hAnsi="仿宋_GB2312" w:eastAsia="仿宋_GB2312"/>
                <w:b w:val="0"/>
                <w:i w:val="0"/>
                <w:snapToGrid/>
                <w:color w:val="auto"/>
                <w:sz w:val="22"/>
                <w:szCs w:val="22"/>
                <w:u w:val="none"/>
                <w:lang w:val="en-US" w:eastAsia="zh-CN"/>
              </w:rPr>
              <w:t>医疗保障行政部门发放举报奖励资金时，应当严格审核。发现通过伪造材料、隐瞒事实等方式骗取举报奖励，或者存在其他不符合领取奖励的情形，发放奖励的医疗保障行政部门查实后有权收回举报奖励，并依法追究当事人相应责任。</w:t>
            </w:r>
            <w:r>
              <w:rPr>
                <w:rFonts w:hint="eastAsia" w:ascii="仿宋_GB2312" w:hAnsi="仿宋_GB2312"/>
                <w:b w:val="0"/>
                <w:i w:val="0"/>
                <w:snapToGrid/>
                <w:color w:val="auto"/>
                <w:sz w:val="22"/>
                <w:szCs w:val="22"/>
                <w:u w:val="none"/>
                <w:lang w:val="en-US" w:eastAsia="zh-CN"/>
              </w:rPr>
              <w:t>”</w:t>
            </w:r>
          </w:p>
        </w:tc>
        <w:tc>
          <w:tcPr>
            <w:tcW w:w="1447" w:type="dxa"/>
            <w:vAlign w:val="center"/>
          </w:tcPr>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360" w:lineRule="exact"/>
              <w:ind w:left="0" w:leftChars="0" w:right="0" w:rightChars="0" w:firstLine="0" w:firstLineChars="0"/>
              <w:jc w:val="center"/>
              <w:textAlignment w:val="auto"/>
              <w:outlineLvl w:val="9"/>
              <w:rPr>
                <w:rFonts w:hint="eastAsia" w:ascii="仿宋_GB2312"/>
                <w:color w:val="auto"/>
                <w:sz w:val="22"/>
                <w:szCs w:val="22"/>
                <w:vertAlign w:val="baseline"/>
                <w:lang w:val="en-US" w:eastAsia="zh-CN"/>
              </w:rPr>
            </w:pPr>
          </w:p>
        </w:tc>
      </w:tr>
    </w:tbl>
    <w:p>
      <w:pPr>
        <w:keepNext w:val="0"/>
        <w:keepLines w:val="0"/>
        <w:pageBreakBefore w:val="0"/>
        <w:widowControl w:val="0"/>
        <w:kinsoku/>
        <w:wordWrap/>
        <w:overflowPunct/>
        <w:topLinePunct w:val="0"/>
        <w:autoSpaceDE/>
        <w:autoSpaceDN/>
        <w:bidi w:val="0"/>
        <w:adjustRightInd/>
        <w:snapToGrid/>
        <w:spacing w:before="0" w:beforeLines="0" w:after="0" w:afterLines="0" w:line="400" w:lineRule="exact"/>
        <w:ind w:left="0" w:leftChars="0" w:right="0" w:rightChars="0" w:firstLine="475" w:firstLineChars="198"/>
        <w:jc w:val="both"/>
        <w:textAlignment w:val="auto"/>
        <w:outlineLvl w:val="9"/>
      </w:pPr>
      <w:r>
        <w:rPr>
          <w:rFonts w:hint="eastAsia" w:ascii="楷体_GB2312" w:hAnsi="楷体_GB2312" w:eastAsia="楷体_GB2312"/>
          <w:color w:val="auto"/>
          <w:sz w:val="24"/>
          <w:lang w:val="en-US" w:eastAsia="zh-CN"/>
        </w:rPr>
        <w:t>注：此表是特别设置的，是部门梳理、确定责任事项和追责情形的必要依据，也是审核小组审核、报审过程的必要环节，在最终</w:t>
      </w:r>
      <w:bookmarkStart w:id="0" w:name="_GoBack"/>
      <w:bookmarkEnd w:id="0"/>
      <w:r>
        <w:rPr>
          <w:rFonts w:hint="eastAsia" w:ascii="楷体_GB2312" w:hAnsi="楷体_GB2312" w:eastAsia="楷体_GB2312"/>
          <w:color w:val="auto"/>
          <w:sz w:val="24"/>
          <w:lang w:val="en-US" w:eastAsia="zh-CN"/>
        </w:rPr>
        <w:t>向社会公布的权责清单中不作体现。①责任事项依据，应当引用责任事项所依据的法律法规规章文件的具体条款和内容。所引用的法条应当准确、完整，并选取直接对应的内容，其他内容可使用省略号。一个责任事项需要引用多个法定依据的，</w:t>
      </w:r>
      <w:r>
        <w:rPr>
          <w:rFonts w:hint="eastAsia" w:ascii="楷体_GB2312" w:hAnsi="楷体_GB2312" w:eastAsia="楷体_GB2312"/>
          <w:sz w:val="24"/>
          <w:lang w:val="en-US" w:eastAsia="zh-CN"/>
        </w:rPr>
        <w:t>按照法律法规的位阶从高到低顺序排列。法定依据需要同时引用同一部法律的多个条文的，按照条文序号排列。②追责情形依据，应当引用追责情形所依据的法律法规规章文件的具体条款和内容（具体要求同“责任事项依据”）。</w:t>
      </w:r>
    </w:p>
    <w:sectPr>
      <w:pgSz w:w="16838" w:h="11906" w:orient="landscape"/>
      <w:pgMar w:top="1984" w:right="1417" w:bottom="1417" w:left="1417" w:header="851" w:footer="992" w:gutter="0"/>
      <w:cols w:space="0" w:num="1"/>
      <w:rtlGutter w:val="0"/>
      <w:docGrid w:type="lines" w:linePitch="4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23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FD3CA1"/>
    <w:rsid w:val="00F56D40"/>
    <w:rsid w:val="04122969"/>
    <w:rsid w:val="04285799"/>
    <w:rsid w:val="05970049"/>
    <w:rsid w:val="059F3D8D"/>
    <w:rsid w:val="08706141"/>
    <w:rsid w:val="096F63F6"/>
    <w:rsid w:val="0BB00B0D"/>
    <w:rsid w:val="0C3C1D3C"/>
    <w:rsid w:val="0F623B98"/>
    <w:rsid w:val="0FF30276"/>
    <w:rsid w:val="10555BDD"/>
    <w:rsid w:val="1115460F"/>
    <w:rsid w:val="11440B85"/>
    <w:rsid w:val="11C57500"/>
    <w:rsid w:val="11C64512"/>
    <w:rsid w:val="126E63D8"/>
    <w:rsid w:val="13797C22"/>
    <w:rsid w:val="15294B22"/>
    <w:rsid w:val="182D458E"/>
    <w:rsid w:val="1DF44450"/>
    <w:rsid w:val="1EA6310F"/>
    <w:rsid w:val="1EA913B4"/>
    <w:rsid w:val="207A208C"/>
    <w:rsid w:val="208E2E7D"/>
    <w:rsid w:val="212843B8"/>
    <w:rsid w:val="21733BE2"/>
    <w:rsid w:val="22941658"/>
    <w:rsid w:val="25551F8F"/>
    <w:rsid w:val="25AD58B2"/>
    <w:rsid w:val="25BB3D17"/>
    <w:rsid w:val="25BE015C"/>
    <w:rsid w:val="26920DEF"/>
    <w:rsid w:val="26F65B6D"/>
    <w:rsid w:val="273766CF"/>
    <w:rsid w:val="28543928"/>
    <w:rsid w:val="294B7F97"/>
    <w:rsid w:val="2AA66462"/>
    <w:rsid w:val="2B075C21"/>
    <w:rsid w:val="2CB75755"/>
    <w:rsid w:val="2DAB7188"/>
    <w:rsid w:val="2DE51539"/>
    <w:rsid w:val="2FA94C7A"/>
    <w:rsid w:val="305475CA"/>
    <w:rsid w:val="30780BA3"/>
    <w:rsid w:val="32CE7EC8"/>
    <w:rsid w:val="330D30E5"/>
    <w:rsid w:val="33B63640"/>
    <w:rsid w:val="36C32D62"/>
    <w:rsid w:val="3AB8481A"/>
    <w:rsid w:val="3CCF6254"/>
    <w:rsid w:val="3D321954"/>
    <w:rsid w:val="3D6170BD"/>
    <w:rsid w:val="3E67106C"/>
    <w:rsid w:val="3F4229FE"/>
    <w:rsid w:val="3F7032D5"/>
    <w:rsid w:val="401E0536"/>
    <w:rsid w:val="40313ECC"/>
    <w:rsid w:val="405E41B4"/>
    <w:rsid w:val="407958E3"/>
    <w:rsid w:val="43365EF1"/>
    <w:rsid w:val="44B70B7E"/>
    <w:rsid w:val="45FD3CA1"/>
    <w:rsid w:val="480901F9"/>
    <w:rsid w:val="48190B5D"/>
    <w:rsid w:val="4A27246D"/>
    <w:rsid w:val="4BF24694"/>
    <w:rsid w:val="4CD0438D"/>
    <w:rsid w:val="4DAC1A25"/>
    <w:rsid w:val="4F970AA6"/>
    <w:rsid w:val="50FF4424"/>
    <w:rsid w:val="51BB2473"/>
    <w:rsid w:val="541B7C59"/>
    <w:rsid w:val="551F51F1"/>
    <w:rsid w:val="589B0714"/>
    <w:rsid w:val="59E93470"/>
    <w:rsid w:val="5B6912E3"/>
    <w:rsid w:val="5BA52E26"/>
    <w:rsid w:val="5C2C4F15"/>
    <w:rsid w:val="60154671"/>
    <w:rsid w:val="62684DDC"/>
    <w:rsid w:val="658B772D"/>
    <w:rsid w:val="664358A7"/>
    <w:rsid w:val="671A61EC"/>
    <w:rsid w:val="67D278AA"/>
    <w:rsid w:val="680413F8"/>
    <w:rsid w:val="6A8A121D"/>
    <w:rsid w:val="6A9F7FA1"/>
    <w:rsid w:val="6AAB0450"/>
    <w:rsid w:val="6ACE322B"/>
    <w:rsid w:val="6CD270F2"/>
    <w:rsid w:val="6DAA51BD"/>
    <w:rsid w:val="6E155A21"/>
    <w:rsid w:val="71393743"/>
    <w:rsid w:val="732569D3"/>
    <w:rsid w:val="74204C88"/>
    <w:rsid w:val="773208C5"/>
    <w:rsid w:val="782128F9"/>
    <w:rsid w:val="7A510DD9"/>
    <w:rsid w:val="7A8B767B"/>
    <w:rsid w:val="7AB744EB"/>
    <w:rsid w:val="7B6B21F3"/>
    <w:rsid w:val="7CD95A25"/>
    <w:rsid w:val="7E125AA8"/>
    <w:rsid w:val="7E212AC1"/>
    <w:rsid w:val="7E242FD1"/>
    <w:rsid w:val="7F4C40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eastAsia="仿宋_GB2312" w:asciiTheme="minorHAnsi" w:hAnsiTheme="minorHAnsi" w:cstheme="minorBidi"/>
      <w:kern w:val="2"/>
      <w:sz w:val="32"/>
      <w:szCs w:val="32"/>
      <w:lang w:val="en-US" w:eastAsia="zh-CN" w:bidi="ar-SA"/>
    </w:rPr>
  </w:style>
  <w:style w:type="paragraph" w:styleId="3">
    <w:name w:val="heading 1"/>
    <w:basedOn w:val="1"/>
    <w:next w:val="1"/>
    <w:qFormat/>
    <w:uiPriority w:val="0"/>
    <w:pPr>
      <w:spacing w:before="100" w:beforeAutospacing="1" w:after="100" w:afterAutospacing="1"/>
      <w:jc w:val="left"/>
    </w:pPr>
    <w:rPr>
      <w:rFonts w:hint="eastAsia" w:ascii="宋体" w:hAnsi="宋体" w:eastAsia="宋体" w:cs="宋体"/>
      <w:b/>
      <w:kern w:val="44"/>
      <w:sz w:val="48"/>
      <w:szCs w:val="48"/>
      <w:lang w:val="en-US" w:eastAsia="zh-CN" w:bidi="ar"/>
    </w:rPr>
  </w:style>
  <w:style w:type="paragraph" w:styleId="4">
    <w:name w:val="heading 3"/>
    <w:basedOn w:val="1"/>
    <w:next w:val="1"/>
    <w:unhideWhenUsed/>
    <w:qFormat/>
    <w:uiPriority w:val="0"/>
    <w:pPr>
      <w:keepNext/>
      <w:keepLines/>
      <w:spacing w:beforeLines="0" w:beforeAutospacing="0" w:afterLines="0" w:afterAutospacing="0" w:line="600" w:lineRule="exact"/>
      <w:outlineLvl w:val="2"/>
    </w:pPr>
    <w:rPr>
      <w:rFonts w:eastAsia="仿宋_GB2312"/>
      <w:sz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Lines="0" w:afterAutospacing="0"/>
      <w:ind w:firstLine="0" w:firstLineChars="0"/>
    </w:p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2020-11-16T02:01:00Z</dcterms:created>
  <dc:creator>lenovo</dc:creator>
  <cp:lastModifiedBy>lenovo</cp:lastModifiedBy>
  <dcterms:modified xsi:type="dcterms:W3CDTF">2023-06-27T03:29:16Z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