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C1763">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乐亭县</w:t>
      </w:r>
      <w:r>
        <w:rPr>
          <w:rFonts w:hint="eastAsia" w:ascii="宋体" w:hAnsi="宋体" w:eastAsia="宋体" w:cs="宋体"/>
          <w:b/>
          <w:bCs/>
          <w:color w:val="auto"/>
          <w:sz w:val="44"/>
          <w:szCs w:val="44"/>
        </w:rPr>
        <w:t>应急管理局</w:t>
      </w:r>
    </w:p>
    <w:p w14:paraId="4D3DC92D">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color w:val="auto"/>
          <w:sz w:val="32"/>
          <w:szCs w:val="32"/>
        </w:rPr>
      </w:pPr>
      <w:r>
        <w:rPr>
          <w:rFonts w:hint="eastAsia" w:ascii="宋体" w:hAnsi="宋体" w:eastAsia="宋体" w:cs="宋体"/>
          <w:b/>
          <w:bCs/>
          <w:color w:val="auto"/>
          <w:sz w:val="44"/>
          <w:szCs w:val="44"/>
        </w:rPr>
        <w:t>2025年度安全生产监督检查计划</w:t>
      </w:r>
    </w:p>
    <w:p w14:paraId="36634E97">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依据《中华人民共和国安全生产法》《国家安全生产监督管理总局安全生产年度监督检查计划编制办法》(安监总政法</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2017</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150号，以下简称《办法》)《国务院办公厅关于严格规范涉企行政检查的意见》(国办发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54号，以下简称《意见》)《河北省安全生产条例》规定，按照国家、省、市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工作部署</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结合我局工作实际编制本计划。</w:t>
      </w:r>
    </w:p>
    <w:p w14:paraId="59CF0E4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工作目标</w:t>
      </w:r>
    </w:p>
    <w:p w14:paraId="6CEDDFC9">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深入贯彻习近平总书记关于安全生产重要指示精神、党的二十大精神和党中央、省委、市委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县委</w:t>
      </w:r>
      <w:r>
        <w:rPr>
          <w:rFonts w:hint="eastAsia" w:ascii="仿宋" w:hAnsi="仿宋" w:eastAsia="仿宋" w:cs="仿宋"/>
          <w:color w:val="auto"/>
          <w:sz w:val="32"/>
          <w:szCs w:val="32"/>
        </w:rPr>
        <w:t>决策部署，坚持人民至上、生命至上，树牢安全发展理念，围绕安全生产治本攻坚三年行动，坚持标本兼治、重在治本，按照“分类分级、精准监管”、“重点企业全覆盖、一般企业双随机”等要求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精准执法、科学执法，合理确定行政检查方式，最大限度减少入企检查频次，坚决杜绝“一人生病，大家吃药”的全覆盖、无差别检查，巩固深化重大事故隐患专项排查整治成果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刚柔并济，着力消除因重大风险管控措施缺失或执行不到位而形成的重大事故隐患，督促生产经营单位落实安全生产主体责任，坚决遏制重特大生产安全事故发生</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确保人民群众生命财产安全和社会大局稳定</w:t>
      </w:r>
      <w:r>
        <w:rPr>
          <w:rFonts w:hint="eastAsia" w:ascii="仿宋" w:hAnsi="仿宋" w:eastAsia="仿宋" w:cs="仿宋"/>
          <w:color w:val="auto"/>
          <w:sz w:val="32"/>
          <w:szCs w:val="32"/>
          <w:lang w:eastAsia="zh-CN"/>
        </w:rPr>
        <w:t>。</w:t>
      </w:r>
    </w:p>
    <w:p w14:paraId="44CE55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snapToGrid w:val="0"/>
          <w:color w:val="auto"/>
          <w:kern w:val="0"/>
          <w:sz w:val="32"/>
          <w:szCs w:val="32"/>
          <w:lang w:val="en-US" w:eastAsia="en-US" w:bidi="ar-SA"/>
        </w:rPr>
        <w:t>二、</w:t>
      </w:r>
      <w:r>
        <w:rPr>
          <w:rFonts w:hint="eastAsia" w:ascii="黑体" w:hAnsi="黑体" w:eastAsia="黑体" w:cs="黑体"/>
          <w:color w:val="auto"/>
          <w:sz w:val="32"/>
          <w:szCs w:val="32"/>
        </w:rPr>
        <w:t>重点任务</w:t>
      </w:r>
    </w:p>
    <w:p w14:paraId="0DB0AF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围绕安全生产治本攻坚三年行动，巩固深化重大事故隐患专项排查整治成果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确定四个方面重点任务。一是严格抓好年度执法检查。按照分类分级监管执法安排，聚焦危化、工贸等重点行业领域，对重点</w:t>
      </w:r>
      <w:r>
        <w:rPr>
          <w:rFonts w:hint="eastAsia" w:ascii="仿宋" w:hAnsi="仿宋" w:eastAsia="仿宋" w:cs="仿宋"/>
          <w:color w:val="auto"/>
          <w:sz w:val="32"/>
          <w:szCs w:val="32"/>
          <w:lang w:val="en-US" w:eastAsia="zh-CN"/>
        </w:rPr>
        <w:t>监管</w:t>
      </w:r>
      <w:r>
        <w:rPr>
          <w:rFonts w:hint="eastAsia" w:ascii="仿宋" w:hAnsi="仿宋" w:eastAsia="仿宋" w:cs="仿宋"/>
          <w:color w:val="auto"/>
          <w:sz w:val="32"/>
          <w:szCs w:val="32"/>
        </w:rPr>
        <w:t>企业开展精准执法检查，对一般企业</w:t>
      </w:r>
      <w:r>
        <w:rPr>
          <w:rFonts w:hint="eastAsia" w:ascii="仿宋" w:hAnsi="仿宋" w:eastAsia="仿宋" w:cs="仿宋"/>
          <w:color w:val="auto"/>
          <w:sz w:val="32"/>
          <w:szCs w:val="32"/>
          <w:lang w:val="en-US" w:eastAsia="zh-CN"/>
        </w:rPr>
        <w:t>实施“</w:t>
      </w:r>
      <w:r>
        <w:rPr>
          <w:rFonts w:hint="eastAsia" w:ascii="仿宋" w:hAnsi="仿宋" w:eastAsia="仿宋" w:cs="仿宋"/>
          <w:color w:val="auto"/>
          <w:sz w:val="32"/>
          <w:szCs w:val="32"/>
        </w:rPr>
        <w:t>双随机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一公开”抽查。年度内实现对纳入计划的生产经营单位监督检查率100%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对发现的违法行为依法查处率100%,对责令限期整改的问题隐患整改复查率100%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二是深入开展专项督导检查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贯彻落实国家、省、市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工作部署，聚焦</w:t>
      </w:r>
      <w:r>
        <w:rPr>
          <w:rFonts w:hint="eastAsia" w:ascii="仿宋" w:hAnsi="仿宋" w:eastAsia="仿宋" w:cs="仿宋"/>
          <w:color w:val="auto"/>
          <w:sz w:val="32"/>
          <w:szCs w:val="32"/>
          <w:lang w:val="en-US" w:eastAsia="zh-CN"/>
        </w:rPr>
        <w:t>全国</w:t>
      </w:r>
      <w:r>
        <w:rPr>
          <w:rFonts w:hint="eastAsia" w:ascii="仿宋" w:hAnsi="仿宋" w:eastAsia="仿宋" w:cs="仿宋"/>
          <w:color w:val="auto"/>
          <w:sz w:val="32"/>
          <w:szCs w:val="32"/>
        </w:rPr>
        <w:t>两会、春节、国庆节等重要时段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突出企业安全生产主体责任落实不力、主要负责人履职不到位、违规电气焊作业、双重预防机</w:t>
      </w:r>
      <w:bookmarkStart w:id="0" w:name="_GoBack"/>
      <w:bookmarkEnd w:id="0"/>
      <w:r>
        <w:rPr>
          <w:rFonts w:hint="eastAsia" w:ascii="仿宋" w:hAnsi="仿宋" w:eastAsia="仿宋" w:cs="仿宋"/>
          <w:color w:val="auto"/>
          <w:sz w:val="32"/>
          <w:szCs w:val="32"/>
        </w:rPr>
        <w:t>制不健全，以及重大事故隐患等重点事项，对企业开展全链条穿透式监管执法，依法查处安全生产违法违规行为，推动企业落实落细安全生产措施，提高安全生产管理水平。三是积极开展执法工作指导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固本强基要求，常态化开展执法指导工作，指导县区做好执法计划编制、执法队伍建设和执法规范化建设工作，培训执法检查人员、指导重大复杂案件办理、总结推广先进经验等，并针对执法力量薄弱的地区，采取示范式执法，推动提升监管执法水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四是不断改进执法检查方式，着眼提升执法质量，对被检查企业进行精准“把脉会诊”,找准制约安全生产软肋、硬伤，强弱项、补短板，从而“对症下药</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rPr>
        <w:t>,指导企业精准排查整治隐患，提升安全生产管理水平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w:t>
      </w:r>
    </w:p>
    <w:p w14:paraId="559DC78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、执法检查安排</w:t>
      </w:r>
    </w:p>
    <w:p w14:paraId="1840B169">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(一)重点检查范围</w:t>
      </w:r>
    </w:p>
    <w:p w14:paraId="0EA1D12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.涉及重点监管危险化学品、重点监管危险化工工艺和危险化学品重大危险源的生产经营单位和涉及相关内容的医药、农药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兽药生产单位；</w:t>
      </w:r>
    </w:p>
    <w:p w14:paraId="3E7D3B9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.烟花爆竹储存、经营(批发)单位；</w:t>
      </w:r>
    </w:p>
    <w:p w14:paraId="3572421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.金属冶炼生产经营单位；</w:t>
      </w:r>
    </w:p>
    <w:p w14:paraId="0817721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.涉爆粉尘生产经营单位；</w:t>
      </w:r>
    </w:p>
    <w:p w14:paraId="4616317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.规模以上的液氨制冷、液氨制氢(制氮)生产经营单位</w:t>
      </w:r>
      <w:r>
        <w:rPr>
          <w:rFonts w:hint="eastAsia" w:ascii="仿宋" w:hAnsi="仿宋" w:eastAsia="仿宋" w:cs="仿宋"/>
          <w:color w:val="auto"/>
          <w:sz w:val="32"/>
          <w:szCs w:val="32"/>
          <w:lang w:eastAsia="zh-CN"/>
        </w:rPr>
        <w:t>；</w:t>
      </w:r>
    </w:p>
    <w:p w14:paraId="7ED03D2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.安全生产风险分级管控和事故隐患排查治理落实不到位的生产经营单位；</w:t>
      </w:r>
    </w:p>
    <w:p w14:paraId="42C34116">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.三年内发生较大以上或一年内发生生产安全亡人事故的生产经营单位；</w:t>
      </w:r>
    </w:p>
    <w:p w14:paraId="3B776B38">
      <w:pPr>
        <w:keepNext w:val="0"/>
        <w:keepLines w:val="0"/>
        <w:pageBreakBefore w:val="0"/>
        <w:widowControl/>
        <w:kinsoku w:val="0"/>
        <w:wordWrap/>
        <w:overflowPunct/>
        <w:topLinePunct w:val="0"/>
        <w:autoSpaceDE w:val="0"/>
        <w:autoSpaceDN w:val="0"/>
        <w:bidi w:val="0"/>
        <w:adjustRightInd w:val="0"/>
        <w:snapToGrid w:val="0"/>
        <w:spacing w:line="570" w:lineRule="exact"/>
        <w:ind w:left="638" w:leftChars="304" w:firstLine="0" w:firstLineChars="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 xml:space="preserve">.纳入安全生产失信行为联合惩戒对象的生产经营位； </w:t>
      </w:r>
    </w:p>
    <w:p w14:paraId="4ACF26EF">
      <w:pPr>
        <w:keepNext w:val="0"/>
        <w:keepLines w:val="0"/>
        <w:pageBreakBefore w:val="0"/>
        <w:widowControl/>
        <w:kinsoku w:val="0"/>
        <w:wordWrap/>
        <w:overflowPunct/>
        <w:topLinePunct w:val="0"/>
        <w:autoSpaceDE w:val="0"/>
        <w:autoSpaceDN w:val="0"/>
        <w:bidi w:val="0"/>
        <w:adjustRightInd w:val="0"/>
        <w:snapToGrid w:val="0"/>
        <w:spacing w:line="570" w:lineRule="exact"/>
        <w:ind w:left="638" w:leftChars="304" w:firstLine="0" w:firstLineChars="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.发现存在重大生产安全事故隐患的生产经营单位；</w:t>
      </w:r>
    </w:p>
    <w:p w14:paraId="35DA898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.其他应当纳入重点检查安排的生产经营单位。</w:t>
      </w:r>
    </w:p>
    <w:p w14:paraId="30F89AB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(二)执法检查数量。</w:t>
      </w:r>
    </w:p>
    <w:p w14:paraId="1BE555E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根据年度重点工作任务安排，确定检查企业</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家。其中</w:t>
      </w:r>
      <w:r>
        <w:rPr>
          <w:rFonts w:hint="eastAsia" w:ascii="仿宋" w:hAnsi="仿宋" w:eastAsia="仿宋" w:cs="仿宋"/>
          <w:color w:val="auto"/>
          <w:sz w:val="32"/>
          <w:szCs w:val="32"/>
          <w:lang w:eastAsia="zh-CN"/>
        </w:rPr>
        <w:t>：</w:t>
      </w:r>
    </w:p>
    <w:p w14:paraId="65604D2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1.重点检查企业</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家，占年度监督检查企业总数的</w:t>
      </w:r>
      <w:r>
        <w:rPr>
          <w:rFonts w:hint="eastAsia" w:ascii="仿宋" w:hAnsi="仿宋" w:eastAsia="仿宋" w:cs="仿宋"/>
          <w:color w:val="auto"/>
          <w:sz w:val="32"/>
          <w:szCs w:val="32"/>
          <w:lang w:val="en-US" w:eastAsia="zh-CN"/>
        </w:rPr>
        <w:t>63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其中，危险化学品及烟花爆竹行业企业</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家、工商贸行业企业</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家。以上企业年内至少进行一次重点检查，上级另有规定的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从其规定(见附件</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p>
    <w:p w14:paraId="5D89EBD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2.一般检查企业</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家，占年度监督检查企业总数的</w:t>
      </w:r>
      <w:r>
        <w:rPr>
          <w:rFonts w:hint="eastAsia" w:ascii="仿宋" w:hAnsi="仿宋" w:eastAsia="仿宋" w:cs="仿宋"/>
          <w:color w:val="auto"/>
          <w:sz w:val="32"/>
          <w:szCs w:val="32"/>
          <w:lang w:val="en-US" w:eastAsia="zh-CN"/>
        </w:rPr>
        <w:t>37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其中，危险化学品及烟花爆竹行业企业</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家、工商贸行业企业</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家。以上企业原则上通过“双随机、一公开”方式检查</w:t>
      </w:r>
      <w:r>
        <w:rPr>
          <w:rFonts w:hint="eastAsia" w:ascii="仿宋" w:hAnsi="仿宋" w:eastAsia="仿宋" w:cs="仿宋"/>
          <w:color w:val="auto"/>
          <w:sz w:val="32"/>
          <w:szCs w:val="32"/>
          <w:lang w:eastAsia="zh-CN"/>
        </w:rPr>
        <w:t>。</w:t>
      </w:r>
    </w:p>
    <w:p w14:paraId="41F7679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楷体" w:hAnsi="楷体" w:eastAsia="楷体" w:cs="楷体"/>
          <w:color w:val="auto"/>
          <w:sz w:val="32"/>
          <w:szCs w:val="32"/>
        </w:rPr>
        <w:t>(三)执法检查内容。</w:t>
      </w:r>
      <w:r>
        <w:rPr>
          <w:rFonts w:hint="eastAsia" w:ascii="仿宋" w:hAnsi="仿宋" w:eastAsia="仿宋" w:cs="仿宋"/>
          <w:color w:val="auto"/>
          <w:sz w:val="32"/>
          <w:szCs w:val="32"/>
        </w:rPr>
        <w:t>各安全生产监管监察</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(室)按照本</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室监督检查工作日测算时间(附件1),根据各自行业监督检查计划安排(附件2、附件3、附件4、附件5、附件</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)负责对纳入执法检查范围企业组织实施执法检查；负责按照《安全评价检测检验机构重点监督检查事项》要求对本行业企业开展的安全评价检验事项实施执法检查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负责按照省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工作部署，在重点时期组成行业检查组开展专项执法检查。教育培训机构专项执法检查，由</w:t>
      </w:r>
      <w:r>
        <w:rPr>
          <w:rFonts w:hint="eastAsia" w:ascii="仿宋" w:hAnsi="仿宋" w:eastAsia="仿宋" w:cs="仿宋"/>
          <w:color w:val="auto"/>
          <w:sz w:val="32"/>
          <w:szCs w:val="32"/>
          <w:lang w:val="en-US" w:eastAsia="zh-CN"/>
        </w:rPr>
        <w:t>综合协调股</w:t>
      </w:r>
      <w:r>
        <w:rPr>
          <w:rFonts w:hint="eastAsia" w:ascii="仿宋" w:hAnsi="仿宋" w:eastAsia="仿宋" w:cs="仿宋"/>
          <w:color w:val="auto"/>
          <w:sz w:val="32"/>
          <w:szCs w:val="32"/>
        </w:rPr>
        <w:t>对照《安全生产教育培训机构重点监督检查事项》,结合年度工作安排组织开展执法检查。共性内容主要包括以下14个方面</w:t>
      </w:r>
      <w:r>
        <w:rPr>
          <w:rFonts w:hint="eastAsia" w:ascii="仿宋" w:hAnsi="仿宋" w:eastAsia="仿宋" w:cs="仿宋"/>
          <w:color w:val="auto"/>
          <w:sz w:val="32"/>
          <w:szCs w:val="32"/>
          <w:lang w:eastAsia="zh-CN"/>
        </w:rPr>
        <w:t>。</w:t>
      </w:r>
    </w:p>
    <w:p w14:paraId="7A22C80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1.主要负责人履职尽责情况。企业主要负责人(实际控制人) 依据《中华人民共和国安全生产法》的规定，建立并落实全员安全生产责任制情况、安全生产管理制度建设情况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组织开展隐患排查治理情况、风险辨识和管控情况等法定7项职责情况。</w:t>
      </w:r>
    </w:p>
    <w:p w14:paraId="141244F8">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双重预防机制建设情况。企业安全生产风险管控和隐患排查治理双重预防机制建设情况；采用技术、管理措施控制风险和开展隐患排查治理情况；按照重大事故隐患判定标准，排查治理本单位重大事故隐患情况；对重大事故隐患治理措施组织开展评估等情况。</w:t>
      </w:r>
    </w:p>
    <w:p w14:paraId="25E3D7A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3.安全设施“三同时”落实情况。落实建设项目安全设施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三同时”管理规定情况；安全设备的安装、使用、检测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维修、改造和报废符合安全技术标准情况；使用列入淘汰落后技术装备目录的工艺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设备情况。</w:t>
      </w:r>
    </w:p>
    <w:p w14:paraId="1412CE8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4.安全生产标准化建设情况。企业开展安全生产标准化建设，实施安全生产管理、操作技能、设备设施和作业现场制度化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标准化、规范化情况。</w:t>
      </w:r>
    </w:p>
    <w:p w14:paraId="497C12D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安全生产教育培训落实情况。企业建立全员安全生产教育培训制度情况，重点检查对派遣劳动者、实习生在内的所有从业人员进行安全生产教育和培训开展情况；危险化学品、金属冶炼等企业主要负责人和安全生产管理人员、特种作业人员等 “三类人员”考核及持证情况。</w:t>
      </w:r>
    </w:p>
    <w:p w14:paraId="67C8AF85">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6.现场作业安全管理落实情况。企业现场作业管理情况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从事危险化学品特殊作业、涉爆粉尘、有限空间、爆破、吊装及国家有关规定明确的危险作业时，安排专门人员进行现场安全管理情况；违章指挥、强令职工冒险作业情况</w:t>
      </w:r>
      <w:r>
        <w:rPr>
          <w:rFonts w:hint="eastAsia" w:ascii="仿宋" w:hAnsi="仿宋" w:eastAsia="仿宋" w:cs="仿宋"/>
          <w:color w:val="auto"/>
          <w:sz w:val="32"/>
          <w:szCs w:val="32"/>
          <w:lang w:eastAsia="zh-CN"/>
        </w:rPr>
        <w:t>。</w:t>
      </w:r>
    </w:p>
    <w:p w14:paraId="7F5C4C5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7.企业按规定建立安全生产应急管理体系和应急救援组织 情况。事故应急预案制定和定期组织应急预案培训演练情况；应急物资、装备配备情况以及进行经常性维护、保养情况；重大危险源辨识、登记建档，定期检测、评估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监控等情况。</w:t>
      </w:r>
    </w:p>
    <w:p w14:paraId="0183723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8.保持安全生产条件情况。企业获得安全生产许可情况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严格依照有关安全生产行政许可的范围、事项、从事相关的生产经营活动情况；企业在取得行政许可后降低安全生产条件情况；转让、冒用或者使用伪造的安全生产许可情况。</w:t>
      </w:r>
    </w:p>
    <w:p w14:paraId="0FC7E0C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9.安全生产费用落实情况。安全生产费用提取和使用情况；投保安全生产责任保险情况。</w:t>
      </w:r>
    </w:p>
    <w:p w14:paraId="4E0AACD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10.安全技术服务情况。安全技术服务机构开展安全评价、安全论证、安全生产标准化、双重预防机制等各项安全技术服务情况；服务事项与企业安全实际相对应情况；制定的安全风险管控措施可行性情况。</w:t>
      </w:r>
    </w:p>
    <w:p w14:paraId="3B6907F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11.安全生产举报和奖励办法落实情况。生产经营建设单位开展《河北省安全生产举报和奖励办法(试行)》宣贯情况；在作业场所醒目位置设立内部举报奖励公示、公告牌情况；建立健全举报奖励宣传渠道，依法保护举报人并落实举报奖励制度，组织开展举报奖励教育培训等情况</w:t>
      </w:r>
      <w:r>
        <w:rPr>
          <w:rFonts w:hint="eastAsia" w:ascii="仿宋" w:hAnsi="仿宋" w:eastAsia="仿宋" w:cs="仿宋"/>
          <w:color w:val="auto"/>
          <w:sz w:val="32"/>
          <w:szCs w:val="32"/>
          <w:lang w:eastAsia="zh-CN"/>
        </w:rPr>
        <w:t>。</w:t>
      </w:r>
    </w:p>
    <w:p w14:paraId="65D3496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12.企业安全视频监控全覆盖情况。查看企业接入安全生产视频监控全覆盖系统的视频点位运行情况，重点是点位在线情况；视频画面清晰情况；关键场所视频监控安装情况；企业本地录像存储情况；中控室再监控制度建设及运行情况。</w:t>
      </w:r>
    </w:p>
    <w:p w14:paraId="36825AE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13.安全生产责任网格化管理落实情况。企业制定发布本企业安全生产责任网格化管理实施方案情况；科学划分安全生产责任网格，确定网格安全生产责任人，制作网格划分平面布置图，并在显著位置公示等情况。</w:t>
      </w:r>
    </w:p>
    <w:p w14:paraId="1C2959D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14.安全生产强制性标准实施情况。企业相关强制性标准获取及各项安全生产强制性标准的执行情况。</w:t>
      </w:r>
    </w:p>
    <w:p w14:paraId="44BD97A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四、工作要求</w:t>
      </w:r>
    </w:p>
    <w:p w14:paraId="02E2ED7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z w:val="32"/>
          <w:szCs w:val="32"/>
        </w:rPr>
        <w:t>(一)严密组织，协同联动。</w:t>
      </w:r>
      <w:r>
        <w:rPr>
          <w:rFonts w:hint="eastAsia" w:ascii="仿宋" w:hAnsi="仿宋" w:eastAsia="仿宋" w:cs="仿宋"/>
          <w:color w:val="auto"/>
          <w:sz w:val="32"/>
          <w:szCs w:val="32"/>
        </w:rPr>
        <w:t>各安全生产监管监察</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 要高度重视，认真研究本</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(室)工作任务，周密计划、精心组织本</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(室)人员安排，结合本</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(室)工作实际，严格落实年度监督检查计划，提前做好监督检查实施的各项准备工作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全面梳理涉企行政执法事项清单，精准制定“一企一策”检查方案，加强执法人员业务培训，采用联合联动执法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“专家+执法”等形式，高标准、高质量抓好年度监督检查计划的落实。</w:t>
      </w:r>
    </w:p>
    <w:p w14:paraId="5213C48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z w:val="32"/>
          <w:szCs w:val="32"/>
        </w:rPr>
        <w:t>(二)落实责任，规范执法。</w:t>
      </w:r>
      <w:r>
        <w:rPr>
          <w:rFonts w:hint="eastAsia" w:ascii="仿宋" w:hAnsi="仿宋" w:eastAsia="仿宋" w:cs="仿宋"/>
          <w:color w:val="auto"/>
          <w:sz w:val="32"/>
          <w:szCs w:val="32"/>
        </w:rPr>
        <w:t>要切实履行职责，严格执行行政执法“三项制度”、分类分级执法检查和《意见》要求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严格行政检查标准、程序，明确行政检查主体，严禁不具备行政执法主体资格的组织实施行政检查，杜绝随意检查，提高执法检查质效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法律规定实施行政处罚，不得随意给予顶格罚款；要坚持执法与服务并重，提倡采用柔性执法方式，对依法可以采用提醒、告知、劝阻等方式处理的，根据包容审慎原则不罚或者免罚，对问题突出的案事例要予以通报曝光；要准确把握行政处罚自由裁量权基准，坚持宽严相济，避免同类案不同罚，营造良好营商环境 。</w:t>
      </w:r>
    </w:p>
    <w:p w14:paraId="506B5E3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z w:val="32"/>
          <w:szCs w:val="32"/>
        </w:rPr>
        <w:t>(三)突出重点，严格执法。</w:t>
      </w:r>
      <w:r>
        <w:rPr>
          <w:rFonts w:hint="eastAsia" w:ascii="仿宋" w:hAnsi="仿宋" w:eastAsia="仿宋" w:cs="仿宋"/>
          <w:color w:val="auto"/>
          <w:sz w:val="32"/>
          <w:szCs w:val="32"/>
        </w:rPr>
        <w:t>坚持问题导向，强化风险意识， 结合重点时段、气候特点、事故案例等情况，加强本行业领域风  险动态研判，紧盯企业风险点、薄弱点，有针对性的开展监督检 查工作。各安全生产监管监察</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(室)要综合运用通报约谈、“一案双罚”、停产整顿、联合惩戒、关闭取缔、行刑衔接等措施，对安全生产违法行为动真碰硬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依法惩处失防失控，不得“以管代罚”,倒逼企业落实主体责任，坚决遏制各类事故发生。</w:t>
      </w:r>
    </w:p>
    <w:p w14:paraId="2F537DA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z w:val="32"/>
          <w:szCs w:val="32"/>
        </w:rPr>
        <w:t>(四)精准数据，夯牢基础。</w:t>
      </w:r>
      <w:r>
        <w:rPr>
          <w:rFonts w:hint="eastAsia" w:ascii="仿宋" w:hAnsi="仿宋" w:eastAsia="仿宋" w:cs="仿宋"/>
          <w:color w:val="auto"/>
          <w:sz w:val="32"/>
          <w:szCs w:val="32"/>
        </w:rPr>
        <w:t>各安全生产监管监察</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 要全面、统一、及时归集行政检查相关执法数据，推行执法信息化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坚持每次现场执法检查结束后，按时限要求录入应急部“安全生产行政执法统计”系统，确保工作形成闭环。要全面推广应用应急部“互联网+执法”系统开展执法检查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按照要求及时录入各项执法信息，</w:t>
      </w:r>
      <w:r>
        <w:rPr>
          <w:rFonts w:hint="eastAsia" w:ascii="仿宋" w:hAnsi="仿宋" w:eastAsia="仿宋" w:cs="仿宋"/>
          <w:color w:val="auto"/>
          <w:sz w:val="32"/>
          <w:szCs w:val="32"/>
          <w:lang w:val="en-US" w:eastAsia="zh-CN"/>
        </w:rPr>
        <w:t>监管一股、监管二股、综合协调股，</w:t>
      </w:r>
      <w:r>
        <w:rPr>
          <w:rFonts w:hint="eastAsia" w:ascii="仿宋" w:hAnsi="仿宋" w:eastAsia="仿宋" w:cs="仿宋"/>
          <w:color w:val="auto"/>
          <w:sz w:val="32"/>
          <w:szCs w:val="32"/>
        </w:rPr>
        <w:t>每</w:t>
      </w:r>
      <w:r>
        <w:rPr>
          <w:rFonts w:hint="eastAsia" w:ascii="仿宋" w:hAnsi="仿宋" w:eastAsia="仿宋" w:cs="仿宋"/>
          <w:color w:val="auto"/>
          <w:sz w:val="32"/>
          <w:szCs w:val="32"/>
          <w:lang w:val="en-US" w:eastAsia="zh-CN"/>
        </w:rPr>
        <w:t>季度</w:t>
      </w:r>
      <w:r>
        <w:rPr>
          <w:rFonts w:hint="eastAsia" w:ascii="仿宋" w:hAnsi="仿宋" w:eastAsia="仿宋" w:cs="仿宋"/>
          <w:color w:val="auto"/>
          <w:sz w:val="32"/>
          <w:szCs w:val="32"/>
        </w:rPr>
        <w:t>要通过应急部“互联网+执法”系统至少上报1个典型执法案例。各安全生产监管监察</w:t>
      </w:r>
      <w:r>
        <w:rPr>
          <w:rFonts w:hint="eastAsia" w:ascii="仿宋" w:hAnsi="仿宋" w:eastAsia="仿宋" w:cs="仿宋"/>
          <w:color w:val="auto"/>
          <w:sz w:val="32"/>
          <w:szCs w:val="32"/>
          <w:lang w:val="en-US" w:eastAsia="zh-CN"/>
        </w:rPr>
        <w:t>股</w:t>
      </w:r>
      <w:r>
        <w:rPr>
          <w:rFonts w:hint="eastAsia" w:ascii="仿宋" w:hAnsi="仿宋" w:eastAsia="仿宋" w:cs="仿宋"/>
          <w:color w:val="auto"/>
          <w:sz w:val="32"/>
          <w:szCs w:val="32"/>
        </w:rPr>
        <w:t>(室)每</w:t>
      </w:r>
      <w:r>
        <w:rPr>
          <w:rFonts w:hint="eastAsia" w:ascii="仿宋" w:hAnsi="仿宋" w:eastAsia="仿宋" w:cs="仿宋"/>
          <w:color w:val="auto"/>
          <w:sz w:val="32"/>
          <w:szCs w:val="32"/>
          <w:lang w:val="en-US" w:eastAsia="zh-CN"/>
        </w:rPr>
        <w:t>月底</w:t>
      </w:r>
      <w:r>
        <w:rPr>
          <w:rFonts w:hint="eastAsia" w:ascii="仿宋" w:hAnsi="仿宋" w:eastAsia="仿宋" w:cs="仿宋"/>
          <w:color w:val="auto"/>
          <w:sz w:val="32"/>
          <w:szCs w:val="32"/>
        </w:rPr>
        <w:t>要将本</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执法检查情况报</w:t>
      </w:r>
      <w:r>
        <w:rPr>
          <w:rFonts w:hint="eastAsia" w:ascii="仿宋" w:hAnsi="仿宋" w:eastAsia="仿宋" w:cs="仿宋"/>
          <w:color w:val="auto"/>
          <w:sz w:val="32"/>
          <w:szCs w:val="32"/>
          <w:lang w:val="en-US" w:eastAsia="zh-CN"/>
        </w:rPr>
        <w:t>法规股。</w:t>
      </w:r>
    </w:p>
    <w:p w14:paraId="1678E7E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z w:val="32"/>
          <w:szCs w:val="32"/>
        </w:rPr>
        <w:t>(五)严守纪律，廉洁执法。</w:t>
      </w:r>
      <w:r>
        <w:rPr>
          <w:rFonts w:hint="eastAsia" w:ascii="仿宋" w:hAnsi="仿宋" w:eastAsia="仿宋" w:cs="仿宋"/>
          <w:color w:val="auto"/>
          <w:sz w:val="32"/>
          <w:szCs w:val="32"/>
        </w:rPr>
        <w:t>执法人员在涉企行政检查中要严格执行中央八项规定精神，要做到“五个严禁”、“八个不得”, 自觉遵守各项工作纪律，抵制吃喝风，守住廉洁底线，主动接受执纪监督。严格依法履行工作职责，严肃仪容仪表及执法风纪，坚决杜绝各类违法违规违纪行为，树立</w:t>
      </w:r>
      <w:r>
        <w:rPr>
          <w:rFonts w:hint="eastAsia" w:ascii="仿宋" w:hAnsi="仿宋" w:eastAsia="仿宋" w:cs="仿宋"/>
          <w:color w:val="auto"/>
          <w:sz w:val="32"/>
          <w:szCs w:val="32"/>
          <w:lang w:val="en-US" w:eastAsia="zh-CN"/>
        </w:rPr>
        <w:t>乐亭县</w:t>
      </w:r>
      <w:r>
        <w:rPr>
          <w:rFonts w:hint="eastAsia" w:ascii="仿宋" w:hAnsi="仿宋" w:eastAsia="仿宋" w:cs="仿宋"/>
          <w:color w:val="auto"/>
          <w:sz w:val="32"/>
          <w:szCs w:val="32"/>
        </w:rPr>
        <w:t>应急管理部门执法人员良好形象。</w:t>
      </w:r>
    </w:p>
    <w:p w14:paraId="494A60F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附件：1.监督检查工作日测算</w:t>
      </w:r>
    </w:p>
    <w:p w14:paraId="6CCDE09D">
      <w:pPr>
        <w:keepNext w:val="0"/>
        <w:keepLines w:val="0"/>
        <w:pageBreakBefore w:val="0"/>
        <w:widowControl/>
        <w:kinsoku w:val="0"/>
        <w:wordWrap/>
        <w:overflowPunct/>
        <w:topLinePunct w:val="0"/>
        <w:autoSpaceDE w:val="0"/>
        <w:autoSpaceDN w:val="0"/>
        <w:bidi w:val="0"/>
        <w:adjustRightInd w:val="0"/>
        <w:snapToGrid w:val="0"/>
        <w:spacing w:line="570" w:lineRule="exact"/>
        <w:ind w:firstLine="1600" w:firstLineChars="5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xml:space="preserve">危险化学品行业监督检查计划安排 </w:t>
      </w:r>
    </w:p>
    <w:p w14:paraId="00994740">
      <w:pPr>
        <w:keepNext w:val="0"/>
        <w:keepLines w:val="0"/>
        <w:pageBreakBefore w:val="0"/>
        <w:widowControl/>
        <w:kinsoku w:val="0"/>
        <w:wordWrap/>
        <w:overflowPunct/>
        <w:topLinePunct w:val="0"/>
        <w:autoSpaceDE w:val="0"/>
        <w:autoSpaceDN w:val="0"/>
        <w:bidi w:val="0"/>
        <w:adjustRightInd w:val="0"/>
        <w:snapToGrid w:val="0"/>
        <w:spacing w:line="570" w:lineRule="exact"/>
        <w:ind w:firstLine="1600" w:firstLineChars="5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.工商贸行业监督检查计划安排</w:t>
      </w:r>
    </w:p>
    <w:p w14:paraId="4A26711C">
      <w:pPr>
        <w:keepNext w:val="0"/>
        <w:keepLines w:val="0"/>
        <w:pageBreakBefore w:val="0"/>
        <w:widowControl/>
        <w:kinsoku w:val="0"/>
        <w:wordWrap/>
        <w:overflowPunct/>
        <w:topLinePunct w:val="0"/>
        <w:autoSpaceDE w:val="0"/>
        <w:autoSpaceDN w:val="0"/>
        <w:bidi w:val="0"/>
        <w:adjustRightInd w:val="0"/>
        <w:snapToGrid w:val="0"/>
        <w:spacing w:line="570" w:lineRule="exact"/>
        <w:ind w:firstLine="1600" w:firstLineChars="5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.安全评价检测检验机构重点监督检查事项</w:t>
      </w:r>
    </w:p>
    <w:p w14:paraId="5C9D8D2A">
      <w:pPr>
        <w:keepNext w:val="0"/>
        <w:keepLines w:val="0"/>
        <w:pageBreakBefore w:val="0"/>
        <w:widowControl/>
        <w:kinsoku w:val="0"/>
        <w:wordWrap/>
        <w:overflowPunct/>
        <w:topLinePunct w:val="0"/>
        <w:autoSpaceDE w:val="0"/>
        <w:autoSpaceDN w:val="0"/>
        <w:bidi w:val="0"/>
        <w:adjustRightInd w:val="0"/>
        <w:snapToGrid w:val="0"/>
        <w:spacing w:line="570" w:lineRule="exact"/>
        <w:ind w:firstLine="1600" w:firstLineChars="500"/>
        <w:jc w:val="both"/>
        <w:textAlignment w:val="baseline"/>
        <w:rPr>
          <w:rFonts w:hint="eastAsia" w:ascii="仿宋" w:hAnsi="仿宋" w:eastAsia="仿宋" w:cs="仿宋"/>
          <w:color w:val="auto"/>
          <w:spacing w:val="-11"/>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pacing w:val="-11"/>
          <w:sz w:val="32"/>
          <w:szCs w:val="32"/>
        </w:rPr>
        <w:t>安全生产教育培训考试机构重点监督检查事项</w:t>
      </w:r>
    </w:p>
    <w:p w14:paraId="512BBF77">
      <w:pPr>
        <w:keepNext w:val="0"/>
        <w:keepLines w:val="0"/>
        <w:pageBreakBefore w:val="0"/>
        <w:widowControl/>
        <w:kinsoku w:val="0"/>
        <w:wordWrap/>
        <w:overflowPunct/>
        <w:topLinePunct w:val="0"/>
        <w:autoSpaceDE w:val="0"/>
        <w:autoSpaceDN w:val="0"/>
        <w:bidi w:val="0"/>
        <w:adjustRightInd w:val="0"/>
        <w:snapToGrid w:val="0"/>
        <w:spacing w:line="570" w:lineRule="exact"/>
        <w:ind w:firstLine="1600" w:firstLineChars="5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.2025年度重点检查企业名单</w:t>
      </w:r>
    </w:p>
    <w:p w14:paraId="2A51E829">
      <w:pPr>
        <w:keepNext w:val="0"/>
        <w:keepLines w:val="0"/>
        <w:pageBreakBefore w:val="0"/>
        <w:widowControl/>
        <w:kinsoku w:val="0"/>
        <w:wordWrap/>
        <w:overflowPunct/>
        <w:topLinePunct w:val="0"/>
        <w:autoSpaceDE w:val="0"/>
        <w:autoSpaceDN w:val="0"/>
        <w:bidi w:val="0"/>
        <w:adjustRightInd w:val="0"/>
        <w:snapToGrid w:val="0"/>
        <w:spacing w:line="570" w:lineRule="exact"/>
        <w:ind w:left="2236" w:leftChars="760" w:hanging="640" w:hanging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.2025年度各</w:t>
      </w:r>
      <w:r>
        <w:rPr>
          <w:rFonts w:hint="eastAsia" w:ascii="仿宋" w:hAnsi="仿宋" w:eastAsia="仿宋" w:cs="仿宋"/>
          <w:color w:val="auto"/>
          <w:sz w:val="32"/>
          <w:szCs w:val="32"/>
          <w:lang w:val="en-US" w:eastAsia="zh-CN"/>
        </w:rPr>
        <w:t>股室</w:t>
      </w:r>
      <w:r>
        <w:rPr>
          <w:rFonts w:hint="eastAsia" w:ascii="仿宋" w:hAnsi="仿宋" w:eastAsia="仿宋" w:cs="仿宋"/>
          <w:color w:val="auto"/>
          <w:sz w:val="32"/>
          <w:szCs w:val="32"/>
        </w:rPr>
        <w:t xml:space="preserve">执法检查时间安排 </w:t>
      </w:r>
    </w:p>
    <w:p w14:paraId="1BFFFE64">
      <w:pPr>
        <w:keepNext w:val="0"/>
        <w:keepLines w:val="0"/>
        <w:pageBreakBefore w:val="0"/>
        <w:widowControl/>
        <w:kinsoku w:val="0"/>
        <w:wordWrap/>
        <w:overflowPunct/>
        <w:topLinePunct w:val="0"/>
        <w:autoSpaceDE w:val="0"/>
        <w:autoSpaceDN w:val="0"/>
        <w:bidi w:val="0"/>
        <w:adjustRightInd w:val="0"/>
        <w:snapToGrid w:val="0"/>
        <w:spacing w:line="570" w:lineRule="exact"/>
        <w:ind w:left="2236" w:leftChars="760" w:hanging="640" w:hanging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.2025年度监督检查任务分配表</w:t>
      </w:r>
    </w:p>
    <w:p w14:paraId="799CA88B"/>
    <w:p w14:paraId="6EF14F3D"/>
    <w:p w14:paraId="4F407115"/>
    <w:p w14:paraId="1DAF00C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657E7AA">
      <w:pPr>
        <w:tabs>
          <w:tab w:val="left" w:pos="0"/>
        </w:tabs>
        <w:autoSpaceDN w:val="0"/>
        <w:adjustRightInd w:val="0"/>
        <w:snapToGrid w:val="0"/>
        <w:spacing w:line="570" w:lineRule="exact"/>
        <w:jc w:val="center"/>
        <w:rPr>
          <w:rFonts w:hint="eastAsia" w:ascii="Times New Roman" w:hAnsi="Times New Roman" w:eastAsia="宋体" w:cs="宋体"/>
          <w:b/>
          <w:bCs/>
          <w:color w:val="auto"/>
          <w:spacing w:val="0"/>
          <w:sz w:val="44"/>
          <w:szCs w:val="44"/>
        </w:rPr>
      </w:pPr>
      <w:r>
        <w:rPr>
          <w:rFonts w:hint="eastAsia" w:ascii="Times New Roman" w:hAnsi="Times New Roman" w:eastAsia="宋体" w:cs="宋体"/>
          <w:b/>
          <w:bCs/>
          <w:color w:val="auto"/>
          <w:spacing w:val="0"/>
          <w:sz w:val="44"/>
          <w:szCs w:val="44"/>
        </w:rPr>
        <w:t>监督检查工作日测算</w:t>
      </w:r>
    </w:p>
    <w:p w14:paraId="4B382FF2">
      <w:pPr>
        <w:pStyle w:val="7"/>
        <w:spacing w:line="570" w:lineRule="exact"/>
        <w:rPr>
          <w:rFonts w:hint="eastAsia" w:ascii="Times New Roman" w:hAnsi="Times New Roman"/>
          <w:color w:val="auto"/>
          <w:spacing w:val="0"/>
          <w:sz w:val="32"/>
        </w:rPr>
      </w:pPr>
    </w:p>
    <w:p w14:paraId="6A981AF8">
      <w:pPr>
        <w:pStyle w:val="2"/>
        <w:spacing w:line="570" w:lineRule="exact"/>
        <w:ind w:firstLine="640" w:firstLineChars="200"/>
        <w:rPr>
          <w:rFonts w:ascii="Times New Roman" w:hAnsi="Times New Roman" w:eastAsia="黑体"/>
          <w:bCs/>
          <w:color w:val="auto"/>
          <w:spacing w:val="0"/>
          <w:sz w:val="32"/>
          <w:szCs w:val="32"/>
        </w:rPr>
      </w:pPr>
      <w:r>
        <w:rPr>
          <w:rFonts w:hint="eastAsia" w:ascii="Times New Roman" w:hAnsi="Times New Roman" w:eastAsia="黑体"/>
          <w:bCs/>
          <w:color w:val="auto"/>
          <w:spacing w:val="0"/>
          <w:sz w:val="32"/>
          <w:szCs w:val="32"/>
        </w:rPr>
        <w:t>一、监督检查力量</w:t>
      </w:r>
    </w:p>
    <w:p w14:paraId="36E66F5F">
      <w:pPr>
        <w:autoSpaceDN w:val="0"/>
        <w:adjustRightInd w:val="0"/>
        <w:snapToGrid w:val="0"/>
        <w:spacing w:line="570" w:lineRule="exact"/>
        <w:ind w:firstLine="640" w:firstLineChars="200"/>
        <w:rPr>
          <w:rFonts w:hint="eastAsia" w:ascii="Times New Roman" w:hAnsi="Times New Roman" w:eastAsia="仿宋_GB2312"/>
          <w:color w:val="auto"/>
          <w:spacing w:val="0"/>
          <w:sz w:val="32"/>
          <w:szCs w:val="32"/>
          <w:lang w:eastAsia="zh-CN"/>
        </w:rPr>
      </w:pPr>
      <w:r>
        <w:rPr>
          <w:rFonts w:hint="eastAsia" w:ascii="Times New Roman" w:hAnsi="Times New Roman" w:eastAsia="仿宋_GB2312"/>
          <w:color w:val="auto"/>
          <w:spacing w:val="0"/>
          <w:sz w:val="32"/>
          <w:szCs w:val="32"/>
        </w:rPr>
        <w:t>乐亭县应急管理局定编在册持执法证、并从事安全生产监管监察</w:t>
      </w:r>
      <w:r>
        <w:rPr>
          <w:rFonts w:hint="eastAsia" w:ascii="Times New Roman" w:hAnsi="Times New Roman" w:eastAsia="仿宋_GB2312"/>
          <w:color w:val="auto"/>
          <w:spacing w:val="0"/>
          <w:sz w:val="32"/>
          <w:szCs w:val="32"/>
          <w:lang w:val="en-US" w:eastAsia="zh-CN"/>
        </w:rPr>
        <w:t>相关执法</w:t>
      </w:r>
      <w:r>
        <w:rPr>
          <w:rFonts w:hint="eastAsia" w:ascii="Times New Roman" w:hAnsi="Times New Roman" w:eastAsia="仿宋_GB2312"/>
          <w:color w:val="auto"/>
          <w:spacing w:val="0"/>
          <w:sz w:val="32"/>
          <w:szCs w:val="32"/>
        </w:rPr>
        <w:t>人员共</w:t>
      </w:r>
      <w:r>
        <w:rPr>
          <w:rFonts w:hint="eastAsia" w:ascii="Times New Roman" w:hAnsi="Times New Roman" w:eastAsia="仿宋_GB2312"/>
          <w:color w:val="auto"/>
          <w:spacing w:val="0"/>
          <w:sz w:val="32"/>
          <w:szCs w:val="32"/>
          <w:lang w:val="en-US" w:eastAsia="zh-CN"/>
        </w:rPr>
        <w:t>11</w:t>
      </w:r>
      <w:r>
        <w:rPr>
          <w:rFonts w:hint="eastAsia" w:ascii="Times New Roman" w:hAnsi="Times New Roman" w:eastAsia="仿宋_GB2312"/>
          <w:color w:val="auto"/>
          <w:spacing w:val="0"/>
          <w:sz w:val="32"/>
          <w:szCs w:val="32"/>
        </w:rPr>
        <w:t>人</w:t>
      </w:r>
      <w:r>
        <w:rPr>
          <w:rFonts w:hint="eastAsia" w:ascii="Times New Roman" w:hAnsi="Times New Roman" w:eastAsia="仿宋_GB2312"/>
          <w:color w:val="auto"/>
          <w:spacing w:val="0"/>
          <w:sz w:val="32"/>
          <w:szCs w:val="32"/>
          <w:lang w:eastAsia="zh-CN"/>
        </w:rPr>
        <w:t>。</w:t>
      </w:r>
    </w:p>
    <w:p w14:paraId="1B5F601D">
      <w:pPr>
        <w:autoSpaceDN w:val="0"/>
        <w:adjustRightInd w:val="0"/>
        <w:snapToGrid w:val="0"/>
        <w:spacing w:line="570" w:lineRule="exact"/>
        <w:ind w:firstLine="640" w:firstLineChars="200"/>
        <w:rPr>
          <w:rFonts w:hint="eastAsia" w:ascii="Times New Roman" w:hAnsi="Times New Roman" w:eastAsia="黑体"/>
          <w:bCs/>
          <w:color w:val="auto"/>
          <w:spacing w:val="0"/>
          <w:sz w:val="32"/>
          <w:szCs w:val="32"/>
        </w:rPr>
      </w:pPr>
      <w:r>
        <w:rPr>
          <w:rFonts w:hint="eastAsia" w:ascii="Times New Roman" w:hAnsi="Times New Roman" w:eastAsia="黑体"/>
          <w:bCs/>
          <w:color w:val="auto"/>
          <w:spacing w:val="0"/>
          <w:sz w:val="32"/>
          <w:szCs w:val="32"/>
        </w:rPr>
        <w:t>二、监督检查工作日</w:t>
      </w:r>
    </w:p>
    <w:p w14:paraId="3E19DD92">
      <w:pPr>
        <w:autoSpaceDN w:val="0"/>
        <w:adjustRightInd w:val="0"/>
        <w:snapToGrid w:val="0"/>
        <w:spacing w:line="570" w:lineRule="exact"/>
        <w:ind w:firstLine="643" w:firstLineChars="200"/>
        <w:rPr>
          <w:rFonts w:ascii="Times New Roman" w:hAnsi="Times New Roman" w:eastAsia="楷体_GB2312"/>
          <w:b/>
          <w:color w:val="auto"/>
          <w:spacing w:val="0"/>
          <w:kern w:val="0"/>
          <w:sz w:val="32"/>
          <w:szCs w:val="32"/>
        </w:rPr>
      </w:pPr>
      <w:r>
        <w:rPr>
          <w:rFonts w:ascii="Times New Roman" w:hAnsi="Times New Roman" w:eastAsia="楷体_GB2312"/>
          <w:b/>
          <w:color w:val="auto"/>
          <w:spacing w:val="0"/>
          <w:kern w:val="0"/>
          <w:sz w:val="32"/>
          <w:szCs w:val="32"/>
        </w:rPr>
        <w:t>（一）总法定工作日</w:t>
      </w:r>
    </w:p>
    <w:p w14:paraId="5C671B69">
      <w:pPr>
        <w:autoSpaceDN w:val="0"/>
        <w:adjustRightInd w:val="0"/>
        <w:snapToGrid w:val="0"/>
        <w:spacing w:line="570" w:lineRule="exact"/>
        <w:ind w:firstLine="640" w:firstLineChars="200"/>
        <w:rPr>
          <w:rFonts w:hint="eastAsia" w:ascii="Times New Roman" w:hAnsi="Times New Roman" w:eastAsia="仿宋_GB2312"/>
          <w:color w:val="auto"/>
          <w:spacing w:val="0"/>
          <w:sz w:val="32"/>
          <w:szCs w:val="32"/>
          <w:lang w:val="en-US" w:eastAsia="zh-CN"/>
        </w:rPr>
      </w:pPr>
      <w:r>
        <w:rPr>
          <w:rFonts w:hint="eastAsia" w:ascii="Times New Roman" w:hAnsi="Times New Roman" w:eastAsia="仿宋_GB2312"/>
          <w:color w:val="auto"/>
          <w:spacing w:val="0"/>
          <w:sz w:val="32"/>
          <w:szCs w:val="32"/>
          <w:lang w:val="en-US" w:eastAsia="zh-CN"/>
        </w:rPr>
        <w:t>2025年全年共365天，国家法定工作日248天。按照《办 法》规定，总法定工作日=国家法定工作日×执法人员数量=248×11=2728天。</w:t>
      </w:r>
    </w:p>
    <w:p w14:paraId="7209D346">
      <w:pPr>
        <w:tabs>
          <w:tab w:val="left" w:pos="6450"/>
        </w:tabs>
        <w:autoSpaceDN w:val="0"/>
        <w:adjustRightInd w:val="0"/>
        <w:snapToGrid w:val="0"/>
        <w:spacing w:line="570" w:lineRule="exact"/>
        <w:ind w:firstLine="643" w:firstLineChars="200"/>
        <w:rPr>
          <w:rFonts w:ascii="Times New Roman" w:hAnsi="Times New Roman" w:eastAsia="楷体_GB2312"/>
          <w:b/>
          <w:color w:val="auto"/>
          <w:spacing w:val="0"/>
          <w:kern w:val="0"/>
          <w:sz w:val="32"/>
          <w:szCs w:val="32"/>
        </w:rPr>
      </w:pPr>
      <w:r>
        <w:rPr>
          <w:rFonts w:ascii="Times New Roman" w:hAnsi="Times New Roman" w:eastAsia="楷体_GB2312"/>
          <w:b/>
          <w:color w:val="auto"/>
          <w:spacing w:val="0"/>
          <w:kern w:val="0"/>
          <w:sz w:val="32"/>
          <w:szCs w:val="32"/>
        </w:rPr>
        <w:t>（</w:t>
      </w:r>
      <w:r>
        <w:rPr>
          <w:rFonts w:hint="eastAsia" w:ascii="Times New Roman" w:hAnsi="Times New Roman" w:eastAsia="楷体_GB2312"/>
          <w:b/>
          <w:color w:val="auto"/>
          <w:spacing w:val="0"/>
          <w:kern w:val="0"/>
          <w:sz w:val="32"/>
          <w:szCs w:val="32"/>
        </w:rPr>
        <w:t>二</w:t>
      </w:r>
      <w:r>
        <w:rPr>
          <w:rFonts w:ascii="Times New Roman" w:hAnsi="Times New Roman" w:eastAsia="楷体_GB2312"/>
          <w:b/>
          <w:color w:val="auto"/>
          <w:spacing w:val="0"/>
          <w:kern w:val="0"/>
          <w:sz w:val="32"/>
          <w:szCs w:val="32"/>
        </w:rPr>
        <w:t>）其他执法工作</w:t>
      </w:r>
      <w:r>
        <w:rPr>
          <w:rFonts w:hint="eastAsia" w:ascii="Times New Roman" w:hAnsi="Times New Roman" w:eastAsia="楷体_GB2312"/>
          <w:b/>
          <w:color w:val="auto"/>
          <w:spacing w:val="0"/>
          <w:kern w:val="0"/>
          <w:sz w:val="32"/>
          <w:szCs w:val="32"/>
        </w:rPr>
        <w:t>858</w:t>
      </w:r>
      <w:r>
        <w:rPr>
          <w:rFonts w:ascii="Times New Roman" w:hAnsi="Times New Roman" w:eastAsia="楷体_GB2312"/>
          <w:b/>
          <w:color w:val="auto"/>
          <w:spacing w:val="0"/>
          <w:kern w:val="0"/>
          <w:sz w:val="32"/>
          <w:szCs w:val="32"/>
        </w:rPr>
        <w:t>日</w:t>
      </w:r>
      <w:r>
        <w:rPr>
          <w:rFonts w:ascii="Times New Roman" w:hAnsi="Times New Roman" w:eastAsia="楷体_GB2312"/>
          <w:b/>
          <w:color w:val="auto"/>
          <w:spacing w:val="0"/>
          <w:kern w:val="0"/>
          <w:sz w:val="32"/>
          <w:szCs w:val="32"/>
        </w:rPr>
        <w:tab/>
      </w:r>
    </w:p>
    <w:p w14:paraId="4D5A8DF9">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1.开展安全生产综合监管预计用396天。</w:t>
      </w:r>
    </w:p>
    <w:p w14:paraId="350D6DC5">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2.参与事故调查预计用42天。</w:t>
      </w:r>
    </w:p>
    <w:p w14:paraId="3565C93F">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3.核实投诉举报预计用72天。</w:t>
      </w:r>
    </w:p>
    <w:p w14:paraId="48FD9065">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4.办理法规规章规定的登记备案预计用24天。</w:t>
      </w:r>
    </w:p>
    <w:p w14:paraId="2D239009">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5.参加有关部门联合执法预计用32天。</w:t>
      </w:r>
    </w:p>
    <w:p w14:paraId="15ABFD6F">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6.开展对中介服务机构的监督检查16天</w:t>
      </w:r>
    </w:p>
    <w:p w14:paraId="3E31F9A9">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7.开展网上巡查预计用124天</w:t>
      </w:r>
    </w:p>
    <w:p w14:paraId="6C7B0411">
      <w:pPr>
        <w:widowControl/>
        <w:shd w:val="clear" w:color="auto" w:fill="FFFFFF"/>
        <w:spacing w:line="560" w:lineRule="exact"/>
        <w:ind w:firstLine="645"/>
        <w:rPr>
          <w:rFonts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8.完成本级人民政府或者上级应急管理部门安排的执法工作任务预计用66天。</w:t>
      </w:r>
    </w:p>
    <w:p w14:paraId="68660CC0">
      <w:pPr>
        <w:autoSpaceDN w:val="0"/>
        <w:adjustRightInd w:val="0"/>
        <w:snapToGrid w:val="0"/>
        <w:spacing w:line="570" w:lineRule="exact"/>
        <w:ind w:firstLine="640" w:firstLineChars="200"/>
        <w:rPr>
          <w:rFonts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9</w:t>
      </w:r>
      <w:r>
        <w:rPr>
          <w:rFonts w:ascii="Times New Roman" w:hAnsi="Times New Roman" w:eastAsia="仿宋_GB2312"/>
          <w:color w:val="auto"/>
          <w:spacing w:val="0"/>
          <w:sz w:val="32"/>
          <w:szCs w:val="32"/>
        </w:rPr>
        <w:t>.开展安全生产宣传教育培训</w:t>
      </w:r>
      <w:r>
        <w:rPr>
          <w:rFonts w:hint="eastAsia" w:ascii="Times New Roman" w:hAnsi="Times New Roman" w:eastAsia="仿宋_GB2312"/>
          <w:color w:val="auto"/>
          <w:spacing w:val="0"/>
          <w:sz w:val="32"/>
          <w:szCs w:val="32"/>
        </w:rPr>
        <w:t>86</w:t>
      </w:r>
      <w:r>
        <w:rPr>
          <w:rFonts w:ascii="Times New Roman" w:hAnsi="Times New Roman" w:eastAsia="仿宋_GB2312"/>
          <w:color w:val="auto"/>
          <w:spacing w:val="0"/>
          <w:sz w:val="32"/>
          <w:szCs w:val="32"/>
        </w:rPr>
        <w:t>天；</w:t>
      </w:r>
    </w:p>
    <w:p w14:paraId="3760AD34">
      <w:pPr>
        <w:autoSpaceDN w:val="0"/>
        <w:adjustRightInd w:val="0"/>
        <w:snapToGrid w:val="0"/>
        <w:spacing w:line="570" w:lineRule="exact"/>
        <w:ind w:firstLine="643" w:firstLineChars="200"/>
        <w:rPr>
          <w:rFonts w:ascii="Times New Roman" w:hAnsi="Times New Roman" w:eastAsia="楷体_GB2312"/>
          <w:b/>
          <w:color w:val="auto"/>
          <w:spacing w:val="0"/>
          <w:kern w:val="0"/>
          <w:sz w:val="32"/>
          <w:szCs w:val="32"/>
        </w:rPr>
      </w:pPr>
      <w:r>
        <w:rPr>
          <w:rFonts w:ascii="Times New Roman" w:hAnsi="Times New Roman" w:eastAsia="楷体_GB2312"/>
          <w:b/>
          <w:color w:val="auto"/>
          <w:spacing w:val="0"/>
          <w:kern w:val="0"/>
          <w:sz w:val="32"/>
          <w:szCs w:val="32"/>
        </w:rPr>
        <w:t>（</w:t>
      </w:r>
      <w:r>
        <w:rPr>
          <w:rFonts w:hint="eastAsia" w:ascii="Times New Roman" w:hAnsi="Times New Roman" w:eastAsia="楷体_GB2312"/>
          <w:b/>
          <w:color w:val="auto"/>
          <w:spacing w:val="0"/>
          <w:kern w:val="0"/>
          <w:sz w:val="32"/>
          <w:szCs w:val="32"/>
        </w:rPr>
        <w:t>三</w:t>
      </w:r>
      <w:r>
        <w:rPr>
          <w:rFonts w:ascii="Times New Roman" w:hAnsi="Times New Roman" w:eastAsia="楷体_GB2312"/>
          <w:b/>
          <w:color w:val="auto"/>
          <w:spacing w:val="0"/>
          <w:kern w:val="0"/>
          <w:sz w:val="32"/>
          <w:szCs w:val="32"/>
        </w:rPr>
        <w:t>）非执法工作</w:t>
      </w:r>
      <w:r>
        <w:rPr>
          <w:rFonts w:hint="eastAsia" w:ascii="Times New Roman" w:hAnsi="Times New Roman" w:eastAsia="楷体_GB2312"/>
          <w:b/>
          <w:color w:val="auto"/>
          <w:spacing w:val="0"/>
          <w:kern w:val="0"/>
          <w:sz w:val="32"/>
          <w:szCs w:val="32"/>
        </w:rPr>
        <w:t>954</w:t>
      </w:r>
      <w:r>
        <w:rPr>
          <w:rFonts w:ascii="Times New Roman" w:hAnsi="Times New Roman" w:eastAsia="楷体_GB2312"/>
          <w:b/>
          <w:color w:val="auto"/>
          <w:spacing w:val="0"/>
          <w:kern w:val="0"/>
          <w:sz w:val="32"/>
          <w:szCs w:val="32"/>
        </w:rPr>
        <w:t>日</w:t>
      </w:r>
    </w:p>
    <w:p w14:paraId="2390806F">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1.参加干部网络学习、应急管理网络学习及其它学习等预计用340天。</w:t>
      </w:r>
    </w:p>
    <w:p w14:paraId="6BCA0DBC">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2.参加会议预计用192天。</w:t>
      </w:r>
    </w:p>
    <w:p w14:paraId="66C6076A">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3.参加党群活动预计用96天。</w:t>
      </w:r>
    </w:p>
    <w:p w14:paraId="510FA6AB">
      <w:pPr>
        <w:widowControl/>
        <w:shd w:val="clear" w:color="auto" w:fill="FFFFFF"/>
        <w:spacing w:line="560" w:lineRule="exact"/>
        <w:ind w:firstLine="645"/>
        <w:rPr>
          <w:rFonts w:hint="eastAsia"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4.病假、事假、年休假等预计用188天。</w:t>
      </w:r>
    </w:p>
    <w:p w14:paraId="4DC64760">
      <w:pPr>
        <w:widowControl/>
        <w:shd w:val="clear" w:color="auto" w:fill="FFFFFF"/>
        <w:spacing w:line="560" w:lineRule="exact"/>
        <w:ind w:firstLine="645"/>
        <w:rPr>
          <w:rFonts w:ascii="Times New Roman" w:hAnsi="Times New Roman" w:eastAsia="仿宋_GB2312"/>
          <w:color w:val="auto"/>
          <w:spacing w:val="0"/>
          <w:sz w:val="32"/>
          <w:szCs w:val="32"/>
        </w:rPr>
      </w:pPr>
      <w:r>
        <w:rPr>
          <w:rFonts w:hint="eastAsia" w:ascii="Times New Roman" w:hAnsi="Times New Roman" w:eastAsia="仿宋_GB2312"/>
          <w:color w:val="auto"/>
          <w:spacing w:val="0"/>
          <w:sz w:val="32"/>
          <w:szCs w:val="32"/>
        </w:rPr>
        <w:t>5.配合上级部门工作预计用138天。</w:t>
      </w:r>
    </w:p>
    <w:p w14:paraId="6C280847">
      <w:pPr>
        <w:autoSpaceDN w:val="0"/>
        <w:adjustRightInd w:val="0"/>
        <w:snapToGrid w:val="0"/>
        <w:spacing w:line="570" w:lineRule="exact"/>
        <w:ind w:firstLine="643" w:firstLineChars="200"/>
        <w:rPr>
          <w:rFonts w:ascii="Times New Roman" w:hAnsi="Times New Roman" w:eastAsia="仿宋_GB2312"/>
          <w:b/>
          <w:color w:val="auto"/>
          <w:spacing w:val="0"/>
          <w:kern w:val="0"/>
          <w:sz w:val="32"/>
          <w:szCs w:val="32"/>
        </w:rPr>
      </w:pPr>
      <w:r>
        <w:rPr>
          <w:rFonts w:ascii="Times New Roman" w:hAnsi="Times New Roman" w:eastAsia="楷体_GB2312"/>
          <w:b/>
          <w:color w:val="auto"/>
          <w:spacing w:val="0"/>
          <w:kern w:val="0"/>
          <w:sz w:val="32"/>
          <w:szCs w:val="32"/>
        </w:rPr>
        <w:t>（</w:t>
      </w:r>
      <w:r>
        <w:rPr>
          <w:rFonts w:hint="eastAsia" w:ascii="Times New Roman" w:hAnsi="Times New Roman" w:eastAsia="楷体_GB2312"/>
          <w:b/>
          <w:color w:val="auto"/>
          <w:spacing w:val="0"/>
          <w:kern w:val="0"/>
          <w:sz w:val="32"/>
          <w:szCs w:val="32"/>
        </w:rPr>
        <w:t>四</w:t>
      </w:r>
      <w:r>
        <w:rPr>
          <w:rFonts w:ascii="Times New Roman" w:hAnsi="Times New Roman" w:eastAsia="楷体_GB2312"/>
          <w:b/>
          <w:color w:val="auto"/>
          <w:spacing w:val="0"/>
          <w:kern w:val="0"/>
          <w:sz w:val="32"/>
          <w:szCs w:val="32"/>
        </w:rPr>
        <w:t>）监督检查工作日：</w:t>
      </w:r>
      <w:r>
        <w:rPr>
          <w:rFonts w:hint="eastAsia" w:ascii="Times New Roman" w:hAnsi="Times New Roman" w:eastAsia="楷体_GB2312"/>
          <w:b/>
          <w:color w:val="auto"/>
          <w:spacing w:val="0"/>
          <w:kern w:val="0"/>
          <w:sz w:val="32"/>
          <w:szCs w:val="32"/>
        </w:rPr>
        <w:t>196</w:t>
      </w:r>
      <w:r>
        <w:rPr>
          <w:rFonts w:ascii="Times New Roman" w:hAnsi="Times New Roman" w:eastAsia="楷体_GB2312"/>
          <w:b/>
          <w:color w:val="auto"/>
          <w:spacing w:val="0"/>
          <w:kern w:val="0"/>
          <w:sz w:val="32"/>
          <w:szCs w:val="32"/>
        </w:rPr>
        <w:t>天</w:t>
      </w:r>
    </w:p>
    <w:p w14:paraId="0D0F675A">
      <w:pPr>
        <w:autoSpaceDN w:val="0"/>
        <w:adjustRightInd w:val="0"/>
        <w:snapToGrid w:val="0"/>
        <w:spacing w:line="570" w:lineRule="exact"/>
        <w:ind w:firstLine="640" w:firstLineChars="200"/>
        <w:rPr>
          <w:rFonts w:ascii="Times New Roman" w:hAnsi="Times New Roman" w:eastAsia="仿宋_GB2312"/>
          <w:color w:val="auto"/>
          <w:spacing w:val="0"/>
          <w:kern w:val="0"/>
          <w:sz w:val="32"/>
          <w:szCs w:val="32"/>
        </w:rPr>
      </w:pPr>
      <w:r>
        <w:rPr>
          <w:rFonts w:hint="eastAsia" w:ascii="Times New Roman" w:hAnsi="Times New Roman" w:eastAsia="仿宋_GB2312"/>
          <w:color w:val="auto"/>
          <w:spacing w:val="0"/>
          <w:kern w:val="0"/>
          <w:sz w:val="32"/>
          <w:szCs w:val="32"/>
        </w:rPr>
        <w:t>监督检查工作日=总法定工作日-其他执法工作日-非执法工作日=</w:t>
      </w:r>
      <w:r>
        <w:rPr>
          <w:rFonts w:hint="eastAsia" w:ascii="Times New Roman" w:hAnsi="Times New Roman" w:eastAsia="仿宋_GB2312"/>
          <w:color w:val="auto"/>
          <w:spacing w:val="0"/>
          <w:kern w:val="0"/>
          <w:sz w:val="32"/>
          <w:szCs w:val="32"/>
          <w:lang w:val="en-US" w:eastAsia="zh-CN"/>
        </w:rPr>
        <w:t>2728</w:t>
      </w:r>
      <w:r>
        <w:rPr>
          <w:rFonts w:hint="eastAsia" w:ascii="Times New Roman" w:hAnsi="Times New Roman" w:eastAsia="仿宋_GB2312"/>
          <w:color w:val="auto"/>
          <w:spacing w:val="0"/>
          <w:kern w:val="0"/>
          <w:sz w:val="32"/>
          <w:szCs w:val="32"/>
        </w:rPr>
        <w:t>-858-954=</w:t>
      </w:r>
      <w:r>
        <w:rPr>
          <w:rFonts w:hint="eastAsia" w:ascii="Times New Roman" w:hAnsi="Times New Roman" w:eastAsia="仿宋_GB2312"/>
          <w:color w:val="auto"/>
          <w:spacing w:val="0"/>
          <w:kern w:val="0"/>
          <w:sz w:val="32"/>
          <w:szCs w:val="32"/>
          <w:lang w:val="en-US" w:eastAsia="zh-CN"/>
        </w:rPr>
        <w:t>916</w:t>
      </w:r>
      <w:r>
        <w:rPr>
          <w:rFonts w:ascii="Times New Roman" w:hAnsi="Times New Roman" w:eastAsia="仿宋_GB2312"/>
          <w:color w:val="auto"/>
          <w:spacing w:val="0"/>
          <w:kern w:val="0"/>
          <w:sz w:val="32"/>
          <w:szCs w:val="32"/>
        </w:rPr>
        <w:t>（天）。</w:t>
      </w:r>
    </w:p>
    <w:p w14:paraId="4151040F">
      <w:pPr>
        <w:autoSpaceDN w:val="0"/>
        <w:adjustRightInd w:val="0"/>
        <w:snapToGrid w:val="0"/>
        <w:spacing w:line="570" w:lineRule="exact"/>
        <w:ind w:firstLine="640" w:firstLineChars="200"/>
        <w:rPr>
          <w:rFonts w:ascii="Times New Roman" w:hAnsi="Times New Roman" w:eastAsia="仿宋_GB2312"/>
          <w:color w:val="auto"/>
          <w:spacing w:val="0"/>
          <w:sz w:val="32"/>
          <w:szCs w:val="32"/>
        </w:rPr>
      </w:pPr>
      <w:r>
        <w:rPr>
          <w:rFonts w:ascii="Times New Roman" w:hAnsi="Times New Roman" w:eastAsia="仿宋_GB2312"/>
          <w:color w:val="auto"/>
          <w:spacing w:val="0"/>
          <w:kern w:val="0"/>
          <w:sz w:val="32"/>
          <w:szCs w:val="32"/>
        </w:rPr>
        <w:t>其中：重点检查工作日</w:t>
      </w:r>
      <w:r>
        <w:rPr>
          <w:rFonts w:hint="eastAsia" w:ascii="Times New Roman" w:hAnsi="Times New Roman" w:eastAsia="仿宋_GB2312"/>
          <w:color w:val="auto"/>
          <w:spacing w:val="0"/>
          <w:kern w:val="0"/>
          <w:sz w:val="32"/>
          <w:szCs w:val="32"/>
          <w:lang w:val="en-US" w:eastAsia="zh-CN"/>
        </w:rPr>
        <w:t>550</w:t>
      </w:r>
      <w:r>
        <w:rPr>
          <w:rFonts w:ascii="Times New Roman" w:hAnsi="Times New Roman" w:eastAsia="仿宋_GB2312"/>
          <w:color w:val="auto"/>
          <w:spacing w:val="0"/>
          <w:kern w:val="0"/>
          <w:sz w:val="32"/>
          <w:szCs w:val="32"/>
        </w:rPr>
        <w:t>天，一般检查工作日</w:t>
      </w:r>
      <w:r>
        <w:rPr>
          <w:rFonts w:hint="eastAsia" w:ascii="Times New Roman" w:hAnsi="Times New Roman" w:eastAsia="仿宋_GB2312"/>
          <w:color w:val="auto"/>
          <w:spacing w:val="0"/>
          <w:kern w:val="0"/>
          <w:sz w:val="32"/>
          <w:szCs w:val="32"/>
          <w:lang w:val="en-US" w:eastAsia="zh-CN"/>
        </w:rPr>
        <w:t>366</w:t>
      </w:r>
      <w:r>
        <w:rPr>
          <w:rFonts w:ascii="Times New Roman" w:hAnsi="Times New Roman" w:eastAsia="仿宋_GB2312"/>
          <w:color w:val="auto"/>
          <w:spacing w:val="0"/>
          <w:kern w:val="0"/>
          <w:sz w:val="32"/>
          <w:szCs w:val="32"/>
        </w:rPr>
        <w:t>天。</w:t>
      </w:r>
    </w:p>
    <w:p w14:paraId="7244099A">
      <w:pPr>
        <w:autoSpaceDN w:val="0"/>
        <w:adjustRightInd w:val="0"/>
        <w:snapToGrid w:val="0"/>
        <w:spacing w:line="570" w:lineRule="exact"/>
        <w:ind w:firstLine="643" w:firstLineChars="200"/>
        <w:rPr>
          <w:rFonts w:ascii="Times New Roman" w:hAnsi="Times New Roman" w:eastAsia="楷体_GB2312"/>
          <w:b/>
          <w:color w:val="auto"/>
          <w:spacing w:val="0"/>
          <w:kern w:val="0"/>
          <w:sz w:val="32"/>
          <w:szCs w:val="32"/>
        </w:rPr>
      </w:pPr>
      <w:r>
        <w:rPr>
          <w:rFonts w:ascii="Times New Roman" w:hAnsi="Times New Roman" w:eastAsia="楷体_GB2312"/>
          <w:b/>
          <w:color w:val="auto"/>
          <w:spacing w:val="0"/>
          <w:kern w:val="0"/>
          <w:sz w:val="32"/>
          <w:szCs w:val="32"/>
        </w:rPr>
        <w:t>（五）监督检查工作日测算说明</w:t>
      </w:r>
    </w:p>
    <w:p w14:paraId="7CFA99E1">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r>
        <w:rPr>
          <w:rFonts w:hint="eastAsia" w:ascii="Times New Roman" w:hAnsi="Times New Roman" w:eastAsia="仿宋_GB2312"/>
          <w:color w:val="auto"/>
          <w:spacing w:val="0"/>
          <w:kern w:val="0"/>
          <w:sz w:val="32"/>
          <w:szCs w:val="32"/>
        </w:rPr>
        <w:t>1</w:t>
      </w:r>
      <w:r>
        <w:rPr>
          <w:rFonts w:hint="eastAsia" w:ascii="Times New Roman" w:hAnsi="Times New Roman" w:eastAsia="仿宋_GB2312"/>
          <w:color w:val="auto"/>
          <w:spacing w:val="0"/>
          <w:kern w:val="0"/>
          <w:sz w:val="32"/>
          <w:szCs w:val="32"/>
          <w:lang w:val="en-US" w:eastAsia="zh-CN"/>
        </w:rPr>
        <w:t>.</w:t>
      </w:r>
      <w:r>
        <w:rPr>
          <w:rFonts w:hint="eastAsia" w:ascii="Times New Roman" w:hAnsi="Times New Roman" w:eastAsia="仿宋_GB2312"/>
          <w:color w:val="auto"/>
          <w:spacing w:val="0"/>
          <w:kern w:val="0"/>
          <w:sz w:val="32"/>
          <w:szCs w:val="32"/>
        </w:rPr>
        <w:t>危化、烟花爆竹监管监察</w:t>
      </w:r>
      <w:r>
        <w:rPr>
          <w:rFonts w:hint="eastAsia" w:ascii="Times New Roman" w:hAnsi="Times New Roman" w:eastAsia="仿宋_GB2312"/>
          <w:color w:val="auto"/>
          <w:spacing w:val="0"/>
          <w:kern w:val="0"/>
          <w:sz w:val="32"/>
          <w:szCs w:val="32"/>
          <w:lang w:val="en-US" w:eastAsia="zh-CN"/>
        </w:rPr>
        <w:t>股（监管一股）</w:t>
      </w:r>
      <w:r>
        <w:rPr>
          <w:rFonts w:hint="eastAsia" w:ascii="Times New Roman" w:hAnsi="Times New Roman" w:eastAsia="仿宋_GB2312"/>
          <w:color w:val="auto"/>
          <w:spacing w:val="0"/>
          <w:kern w:val="0"/>
          <w:sz w:val="32"/>
          <w:szCs w:val="32"/>
        </w:rPr>
        <w:t>重点监督检查企业</w:t>
      </w:r>
      <w:r>
        <w:rPr>
          <w:rFonts w:hint="eastAsia" w:ascii="Times New Roman" w:hAnsi="Times New Roman" w:eastAsia="仿宋_GB2312"/>
          <w:color w:val="auto"/>
          <w:spacing w:val="0"/>
          <w:kern w:val="0"/>
          <w:sz w:val="32"/>
          <w:szCs w:val="32"/>
          <w:lang w:val="en-US" w:eastAsia="zh-CN"/>
        </w:rPr>
        <w:t>8</w:t>
      </w:r>
      <w:r>
        <w:rPr>
          <w:rFonts w:hint="eastAsia" w:ascii="Times New Roman" w:hAnsi="Times New Roman" w:eastAsia="仿宋_GB2312"/>
          <w:color w:val="auto"/>
          <w:spacing w:val="0"/>
          <w:kern w:val="0"/>
          <w:sz w:val="32"/>
          <w:szCs w:val="32"/>
        </w:rPr>
        <w:t>家，一般监督检查企业</w:t>
      </w:r>
      <w:r>
        <w:rPr>
          <w:rFonts w:hint="eastAsia" w:ascii="Times New Roman" w:hAnsi="Times New Roman" w:eastAsia="仿宋_GB2312"/>
          <w:color w:val="auto"/>
          <w:spacing w:val="0"/>
          <w:kern w:val="0"/>
          <w:sz w:val="32"/>
          <w:szCs w:val="32"/>
          <w:lang w:eastAsia="zh-CN"/>
        </w:rPr>
        <w:t>、</w:t>
      </w:r>
      <w:r>
        <w:rPr>
          <w:rFonts w:hint="eastAsia" w:ascii="Times New Roman" w:hAnsi="Times New Roman" w:eastAsia="仿宋_GB2312"/>
          <w:color w:val="auto"/>
          <w:spacing w:val="0"/>
          <w:kern w:val="0"/>
          <w:sz w:val="32"/>
          <w:szCs w:val="32"/>
        </w:rPr>
        <w:t>年内随机抽查</w:t>
      </w:r>
      <w:r>
        <w:rPr>
          <w:rFonts w:hint="eastAsia" w:ascii="Times New Roman" w:hAnsi="Times New Roman" w:eastAsia="仿宋_GB2312"/>
          <w:color w:val="auto"/>
          <w:spacing w:val="0"/>
          <w:kern w:val="0"/>
          <w:sz w:val="32"/>
          <w:szCs w:val="32"/>
          <w:lang w:val="en-US" w:eastAsia="zh-CN"/>
        </w:rPr>
        <w:t>4</w:t>
      </w:r>
      <w:r>
        <w:rPr>
          <w:rFonts w:hint="eastAsia" w:ascii="Times New Roman" w:hAnsi="Times New Roman" w:eastAsia="仿宋_GB2312"/>
          <w:color w:val="auto"/>
          <w:spacing w:val="0"/>
          <w:kern w:val="0"/>
          <w:sz w:val="32"/>
          <w:szCs w:val="32"/>
        </w:rPr>
        <w:t>家，</w:t>
      </w:r>
      <w:r>
        <w:rPr>
          <w:rFonts w:ascii="Times New Roman" w:hAnsi="Times New Roman" w:eastAsia="仿宋" w:cs="仿宋"/>
          <w:color w:val="auto"/>
          <w:spacing w:val="0"/>
          <w:sz w:val="32"/>
          <w:szCs w:val="31"/>
        </w:rPr>
        <w:t>监督检查工作日为</w:t>
      </w:r>
      <w:r>
        <w:rPr>
          <w:rFonts w:hint="eastAsia" w:ascii="Times New Roman" w:hAnsi="Times New Roman" w:eastAsia="仿宋_GB2312"/>
          <w:color w:val="auto"/>
          <w:spacing w:val="0"/>
          <w:kern w:val="0"/>
          <w:sz w:val="32"/>
          <w:szCs w:val="32"/>
          <w:lang w:val="en-US" w:eastAsia="zh-CN"/>
        </w:rPr>
        <w:t>310</w:t>
      </w:r>
      <w:r>
        <w:rPr>
          <w:rFonts w:hint="eastAsia" w:ascii="Times New Roman" w:hAnsi="Times New Roman" w:eastAsia="仿宋" w:cs="仿宋"/>
          <w:color w:val="auto"/>
          <w:spacing w:val="0"/>
          <w:sz w:val="32"/>
          <w:szCs w:val="31"/>
          <w:lang w:val="en-US" w:eastAsia="zh-CN"/>
        </w:rPr>
        <w:t>天</w:t>
      </w:r>
      <w:r>
        <w:rPr>
          <w:rFonts w:hint="eastAsia" w:ascii="Times New Roman" w:hAnsi="Times New Roman" w:eastAsia="仿宋_GB2312"/>
          <w:color w:val="auto"/>
          <w:spacing w:val="0"/>
          <w:kern w:val="0"/>
          <w:sz w:val="32"/>
          <w:szCs w:val="32"/>
        </w:rPr>
        <w:t>。</w:t>
      </w:r>
    </w:p>
    <w:p w14:paraId="39F5FC61">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r>
        <w:rPr>
          <w:rFonts w:hint="eastAsia" w:ascii="Times New Roman" w:hAnsi="Times New Roman" w:eastAsia="仿宋_GB2312"/>
          <w:color w:val="auto"/>
          <w:spacing w:val="0"/>
          <w:kern w:val="0"/>
          <w:sz w:val="32"/>
          <w:szCs w:val="32"/>
        </w:rPr>
        <w:t>2.工商贸监管监察科室</w:t>
      </w:r>
      <w:r>
        <w:rPr>
          <w:rFonts w:hint="eastAsia" w:ascii="Times New Roman" w:hAnsi="Times New Roman" w:eastAsia="仿宋_GB2312"/>
          <w:color w:val="auto"/>
          <w:spacing w:val="0"/>
          <w:kern w:val="0"/>
          <w:sz w:val="32"/>
          <w:szCs w:val="32"/>
          <w:lang w:val="en-US" w:eastAsia="zh-CN"/>
        </w:rPr>
        <w:t>（监管二股）</w:t>
      </w:r>
      <w:r>
        <w:rPr>
          <w:rFonts w:hint="eastAsia" w:ascii="Times New Roman" w:hAnsi="Times New Roman" w:eastAsia="仿宋_GB2312"/>
          <w:color w:val="auto"/>
          <w:spacing w:val="0"/>
          <w:kern w:val="0"/>
          <w:sz w:val="32"/>
          <w:szCs w:val="32"/>
        </w:rPr>
        <w:t>重点监督检查企业</w:t>
      </w:r>
      <w:r>
        <w:rPr>
          <w:rFonts w:hint="eastAsia" w:ascii="Times New Roman" w:hAnsi="Times New Roman" w:eastAsia="仿宋_GB2312"/>
          <w:color w:val="auto"/>
          <w:spacing w:val="0"/>
          <w:kern w:val="0"/>
          <w:sz w:val="32"/>
          <w:szCs w:val="32"/>
          <w:lang w:val="en-US" w:eastAsia="zh-CN"/>
        </w:rPr>
        <w:t>9</w:t>
      </w:r>
      <w:r>
        <w:rPr>
          <w:rFonts w:hint="eastAsia" w:ascii="Times New Roman" w:hAnsi="Times New Roman" w:eastAsia="仿宋_GB2312"/>
          <w:color w:val="auto"/>
          <w:spacing w:val="0"/>
          <w:kern w:val="0"/>
          <w:sz w:val="32"/>
          <w:szCs w:val="32"/>
        </w:rPr>
        <w:t>家，一般监督检查企业</w:t>
      </w:r>
      <w:r>
        <w:rPr>
          <w:rFonts w:hint="eastAsia" w:ascii="Times New Roman" w:hAnsi="Times New Roman" w:eastAsia="仿宋_GB2312"/>
          <w:color w:val="auto"/>
          <w:spacing w:val="0"/>
          <w:kern w:val="0"/>
          <w:sz w:val="32"/>
          <w:szCs w:val="32"/>
          <w:lang w:eastAsia="zh-CN"/>
        </w:rPr>
        <w:t>、</w:t>
      </w:r>
      <w:r>
        <w:rPr>
          <w:rFonts w:hint="eastAsia" w:ascii="Times New Roman" w:hAnsi="Times New Roman" w:eastAsia="仿宋_GB2312"/>
          <w:color w:val="auto"/>
          <w:spacing w:val="0"/>
          <w:kern w:val="0"/>
          <w:sz w:val="32"/>
          <w:szCs w:val="32"/>
        </w:rPr>
        <w:t>年内随机抽查</w:t>
      </w:r>
      <w:r>
        <w:rPr>
          <w:rFonts w:hint="eastAsia" w:ascii="Times New Roman" w:hAnsi="Times New Roman" w:eastAsia="仿宋_GB2312"/>
          <w:color w:val="auto"/>
          <w:spacing w:val="0"/>
          <w:kern w:val="0"/>
          <w:sz w:val="32"/>
          <w:szCs w:val="32"/>
          <w:lang w:val="en-US" w:eastAsia="zh-CN"/>
        </w:rPr>
        <w:t>6</w:t>
      </w:r>
      <w:r>
        <w:rPr>
          <w:rFonts w:hint="eastAsia" w:ascii="Times New Roman" w:hAnsi="Times New Roman" w:eastAsia="仿宋_GB2312"/>
          <w:color w:val="auto"/>
          <w:spacing w:val="0"/>
          <w:kern w:val="0"/>
          <w:sz w:val="32"/>
          <w:szCs w:val="32"/>
        </w:rPr>
        <w:t>家，</w:t>
      </w:r>
      <w:r>
        <w:rPr>
          <w:rFonts w:ascii="Times New Roman" w:hAnsi="Times New Roman" w:eastAsia="仿宋" w:cs="仿宋"/>
          <w:color w:val="auto"/>
          <w:spacing w:val="0"/>
          <w:sz w:val="32"/>
          <w:szCs w:val="31"/>
        </w:rPr>
        <w:t>监督检查工作日为</w:t>
      </w:r>
      <w:r>
        <w:rPr>
          <w:rFonts w:hint="eastAsia" w:ascii="Times New Roman" w:hAnsi="Times New Roman" w:eastAsia="仿宋" w:cs="仿宋"/>
          <w:color w:val="auto"/>
          <w:spacing w:val="0"/>
          <w:sz w:val="32"/>
          <w:szCs w:val="31"/>
          <w:lang w:val="en-US" w:eastAsia="zh-CN"/>
        </w:rPr>
        <w:t>606</w:t>
      </w:r>
      <w:r>
        <w:rPr>
          <w:rFonts w:ascii="Times New Roman" w:hAnsi="Times New Roman" w:eastAsia="仿宋" w:cs="仿宋"/>
          <w:color w:val="auto"/>
          <w:spacing w:val="0"/>
          <w:sz w:val="32"/>
          <w:szCs w:val="31"/>
        </w:rPr>
        <w:t>天</w:t>
      </w:r>
      <w:r>
        <w:rPr>
          <w:rFonts w:hint="eastAsia" w:ascii="Times New Roman" w:hAnsi="Times New Roman" w:eastAsia="仿宋_GB2312"/>
          <w:color w:val="auto"/>
          <w:spacing w:val="0"/>
          <w:kern w:val="0"/>
          <w:sz w:val="32"/>
          <w:szCs w:val="32"/>
        </w:rPr>
        <w:t>。</w:t>
      </w:r>
    </w:p>
    <w:p w14:paraId="4B735866">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p>
    <w:p w14:paraId="59400EAA">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p>
    <w:p w14:paraId="1CE007C7">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p>
    <w:p w14:paraId="7C1F70E5">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p>
    <w:p w14:paraId="6E294881">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p>
    <w:p w14:paraId="7F53ADA3">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p>
    <w:p w14:paraId="1331953A">
      <w:pPr>
        <w:widowControl/>
        <w:shd w:val="clear" w:color="auto" w:fill="FFFFFF"/>
        <w:spacing w:line="560" w:lineRule="exact"/>
        <w:ind w:firstLine="645"/>
        <w:rPr>
          <w:rFonts w:hint="eastAsia" w:ascii="Times New Roman" w:hAnsi="Times New Roman" w:eastAsia="仿宋_GB2312"/>
          <w:color w:val="auto"/>
          <w:spacing w:val="0"/>
          <w:kern w:val="0"/>
          <w:sz w:val="32"/>
          <w:szCs w:val="32"/>
        </w:rPr>
      </w:pPr>
    </w:p>
    <w:p w14:paraId="08174F40">
      <w:pPr>
        <w:rPr>
          <w:rFonts w:hint="eastAsia" w:ascii="黑体" w:hAnsi="黑体" w:eastAsia="黑体" w:cs="黑体"/>
          <w:sz w:val="32"/>
          <w:szCs w:val="32"/>
          <w:lang w:val="en-US" w:eastAsia="zh-CN"/>
        </w:rPr>
      </w:pPr>
    </w:p>
    <w:p w14:paraId="08448338">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DF45115">
      <w:pPr>
        <w:spacing w:before="143" w:line="219" w:lineRule="auto"/>
        <w:jc w:val="center"/>
        <w:rPr>
          <w:rFonts w:ascii="宋体" w:hAnsi="宋体" w:eastAsia="宋体" w:cs="宋体"/>
          <w:spacing w:val="0"/>
          <w:sz w:val="44"/>
          <w:szCs w:val="44"/>
        </w:rPr>
      </w:pPr>
      <w:r>
        <w:rPr>
          <w:rFonts w:ascii="宋体" w:hAnsi="宋体" w:eastAsia="宋体" w:cs="宋体"/>
          <w:b/>
          <w:bCs/>
          <w:spacing w:val="0"/>
          <w:sz w:val="44"/>
          <w:szCs w:val="44"/>
        </w:rPr>
        <w:t>危险化学品行业监督检查计划安排</w:t>
      </w:r>
    </w:p>
    <w:p w14:paraId="4B12D738">
      <w:pPr>
        <w:pStyle w:val="2"/>
        <w:spacing w:line="294" w:lineRule="auto"/>
        <w:rPr>
          <w:spacing w:val="0"/>
        </w:rPr>
      </w:pPr>
    </w:p>
    <w:p w14:paraId="6A76622B">
      <w:pPr>
        <w:pStyle w:val="2"/>
        <w:spacing w:line="295" w:lineRule="auto"/>
        <w:rPr>
          <w:spacing w:val="0"/>
        </w:rPr>
      </w:pPr>
    </w:p>
    <w:p w14:paraId="2091F1ED">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ascii="黑体" w:hAnsi="黑体" w:eastAsia="黑体" w:cs="黑体"/>
          <w:b w:val="0"/>
          <w:bCs w:val="0"/>
          <w:color w:val="auto"/>
          <w:spacing w:val="0"/>
          <w:sz w:val="32"/>
          <w:szCs w:val="31"/>
        </w:rPr>
      </w:pPr>
      <w:r>
        <w:rPr>
          <w:rFonts w:ascii="黑体" w:hAnsi="黑体" w:eastAsia="黑体" w:cs="黑体"/>
          <w:b w:val="0"/>
          <w:bCs w:val="0"/>
          <w:color w:val="auto"/>
          <w:spacing w:val="0"/>
          <w:sz w:val="32"/>
          <w:szCs w:val="31"/>
        </w:rPr>
        <w:t>一 、重点检查内容</w:t>
      </w:r>
    </w:p>
    <w:p w14:paraId="39F89EBA">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ascii="仿宋" w:hAnsi="仿宋" w:eastAsia="仿宋" w:cs="仿宋"/>
          <w:color w:val="auto"/>
          <w:spacing w:val="0"/>
          <w:sz w:val="32"/>
          <w:szCs w:val="31"/>
        </w:rPr>
      </w:pPr>
      <w:r>
        <w:rPr>
          <w:rFonts w:ascii="仿宋" w:hAnsi="仿宋" w:eastAsia="仿宋" w:cs="仿宋"/>
          <w:color w:val="auto"/>
          <w:spacing w:val="0"/>
          <w:sz w:val="32"/>
          <w:szCs w:val="31"/>
        </w:rPr>
        <w:t>以《化工和危险化学品生产经营单位重大生产安全事故隐患判定标准(试行)》为执法重点，加强对企业贯彻《河北省安全生产举报和奖励办法》落实情况，突出主要负责人履职尽责、双重预防机制建设、安全设施“三同时”落实、安全生产标准化建设以及安全技术服务事项、企业落实安全生产举报奖励、一线员工岗位风险管控、安全生产视频监控全覆盖、企业重点工艺和重大危险源管理重大危险源监管、爆炸危险区域人员风险管控、外委施工和检维修作业、应急管理、教育培训等情况开展执法检查。</w:t>
      </w:r>
    </w:p>
    <w:p w14:paraId="2F3C8756">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ascii="黑体" w:hAnsi="黑体" w:eastAsia="黑体" w:cs="黑体"/>
          <w:b w:val="0"/>
          <w:bCs w:val="0"/>
          <w:color w:val="auto"/>
          <w:spacing w:val="0"/>
          <w:sz w:val="32"/>
          <w:szCs w:val="31"/>
        </w:rPr>
      </w:pPr>
      <w:r>
        <w:rPr>
          <w:rFonts w:ascii="黑体" w:hAnsi="黑体" w:eastAsia="黑体" w:cs="黑体"/>
          <w:b w:val="0"/>
          <w:bCs w:val="0"/>
          <w:color w:val="auto"/>
          <w:spacing w:val="0"/>
          <w:sz w:val="32"/>
          <w:szCs w:val="31"/>
        </w:rPr>
        <w:t>二、执法检查安排</w:t>
      </w:r>
    </w:p>
    <w:p w14:paraId="7A08A122">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hint="eastAsia" w:ascii="仿宋" w:hAnsi="仿宋" w:eastAsia="仿宋" w:cs="仿宋"/>
          <w:color w:val="FF0000"/>
          <w:spacing w:val="0"/>
          <w:sz w:val="32"/>
          <w:szCs w:val="31"/>
          <w:lang w:val="en-US" w:eastAsia="zh-CN"/>
        </w:rPr>
      </w:pPr>
      <w:r>
        <w:rPr>
          <w:rFonts w:ascii="楷体" w:hAnsi="楷体" w:eastAsia="楷体" w:cs="楷体"/>
          <w:color w:val="auto"/>
          <w:spacing w:val="0"/>
          <w:sz w:val="32"/>
          <w:szCs w:val="31"/>
        </w:rPr>
        <w:t>(一)现场执法检查安排</w:t>
      </w:r>
      <w:r>
        <w:rPr>
          <w:rFonts w:ascii="仿宋" w:hAnsi="仿宋" w:eastAsia="仿宋" w:cs="仿宋"/>
          <w:color w:val="auto"/>
          <w:spacing w:val="0"/>
          <w:sz w:val="32"/>
          <w:szCs w:val="31"/>
        </w:rPr>
        <w:t>。全年计划执法检查企业</w:t>
      </w:r>
      <w:r>
        <w:rPr>
          <w:rFonts w:hint="eastAsia" w:ascii="仿宋" w:hAnsi="仿宋" w:eastAsia="仿宋" w:cs="仿宋"/>
          <w:color w:val="auto"/>
          <w:spacing w:val="0"/>
          <w:sz w:val="32"/>
          <w:szCs w:val="31"/>
          <w:lang w:val="en-US" w:eastAsia="zh-CN"/>
        </w:rPr>
        <w:t>12</w:t>
      </w:r>
      <w:r>
        <w:rPr>
          <w:rFonts w:ascii="仿宋" w:hAnsi="仿宋" w:eastAsia="仿宋" w:cs="仿宋"/>
          <w:color w:val="auto"/>
          <w:spacing w:val="0"/>
          <w:sz w:val="32"/>
          <w:szCs w:val="31"/>
        </w:rPr>
        <w:t>家</w:t>
      </w:r>
      <w:r>
        <w:rPr>
          <w:rFonts w:hint="eastAsia" w:ascii="仿宋" w:hAnsi="仿宋" w:eastAsia="仿宋" w:cs="仿宋"/>
          <w:color w:val="auto"/>
          <w:spacing w:val="0"/>
          <w:sz w:val="32"/>
          <w:szCs w:val="31"/>
          <w:lang w:eastAsia="zh-CN"/>
        </w:rPr>
        <w:t>。</w:t>
      </w:r>
      <w:r>
        <w:rPr>
          <w:rFonts w:ascii="仿宋" w:hAnsi="仿宋" w:eastAsia="仿宋" w:cs="仿宋"/>
          <w:color w:val="auto"/>
          <w:spacing w:val="0"/>
          <w:sz w:val="32"/>
          <w:szCs w:val="31"/>
        </w:rPr>
        <w:t>其中重点执法检查</w:t>
      </w:r>
      <w:r>
        <w:rPr>
          <w:rFonts w:hint="eastAsia" w:ascii="仿宋" w:hAnsi="仿宋" w:eastAsia="仿宋" w:cs="仿宋"/>
          <w:color w:val="auto"/>
          <w:spacing w:val="0"/>
          <w:sz w:val="32"/>
          <w:szCs w:val="31"/>
          <w:lang w:val="en-US" w:eastAsia="zh-CN"/>
        </w:rPr>
        <w:t>8</w:t>
      </w:r>
      <w:r>
        <w:rPr>
          <w:rFonts w:ascii="仿宋" w:hAnsi="仿宋" w:eastAsia="仿宋" w:cs="仿宋"/>
          <w:color w:val="auto"/>
          <w:spacing w:val="0"/>
          <w:sz w:val="32"/>
          <w:szCs w:val="31"/>
        </w:rPr>
        <w:t>家，采取“双随机、一公开”抽查</w:t>
      </w:r>
      <w:r>
        <w:rPr>
          <w:rFonts w:hint="eastAsia" w:ascii="仿宋" w:hAnsi="仿宋" w:eastAsia="仿宋" w:cs="仿宋"/>
          <w:color w:val="auto"/>
          <w:spacing w:val="0"/>
          <w:sz w:val="32"/>
          <w:szCs w:val="31"/>
          <w:lang w:val="en-US" w:eastAsia="zh-CN"/>
        </w:rPr>
        <w:t>4</w:t>
      </w:r>
      <w:r>
        <w:rPr>
          <w:rFonts w:ascii="仿宋" w:hAnsi="仿宋" w:eastAsia="仿宋" w:cs="仿宋"/>
          <w:color w:val="auto"/>
          <w:spacing w:val="0"/>
          <w:sz w:val="32"/>
          <w:szCs w:val="31"/>
        </w:rPr>
        <w:t>家。</w:t>
      </w:r>
      <w:r>
        <w:rPr>
          <w:rFonts w:hint="eastAsia" w:ascii="仿宋" w:hAnsi="仿宋" w:eastAsia="仿宋" w:cs="仿宋"/>
          <w:color w:val="auto"/>
          <w:spacing w:val="0"/>
          <w:sz w:val="32"/>
          <w:szCs w:val="31"/>
          <w:lang w:val="en-US" w:eastAsia="zh-CN"/>
        </w:rPr>
        <w:t xml:space="preserve"> </w:t>
      </w:r>
      <w:r>
        <w:rPr>
          <w:rFonts w:hint="eastAsia" w:ascii="仿宋" w:hAnsi="仿宋" w:eastAsia="仿宋" w:cs="仿宋"/>
          <w:color w:val="FF0000"/>
          <w:spacing w:val="0"/>
          <w:sz w:val="32"/>
          <w:szCs w:val="31"/>
          <w:lang w:val="en-US" w:eastAsia="zh-CN"/>
        </w:rPr>
        <w:t xml:space="preserve"> </w:t>
      </w:r>
    </w:p>
    <w:p w14:paraId="3BD377F1">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ascii="仿宋" w:hAnsi="仿宋" w:eastAsia="仿宋" w:cs="仿宋"/>
          <w:color w:val="auto"/>
          <w:spacing w:val="0"/>
          <w:sz w:val="32"/>
          <w:szCs w:val="31"/>
        </w:rPr>
      </w:pPr>
      <w:r>
        <w:rPr>
          <w:rFonts w:ascii="楷体" w:hAnsi="楷体" w:eastAsia="楷体" w:cs="楷体"/>
          <w:color w:val="auto"/>
          <w:spacing w:val="0"/>
          <w:sz w:val="32"/>
          <w:szCs w:val="31"/>
        </w:rPr>
        <w:t>(二)线上巡查安排。</w:t>
      </w:r>
      <w:r>
        <w:rPr>
          <w:rFonts w:ascii="仿宋" w:hAnsi="仿宋" w:eastAsia="仿宋" w:cs="仿宋"/>
          <w:color w:val="auto"/>
          <w:spacing w:val="0"/>
          <w:sz w:val="32"/>
          <w:szCs w:val="31"/>
        </w:rPr>
        <w:t>巡查重点内容：一是视频点位是否离线</w:t>
      </w:r>
      <w:r>
        <w:rPr>
          <w:rFonts w:hint="eastAsia" w:ascii="仿宋" w:hAnsi="仿宋" w:eastAsia="仿宋" w:cs="仿宋"/>
          <w:color w:val="auto"/>
          <w:spacing w:val="0"/>
          <w:sz w:val="32"/>
          <w:szCs w:val="31"/>
          <w:lang w:eastAsia="zh-CN"/>
        </w:rPr>
        <w:t>，</w:t>
      </w:r>
      <w:r>
        <w:rPr>
          <w:rFonts w:ascii="仿宋" w:hAnsi="仿宋" w:eastAsia="仿宋" w:cs="仿宋"/>
          <w:color w:val="auto"/>
          <w:spacing w:val="0"/>
          <w:sz w:val="32"/>
          <w:szCs w:val="31"/>
        </w:rPr>
        <w:t>是否存在等待时间过长问题。二是视频点位画面是否清晰，视频点位是否按照要求覆盖所有重点作业场所，监控拍摄的角度是否能够覆盖主要作业区域。三是中控室是否存在人员脱岗、睡岗、玩岗等违规行为。四是作业场所是否存在违反法律法规、劳动纪律行为。五是作业场所设备设施等是否存在明显问题隐患。</w:t>
      </w:r>
    </w:p>
    <w:p w14:paraId="56362939">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ascii="黑体" w:hAnsi="黑体" w:eastAsia="黑体" w:cs="黑体"/>
          <w:b w:val="0"/>
          <w:bCs w:val="0"/>
          <w:color w:val="auto"/>
          <w:spacing w:val="0"/>
          <w:sz w:val="32"/>
          <w:szCs w:val="31"/>
        </w:rPr>
      </w:pPr>
      <w:r>
        <w:rPr>
          <w:rFonts w:ascii="黑体" w:hAnsi="黑体" w:eastAsia="黑体" w:cs="黑体"/>
          <w:b w:val="0"/>
          <w:bCs w:val="0"/>
          <w:color w:val="auto"/>
          <w:spacing w:val="0"/>
          <w:sz w:val="32"/>
          <w:szCs w:val="31"/>
        </w:rPr>
        <w:t>三、执法工作措施</w:t>
      </w:r>
    </w:p>
    <w:p w14:paraId="186B023A">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ascii="仿宋" w:hAnsi="仿宋" w:eastAsia="仿宋" w:cs="仿宋"/>
          <w:color w:val="auto"/>
          <w:spacing w:val="0"/>
          <w:sz w:val="32"/>
          <w:szCs w:val="31"/>
        </w:rPr>
      </w:pPr>
      <w:r>
        <w:rPr>
          <w:rFonts w:ascii="楷体" w:hAnsi="楷体" w:eastAsia="楷体" w:cs="楷体"/>
          <w:color w:val="auto"/>
          <w:spacing w:val="0"/>
          <w:sz w:val="32"/>
          <w:szCs w:val="31"/>
        </w:rPr>
        <w:t>(一)突出重点，严防事故</w:t>
      </w:r>
      <w:r>
        <w:rPr>
          <w:rFonts w:ascii="仿宋" w:hAnsi="仿宋" w:eastAsia="仿宋" w:cs="仿宋"/>
          <w:color w:val="auto"/>
          <w:spacing w:val="0"/>
          <w:sz w:val="32"/>
          <w:szCs w:val="31"/>
        </w:rPr>
        <w:t>。一是突出重点企业。将外委施工和检维修较多的企业、2024年</w:t>
      </w:r>
      <w:r>
        <w:rPr>
          <w:rFonts w:hint="eastAsia" w:ascii="仿宋" w:hAnsi="仿宋" w:eastAsia="仿宋" w:cs="仿宋"/>
          <w:color w:val="auto"/>
          <w:spacing w:val="0"/>
          <w:sz w:val="32"/>
          <w:szCs w:val="31"/>
          <w:lang w:val="en-US" w:eastAsia="zh-CN"/>
        </w:rPr>
        <w:t>县</w:t>
      </w:r>
      <w:r>
        <w:rPr>
          <w:rFonts w:ascii="仿宋" w:hAnsi="仿宋" w:eastAsia="仿宋" w:cs="仿宋"/>
          <w:color w:val="auto"/>
          <w:spacing w:val="0"/>
          <w:sz w:val="32"/>
          <w:szCs w:val="31"/>
        </w:rPr>
        <w:t>应急管理局执法检查处理后仍不放心企业、固有风险较高，一旦发生事故后影响较大的易燃易爆企业、突出安全管理基础薄弱企业、规模较小风险较大</w:t>
      </w:r>
      <w:r>
        <w:rPr>
          <w:rFonts w:hint="eastAsia" w:ascii="仿宋" w:hAnsi="仿宋" w:eastAsia="仿宋" w:cs="仿宋"/>
          <w:color w:val="auto"/>
          <w:spacing w:val="0"/>
          <w:sz w:val="32"/>
          <w:szCs w:val="31"/>
          <w:lang w:val="en-US" w:eastAsia="zh-CN"/>
        </w:rPr>
        <w:t>县</w:t>
      </w:r>
      <w:r>
        <w:rPr>
          <w:rFonts w:ascii="仿宋" w:hAnsi="仿宋" w:eastAsia="仿宋" w:cs="仿宋"/>
          <w:color w:val="auto"/>
          <w:spacing w:val="0"/>
          <w:sz w:val="32"/>
          <w:szCs w:val="31"/>
        </w:rPr>
        <w:t>局日常执法督导检查频次较少等5类企业作为2025年重点执法企业。二是突出重点内容。将企业“五室”搬迁、四库”整治、精细化工“四个清零”、企业主体责任落实、举报奖励制度落实、一线员工岗位风险管控、安全生产视频监控全覆盖、企业重点工艺和重大危险源管理重大危险源监管、爆炸危险区域人员风险管控等作为日常执法重点内容，紧盯重大风险隐患，紧盯易发生群死群伤企业中涉氯</w:t>
      </w:r>
      <w:r>
        <w:rPr>
          <w:rFonts w:hint="eastAsia" w:ascii="仿宋" w:hAnsi="仿宋" w:eastAsia="仿宋" w:cs="仿宋"/>
          <w:color w:val="auto"/>
          <w:spacing w:val="0"/>
          <w:sz w:val="32"/>
          <w:szCs w:val="31"/>
          <w:lang w:eastAsia="zh-CN"/>
        </w:rPr>
        <w:t>、</w:t>
      </w:r>
      <w:r>
        <w:rPr>
          <w:rFonts w:ascii="仿宋" w:hAnsi="仿宋" w:eastAsia="仿宋" w:cs="仿宋"/>
          <w:color w:val="auto"/>
          <w:spacing w:val="0"/>
          <w:sz w:val="32"/>
          <w:szCs w:val="31"/>
        </w:rPr>
        <w:t>涉氨、制氢、煤气等涉爆、有毒有害企业的风险环节，精准靶向施策，逐一重点攻坚。</w:t>
      </w:r>
    </w:p>
    <w:p w14:paraId="78C534EE">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ascii="仿宋" w:hAnsi="仿宋" w:eastAsia="仿宋" w:cs="仿宋"/>
          <w:color w:val="auto"/>
          <w:spacing w:val="0"/>
          <w:sz w:val="32"/>
          <w:szCs w:val="31"/>
        </w:rPr>
      </w:pPr>
      <w:r>
        <w:rPr>
          <w:rFonts w:ascii="楷体" w:hAnsi="楷体" w:eastAsia="楷体" w:cs="楷体"/>
          <w:color w:val="auto"/>
          <w:spacing w:val="0"/>
          <w:sz w:val="32"/>
          <w:szCs w:val="31"/>
        </w:rPr>
        <w:t>(二)严格程序，规范执法。</w:t>
      </w:r>
      <w:r>
        <w:rPr>
          <w:rFonts w:ascii="仿宋" w:hAnsi="仿宋" w:eastAsia="仿宋" w:cs="仿宋"/>
          <w:color w:val="auto"/>
          <w:spacing w:val="0"/>
          <w:sz w:val="32"/>
          <w:szCs w:val="31"/>
        </w:rPr>
        <w:t>采取明查暗访、随机抽查、交叉检查、回头复查以及线上巡查、线下复核等方式进行。严格按照入企“四必查”要求，在执法过程中切实做到“不自行其是、不绕着问题走”,在深入查找企业重大风险管控点和重大隐患方面下功夫，加大对企业非法违法行为的打击力度。坚持“逢查必考”,检验企业主要负责人、管理层以及重点岗位人员安全履职能力。对现场检查发现的问题和隐患，必须当即提出处理意见，严格依法依规处理处罚。着力整治企业主要负责人不到岗不履职、重大风险隐患长期得不到有效治理等突出问题，对发现的问题隐患和违法违规行为开展责任倒查。要切实通过本次检查，依法严惩一批违法违规行为，彻底治理一批重大隐患</w:t>
      </w:r>
      <w:r>
        <w:rPr>
          <w:rFonts w:hint="eastAsia" w:ascii="仿宋" w:hAnsi="仿宋" w:eastAsia="仿宋" w:cs="仿宋"/>
          <w:color w:val="auto"/>
          <w:spacing w:val="0"/>
          <w:sz w:val="32"/>
          <w:szCs w:val="31"/>
          <w:lang w:eastAsia="zh-CN"/>
        </w:rPr>
        <w:t>，</w:t>
      </w:r>
      <w:r>
        <w:rPr>
          <w:rFonts w:ascii="仿宋" w:hAnsi="仿宋" w:eastAsia="仿宋" w:cs="仿宋"/>
          <w:color w:val="auto"/>
          <w:spacing w:val="0"/>
          <w:sz w:val="32"/>
          <w:szCs w:val="31"/>
        </w:rPr>
        <w:t>联合惩戒一 批严重失信企业，问责曝光一批责任不落实</w:t>
      </w:r>
      <w:r>
        <w:rPr>
          <w:rFonts w:hint="eastAsia" w:ascii="仿宋" w:hAnsi="仿宋" w:eastAsia="仿宋" w:cs="仿宋"/>
          <w:color w:val="auto"/>
          <w:spacing w:val="0"/>
          <w:sz w:val="32"/>
          <w:szCs w:val="31"/>
          <w:lang w:eastAsia="zh-CN"/>
        </w:rPr>
        <w:t>、</w:t>
      </w:r>
      <w:r>
        <w:rPr>
          <w:rFonts w:ascii="仿宋" w:hAnsi="仿宋" w:eastAsia="仿宋" w:cs="仿宋"/>
          <w:color w:val="auto"/>
          <w:spacing w:val="0"/>
          <w:sz w:val="32"/>
          <w:szCs w:val="31"/>
        </w:rPr>
        <w:t>措施执行不得力的 单位和个人。</w:t>
      </w:r>
    </w:p>
    <w:p w14:paraId="42FB4F66">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color w:val="auto"/>
          <w:spacing w:val="0"/>
          <w:sz w:val="32"/>
        </w:rPr>
      </w:pPr>
      <w:r>
        <w:rPr>
          <w:rFonts w:ascii="楷体" w:hAnsi="楷体" w:eastAsia="楷体" w:cs="楷体"/>
          <w:color w:val="auto"/>
          <w:spacing w:val="0"/>
          <w:sz w:val="32"/>
          <w:szCs w:val="31"/>
        </w:rPr>
        <w:t>(三)加强宣传，提升成效。</w:t>
      </w:r>
      <w:r>
        <w:rPr>
          <w:rFonts w:ascii="仿宋" w:hAnsi="仿宋" w:eastAsia="仿宋" w:cs="仿宋"/>
          <w:color w:val="auto"/>
          <w:spacing w:val="0"/>
          <w:sz w:val="32"/>
          <w:szCs w:val="31"/>
        </w:rPr>
        <w:t>充分利用网站平台、自媒体等各种宣传手段，进行广泛发动，形成声势，营造“人人讲安全、个个会应急”良好氛围。及时总结经验，加大先进典型经验交流推广和反面典型案例曝光力度，加强示范引领和警示教育。鼓励群众通过“12350”等举报电话举报重大隐患、违法违规行为，时按规定兑现举报奖励</w:t>
      </w:r>
      <w:r>
        <w:rPr>
          <w:rFonts w:hint="eastAsia" w:ascii="仿宋" w:hAnsi="仿宋" w:eastAsia="仿宋" w:cs="仿宋"/>
          <w:color w:val="auto"/>
          <w:spacing w:val="0"/>
          <w:sz w:val="32"/>
          <w:szCs w:val="31"/>
          <w:lang w:eastAsia="zh-CN"/>
        </w:rPr>
        <w:t>。</w:t>
      </w:r>
    </w:p>
    <w:p w14:paraId="6E183F11">
      <w:pPr>
        <w:widowControl/>
        <w:shd w:val="clear" w:color="auto" w:fill="FFFFFF"/>
        <w:spacing w:line="560" w:lineRule="exact"/>
        <w:rPr>
          <w:rFonts w:hint="eastAsia" w:ascii="Times New Roman" w:hAnsi="Times New Roman" w:eastAsia="仿宋_GB2312"/>
          <w:color w:val="auto"/>
          <w:spacing w:val="0"/>
          <w:kern w:val="0"/>
          <w:sz w:val="32"/>
          <w:szCs w:val="32"/>
        </w:rPr>
      </w:pPr>
    </w:p>
    <w:p w14:paraId="7351D326">
      <w:pPr>
        <w:widowControl/>
        <w:shd w:val="clear" w:color="auto" w:fill="FFFFFF"/>
        <w:spacing w:line="560" w:lineRule="exact"/>
        <w:rPr>
          <w:rFonts w:hint="eastAsia" w:ascii="Times New Roman" w:hAnsi="Times New Roman" w:eastAsia="仿宋_GB2312"/>
          <w:color w:val="auto"/>
          <w:spacing w:val="0"/>
          <w:kern w:val="0"/>
          <w:sz w:val="32"/>
          <w:szCs w:val="32"/>
        </w:rPr>
      </w:pPr>
    </w:p>
    <w:p w14:paraId="77C3CD7A">
      <w:pPr>
        <w:widowControl/>
        <w:shd w:val="clear" w:color="auto" w:fill="FFFFFF"/>
        <w:spacing w:line="560" w:lineRule="exact"/>
        <w:rPr>
          <w:rFonts w:hint="eastAsia" w:ascii="Times New Roman" w:hAnsi="Times New Roman" w:eastAsia="仿宋_GB2312"/>
          <w:color w:val="auto"/>
          <w:spacing w:val="0"/>
          <w:kern w:val="0"/>
          <w:sz w:val="32"/>
          <w:szCs w:val="32"/>
        </w:rPr>
      </w:pPr>
    </w:p>
    <w:p w14:paraId="4E8F9EC0">
      <w:pPr>
        <w:widowControl/>
        <w:shd w:val="clear" w:color="auto" w:fill="FFFFFF"/>
        <w:spacing w:line="560" w:lineRule="exact"/>
        <w:rPr>
          <w:rFonts w:hint="eastAsia" w:ascii="Times New Roman" w:hAnsi="Times New Roman" w:eastAsia="仿宋_GB2312"/>
          <w:color w:val="auto"/>
          <w:spacing w:val="0"/>
          <w:kern w:val="0"/>
          <w:sz w:val="32"/>
          <w:szCs w:val="32"/>
        </w:rPr>
      </w:pPr>
    </w:p>
    <w:p w14:paraId="26D69E91">
      <w:pPr>
        <w:widowControl/>
        <w:shd w:val="clear" w:color="auto" w:fill="FFFFFF"/>
        <w:spacing w:line="560" w:lineRule="exact"/>
        <w:rPr>
          <w:rFonts w:hint="eastAsia" w:ascii="Times New Roman" w:hAnsi="Times New Roman" w:eastAsia="仿宋_GB2312"/>
          <w:color w:val="auto"/>
          <w:spacing w:val="0"/>
          <w:kern w:val="0"/>
          <w:sz w:val="32"/>
          <w:szCs w:val="32"/>
        </w:rPr>
      </w:pPr>
    </w:p>
    <w:p w14:paraId="260EC970">
      <w:pPr>
        <w:widowControl/>
        <w:shd w:val="clear" w:color="auto" w:fill="FFFFFF"/>
        <w:spacing w:line="560" w:lineRule="exact"/>
        <w:rPr>
          <w:rFonts w:hint="eastAsia" w:ascii="Times New Roman" w:hAnsi="Times New Roman" w:eastAsia="仿宋_GB2312"/>
          <w:color w:val="auto"/>
          <w:spacing w:val="0"/>
          <w:kern w:val="0"/>
          <w:sz w:val="32"/>
          <w:szCs w:val="32"/>
        </w:rPr>
      </w:pPr>
    </w:p>
    <w:p w14:paraId="2A495F04">
      <w:pPr>
        <w:widowControl/>
        <w:shd w:val="clear" w:color="auto" w:fill="FFFFFF"/>
        <w:spacing w:line="560" w:lineRule="exact"/>
        <w:rPr>
          <w:rFonts w:hint="eastAsia" w:ascii="Times New Roman" w:hAnsi="Times New Roman" w:eastAsia="仿宋_GB2312"/>
          <w:color w:val="auto"/>
          <w:spacing w:val="0"/>
          <w:kern w:val="0"/>
          <w:sz w:val="32"/>
          <w:szCs w:val="32"/>
        </w:rPr>
      </w:pPr>
    </w:p>
    <w:p w14:paraId="26E35493">
      <w:pPr>
        <w:widowControl/>
        <w:shd w:val="clear" w:color="auto" w:fill="FFFFFF"/>
        <w:spacing w:line="560" w:lineRule="exact"/>
        <w:rPr>
          <w:rFonts w:hint="eastAsia" w:ascii="Times New Roman" w:hAnsi="Times New Roman" w:eastAsia="仿宋_GB2312"/>
          <w:color w:val="auto"/>
          <w:spacing w:val="0"/>
          <w:kern w:val="0"/>
          <w:sz w:val="32"/>
          <w:szCs w:val="32"/>
        </w:rPr>
      </w:pPr>
    </w:p>
    <w:p w14:paraId="23AEC634">
      <w:pPr>
        <w:widowControl/>
        <w:shd w:val="clear" w:color="auto" w:fill="FFFFFF"/>
        <w:spacing w:line="560" w:lineRule="exact"/>
        <w:rPr>
          <w:rFonts w:hint="eastAsia" w:ascii="Times New Roman" w:hAnsi="Times New Roman" w:eastAsia="仿宋_GB2312"/>
          <w:color w:val="auto"/>
          <w:spacing w:val="0"/>
          <w:kern w:val="0"/>
          <w:sz w:val="32"/>
          <w:szCs w:val="32"/>
        </w:rPr>
      </w:pPr>
    </w:p>
    <w:p w14:paraId="42366FA1">
      <w:pPr>
        <w:widowControl/>
        <w:shd w:val="clear" w:color="auto" w:fill="FFFFFF"/>
        <w:spacing w:line="560" w:lineRule="exact"/>
        <w:rPr>
          <w:rFonts w:hint="eastAsia" w:ascii="Times New Roman" w:hAnsi="Times New Roman" w:eastAsia="仿宋_GB2312"/>
          <w:color w:val="auto"/>
          <w:spacing w:val="0"/>
          <w:kern w:val="0"/>
          <w:sz w:val="32"/>
          <w:szCs w:val="32"/>
        </w:rPr>
      </w:pPr>
    </w:p>
    <w:p w14:paraId="1354A5BD">
      <w:pPr>
        <w:widowControl/>
        <w:shd w:val="clear" w:color="auto" w:fill="FFFFFF"/>
        <w:spacing w:line="560" w:lineRule="exact"/>
        <w:rPr>
          <w:rFonts w:hint="eastAsia" w:ascii="Times New Roman" w:hAnsi="Times New Roman" w:eastAsia="仿宋_GB2312"/>
          <w:color w:val="auto"/>
          <w:spacing w:val="0"/>
          <w:kern w:val="0"/>
          <w:sz w:val="32"/>
          <w:szCs w:val="32"/>
        </w:rPr>
      </w:pPr>
    </w:p>
    <w:p w14:paraId="2BA1FF5E">
      <w:pPr>
        <w:widowControl/>
        <w:shd w:val="clear" w:color="auto" w:fill="FFFFFF"/>
        <w:spacing w:line="560" w:lineRule="exact"/>
        <w:rPr>
          <w:rFonts w:hint="eastAsia" w:ascii="Times New Roman" w:hAnsi="Times New Roman" w:eastAsia="仿宋_GB2312"/>
          <w:color w:val="auto"/>
          <w:spacing w:val="0"/>
          <w:kern w:val="0"/>
          <w:sz w:val="32"/>
          <w:szCs w:val="32"/>
        </w:rPr>
      </w:pPr>
    </w:p>
    <w:p w14:paraId="23EA31D9">
      <w:pPr>
        <w:widowControl/>
        <w:shd w:val="clear" w:color="auto" w:fill="FFFFFF"/>
        <w:spacing w:line="560" w:lineRule="exact"/>
        <w:rPr>
          <w:rFonts w:hint="eastAsia" w:ascii="Times New Roman" w:hAnsi="Times New Roman" w:eastAsia="仿宋_GB2312"/>
          <w:color w:val="auto"/>
          <w:spacing w:val="0"/>
          <w:kern w:val="0"/>
          <w:sz w:val="32"/>
          <w:szCs w:val="32"/>
        </w:rPr>
      </w:pPr>
    </w:p>
    <w:p w14:paraId="2BBCDC4B">
      <w:pPr>
        <w:widowControl/>
        <w:shd w:val="clear" w:color="auto" w:fill="FFFFFF"/>
        <w:spacing w:line="560" w:lineRule="exact"/>
        <w:rPr>
          <w:rFonts w:hint="eastAsia" w:ascii="Times New Roman" w:hAnsi="Times New Roman" w:eastAsia="仿宋_GB2312"/>
          <w:color w:val="auto"/>
          <w:spacing w:val="0"/>
          <w:kern w:val="0"/>
          <w:sz w:val="32"/>
          <w:szCs w:val="32"/>
        </w:rPr>
      </w:pPr>
    </w:p>
    <w:p w14:paraId="6CA3B807">
      <w:pPr>
        <w:widowControl/>
        <w:shd w:val="clear" w:color="auto" w:fill="FFFFFF"/>
        <w:spacing w:line="560" w:lineRule="exact"/>
        <w:rPr>
          <w:rFonts w:hint="eastAsia" w:ascii="Times New Roman" w:hAnsi="Times New Roman" w:eastAsia="仿宋_GB2312"/>
          <w:color w:val="auto"/>
          <w:spacing w:val="0"/>
          <w:kern w:val="0"/>
          <w:sz w:val="32"/>
          <w:szCs w:val="32"/>
        </w:rPr>
      </w:pPr>
    </w:p>
    <w:p w14:paraId="6A40677F">
      <w:pPr>
        <w:widowControl/>
        <w:shd w:val="clear" w:color="auto" w:fill="FFFFFF"/>
        <w:spacing w:line="560" w:lineRule="exact"/>
        <w:rPr>
          <w:rFonts w:hint="eastAsia" w:ascii="黑体" w:hAnsi="黑体" w:eastAsia="黑体" w:cs="黑体"/>
          <w:color w:val="auto"/>
          <w:spacing w:val="0"/>
          <w:kern w:val="0"/>
          <w:sz w:val="32"/>
          <w:szCs w:val="32"/>
          <w:lang w:val="en-US" w:eastAsia="zh-CN"/>
        </w:rPr>
      </w:pPr>
      <w:r>
        <w:rPr>
          <w:rFonts w:hint="eastAsia" w:ascii="黑体" w:hAnsi="黑体" w:eastAsia="黑体" w:cs="黑体"/>
          <w:color w:val="auto"/>
          <w:spacing w:val="0"/>
          <w:kern w:val="0"/>
          <w:sz w:val="32"/>
          <w:szCs w:val="32"/>
          <w:lang w:val="en-US" w:eastAsia="zh-CN"/>
        </w:rPr>
        <w:t>附件3</w:t>
      </w:r>
    </w:p>
    <w:p w14:paraId="228EB034">
      <w:pPr>
        <w:jc w:val="center"/>
        <w:rPr>
          <w:rFonts w:hint="eastAsia" w:ascii="宋体" w:hAnsi="宋体" w:eastAsia="宋体" w:cs="宋体"/>
          <w:b/>
          <w:bCs/>
          <w:sz w:val="44"/>
          <w:szCs w:val="44"/>
        </w:rPr>
      </w:pPr>
      <w:r>
        <w:rPr>
          <w:rFonts w:hint="eastAsia" w:ascii="宋体" w:hAnsi="宋体" w:eastAsia="宋体" w:cs="宋体"/>
          <w:b/>
          <w:bCs/>
          <w:sz w:val="44"/>
          <w:szCs w:val="44"/>
        </w:rPr>
        <w:t>工商贸行业监督检查计划安排</w:t>
      </w:r>
    </w:p>
    <w:p w14:paraId="4A10AABA">
      <w:pPr>
        <w:rPr>
          <w:rFonts w:hint="eastAsia" w:ascii="仿宋" w:hAnsi="仿宋" w:eastAsia="仿宋" w:cs="仿宋"/>
          <w:sz w:val="32"/>
          <w:szCs w:val="32"/>
        </w:rPr>
      </w:pPr>
    </w:p>
    <w:p w14:paraId="3C7C55DF">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一、重点检查内容</w:t>
      </w:r>
    </w:p>
    <w:p w14:paraId="14440588">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(一)通用部分</w:t>
      </w:r>
    </w:p>
    <w:p w14:paraId="1DEE4C9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1.未对承包单位、承租单位的安全生产工作统一协调、管理，或者未定期进行安全检查的。</w:t>
      </w:r>
    </w:p>
    <w:p w14:paraId="19323E86">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2.特种作业人员未按照规定经专门的安全作业培训并取得相应资格，上岗作业的。</w:t>
      </w:r>
    </w:p>
    <w:p w14:paraId="1172DF2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3.金属冶炼企业主要负责人、安全生产管理人员未按照规定经考核合格的。</w:t>
      </w:r>
    </w:p>
    <w:p w14:paraId="10B07B6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楷体" w:hAnsi="楷体" w:eastAsia="楷体" w:cs="楷体"/>
          <w:sz w:val="32"/>
          <w:szCs w:val="32"/>
        </w:rPr>
        <w:t>(二)冶金企业重点执法检查事项</w:t>
      </w:r>
    </w:p>
    <w:p w14:paraId="6C8725E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1.会议室、活动室、休息室、操作室、交接班室、更衣室(含澡堂)等6类人员聚集场所，以及钢铁水罐冷(热)修工位设置在铁水、钢水、液渣吊运跨地坪区域内的。</w:t>
      </w:r>
    </w:p>
    <w:p w14:paraId="730C067F">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2.生产期间冶炼、精炼和铸造生产区域的事故坑、炉下渣坑，以及熔融金属泄漏和喷溅影响范围内的炉前平台、炉基区域、厂房内吊运和地面运输通道等6类区域存在积水的</w:t>
      </w:r>
      <w:r>
        <w:rPr>
          <w:rFonts w:hint="eastAsia" w:ascii="仿宋" w:hAnsi="仿宋" w:eastAsia="仿宋" w:cs="仿宋"/>
          <w:sz w:val="32"/>
          <w:szCs w:val="32"/>
          <w:lang w:eastAsia="zh-CN"/>
        </w:rPr>
        <w:t>。</w:t>
      </w:r>
    </w:p>
    <w:p w14:paraId="71EBCB38">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3.炼钢连铸流程未设置事故钢水罐、中间罐漏钢坑(槽)</w:t>
      </w:r>
      <w:r>
        <w:rPr>
          <w:rFonts w:hint="eastAsia" w:ascii="仿宋" w:hAnsi="仿宋" w:eastAsia="仿宋" w:cs="仿宋"/>
          <w:sz w:val="32"/>
          <w:szCs w:val="32"/>
          <w:lang w:eastAsia="zh-CN"/>
        </w:rPr>
        <w:t>、</w:t>
      </w:r>
      <w:r>
        <w:rPr>
          <w:rFonts w:hint="eastAsia" w:ascii="仿宋" w:hAnsi="仿宋" w:eastAsia="仿宋" w:cs="仿宋"/>
          <w:sz w:val="32"/>
          <w:szCs w:val="32"/>
        </w:rPr>
        <w:t>中间罐溢流坑(槽)、漏钢回转溜槽，或者模铸流程未设置事故钢水罐(坑、槽)。</w:t>
      </w:r>
    </w:p>
    <w:p w14:paraId="1B3CF53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4.转炉</w:t>
      </w:r>
      <w:r>
        <w:rPr>
          <w:rFonts w:hint="eastAsia" w:ascii="仿宋" w:hAnsi="仿宋" w:eastAsia="仿宋" w:cs="仿宋"/>
          <w:sz w:val="32"/>
          <w:szCs w:val="32"/>
          <w:lang w:eastAsia="zh-CN"/>
        </w:rPr>
        <w:t>、</w:t>
      </w:r>
      <w:r>
        <w:rPr>
          <w:rFonts w:hint="eastAsia" w:ascii="仿宋" w:hAnsi="仿宋" w:eastAsia="仿宋" w:cs="仿宋"/>
          <w:sz w:val="32"/>
          <w:szCs w:val="32"/>
        </w:rPr>
        <w:t xml:space="preserve">电弧炉、AOD 炉 </w:t>
      </w:r>
      <w:r>
        <w:rPr>
          <w:rFonts w:hint="eastAsia" w:ascii="仿宋" w:hAnsi="仿宋" w:eastAsia="仿宋" w:cs="仿宋"/>
          <w:sz w:val="32"/>
          <w:szCs w:val="32"/>
          <w:lang w:eastAsia="zh-CN"/>
        </w:rPr>
        <w:t>、</w:t>
      </w:r>
      <w:r>
        <w:rPr>
          <w:rFonts w:hint="eastAsia" w:ascii="仿宋" w:hAnsi="仿宋" w:eastAsia="仿宋" w:cs="仿宋"/>
          <w:sz w:val="32"/>
          <w:szCs w:val="32"/>
        </w:rPr>
        <w:t>LF 炉 、RH 炉 、VOD 炉等炼钢炉的水冷元件未设置出水温度、进出水流量差等监测报警装置，或者监测报警装置未与炉体倾动、氧(副)枪自动提升、电极自动断电和升起装置联锁。</w:t>
      </w:r>
    </w:p>
    <w:p w14:paraId="7EBEB4F5">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5.高炉生产期间炉顶工作压力设定值超过设计文件规定的最高工作压力，或者炉顶工作压力监测装置未与炉顶放散阀联锁，或者炉顶放散阀的联锁放散压力设定值超过设备设计压力值。</w:t>
      </w:r>
    </w:p>
    <w:p w14:paraId="63BAAFC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6.煤气生产、回收净化、加压混合、储存、使用设施附近的会议室、活动室、休息室、操作室、交接班室、更衣室等6类人员聚集场所，以及可能发生煤气泄漏、积聚的场所和部位未设置 固定式一氧化碳浓度监测报警装置，或者监测数据未接入24小时有人值守场所的。</w:t>
      </w:r>
    </w:p>
    <w:p w14:paraId="56570A1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7.加热炉、煤气柜、除尘器、加压机、烘烤器等设施，以及进入车间前的煤气管道未安装隔断装置的。</w:t>
      </w:r>
    </w:p>
    <w:p w14:paraId="71C588A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8.正压煤气输配管线水封式排水器的最高封堵煤气压力小于30kPa</w:t>
      </w:r>
      <w:r>
        <w:rPr>
          <w:rFonts w:hint="eastAsia" w:ascii="仿宋" w:hAnsi="仿宋" w:eastAsia="仿宋" w:cs="仿宋"/>
          <w:sz w:val="32"/>
          <w:szCs w:val="32"/>
          <w:lang w:eastAsia="zh-CN"/>
        </w:rPr>
        <w:t>，</w:t>
      </w:r>
      <w:r>
        <w:rPr>
          <w:rFonts w:hint="eastAsia" w:ascii="仿宋" w:hAnsi="仿宋" w:eastAsia="仿宋" w:cs="仿宋"/>
          <w:sz w:val="32"/>
          <w:szCs w:val="32"/>
        </w:rPr>
        <w:t>或者同一煤气管道隔断装置的两侧共用一个排水器，或者不同煤气管道排水器上部的排水管连通，或者不同介质的煤气管道共用一个排水器的。</w:t>
      </w:r>
    </w:p>
    <w:p w14:paraId="2D6DA0C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(三)有色企业重点执法检查事项</w:t>
      </w:r>
    </w:p>
    <w:p w14:paraId="2EB0FBE4">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1.会议室、活动室、休息室、操作室、交接班室、更衣室(含澡堂)等6类人员聚集场所设置在熔融金属吊运跨的地坪区域内。</w:t>
      </w:r>
    </w:p>
    <w:p w14:paraId="3959B97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2.生产期间冶炼、精炼、铸造生产区域的事故坑、炉下渣坑，以及熔融金属泄漏、喷溅影响范围内的炉前平台、炉基区域、厂房内吊运和地面运输通道等6类区域存在非生产性积水。</w:t>
      </w:r>
    </w:p>
    <w:p w14:paraId="65F2826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3.熔融金属铸造环节未设置紧急排放和应急储存设施的(倾动式熔炼炉、倾动式保温炉、倾动式熔保一体炉、带保温炉的固定式熔炼炉除外)。</w:t>
      </w:r>
    </w:p>
    <w:p w14:paraId="5030411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4.采用水冷冷却的冶炼炉窑、铸造机(铝加工深井铸造工艺的结晶器除外)、加热炉未设置应急水源。</w:t>
      </w:r>
    </w:p>
    <w:p w14:paraId="0D82361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5.熔融金属冶炼炉窑的闭路循环水冷元件未设置出水温度、进出水流量差监测报警装置，或者开路水冷元件未设置进水流量、压力监测报警装置，或者未监测开路水冷元件出水温度。</w:t>
      </w:r>
    </w:p>
    <w:p w14:paraId="7BEB677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6.铝加工深井铸造工艺的结晶器冷却水系统未设置进水压力、进水流量监测报警装置，或者监测报警装置未与快速切断阀、紧急排放阀、流槽断开装置联锁，或者监测报警装置未与倾动式浇铸炉控制系统联锁。</w:t>
      </w:r>
    </w:p>
    <w:p w14:paraId="678078C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7.铝加工深井铸造工艺的浇铸炉铝液出口流槽、流槽与模盘(分配流槽)入口连接处未设置液位监测报警装置，或者固定式 浇铸炉的铝液出口未设置机械锁紧装置。</w:t>
      </w:r>
    </w:p>
    <w:p w14:paraId="2EE7216F">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8.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w:t>
      </w:r>
    </w:p>
    <w:p w14:paraId="4ADA950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9.铝加工深井铸造工艺的倾动式浇铸炉流槽与模盘(分配流槽)入口连接处未设置快速切断阀(断开装置),或者流槽与模盘(分配流槽)入口连接处的液位监测报警装置未与浇铸炉倾动 控制系统、快速切断阀(断开装置)联锁。</w:t>
      </w:r>
    </w:p>
    <w:p w14:paraId="71DBD28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10.铝加工深井铸造机钢丝卷扬系统选用非钢芯钢丝绳</w:t>
      </w:r>
      <w:r>
        <w:rPr>
          <w:rFonts w:hint="eastAsia" w:ascii="仿宋" w:hAnsi="仿宋" w:eastAsia="仿宋" w:cs="仿宋"/>
          <w:sz w:val="32"/>
          <w:szCs w:val="32"/>
          <w:lang w:eastAsia="zh-CN"/>
        </w:rPr>
        <w:t>，</w:t>
      </w:r>
      <w:r>
        <w:rPr>
          <w:rFonts w:hint="eastAsia" w:ascii="仿宋" w:hAnsi="仿宋" w:eastAsia="仿宋" w:cs="仿宋"/>
          <w:sz w:val="32"/>
          <w:szCs w:val="32"/>
        </w:rPr>
        <w:t>或者未落实钢丝绳定期检查、更换制度的。</w:t>
      </w:r>
    </w:p>
    <w:p w14:paraId="668FADB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11.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w:t>
      </w:r>
    </w:p>
    <w:p w14:paraId="1DFA4F2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12.使用煤气(天然气)并强制送风的燃烧装置的燃气总管未设置压力监测报警装置，或者监测报警装置未与紧急自动切断 装置联锁。</w:t>
      </w:r>
    </w:p>
    <w:p w14:paraId="181F203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13.正压煤气输配管线水封式排水器的最高封堵煤气压力小于30kPa,或者同一煤气管道隔断装置的两侧共用一个排水器，或者不同煤气管道排水器上部的排水管连通，或者不同介质的煤气管道共用一个排水器。</w:t>
      </w:r>
    </w:p>
    <w:p w14:paraId="5D21312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(四)建材企业重点执法检查事项</w:t>
      </w:r>
    </w:p>
    <w:p w14:paraId="45C2816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1.煤磨袋式收尘器、煤粉仓未设置温度和固定式一氧化碳浓度监测报警装置，或者未设置气体灭火装置。</w:t>
      </w:r>
    </w:p>
    <w:p w14:paraId="3188E447">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2.筒型储库人工清库作业未落实清库方案中防止高处坠落、坍塌等安全措施。</w:t>
      </w:r>
    </w:p>
    <w:p w14:paraId="44361C8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3.水泥企业电石渣原料筒型储库未设置固定式可燃气体浓度监测报警装置，或者监测报警装置未与事故通风装置联锁。</w:t>
      </w:r>
    </w:p>
    <w:p w14:paraId="28952C8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进入简型储库、焙烧窑、预热器旋风筒、分解炉、竖炉、篦冷机、磨机、破碎机前，未对可能意外启动的设备和涌入的物料、高温气体、有毒有害气体等采取隔离措施，或者未落实防止高处坠落、坍塌等安全措施。</w:t>
      </w:r>
    </w:p>
    <w:p w14:paraId="2D53271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5.采用预混燃烧方式的燃气窑炉(热发生炉煤气窑炉除外) 的燃气总管未设置管道压力监测报警装置，或者监测报警装置未与紧急自动切断装置联锁。</w:t>
      </w:r>
    </w:p>
    <w:p w14:paraId="0179CAC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6.制氢站、氮氢保护气体配气间、燃气配气间等3类场所未设置固定式可燃气体浓度监测报警装置。</w:t>
      </w:r>
    </w:p>
    <w:p w14:paraId="5C467BB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7.电熔制品电炉的水冷设备失效。</w:t>
      </w:r>
    </w:p>
    <w:p w14:paraId="71E17195">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8.玻璃窑炉、玻璃锡槽等设备未设置水冷和风冷保护系统的监测报警装置。</w:t>
      </w:r>
    </w:p>
    <w:p w14:paraId="5A0994F4">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(五)机械企业重点执法检查事项</w:t>
      </w:r>
    </w:p>
    <w:p w14:paraId="59C74BF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1.会议室、活动室、休息室、更衣室、交接班室等5类人员聚集场所设置在熔融金属吊运跨或者浇注跨的地坪区域内。</w:t>
      </w:r>
    </w:p>
    <w:p w14:paraId="1DCC9BAF">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2.铸造用熔炼炉、精炼炉、保温炉未设置紧急排放和应急储存设施。</w:t>
      </w:r>
    </w:p>
    <w:p w14:paraId="06D639F9">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3.生产期间铸造用熔炼炉、精炼炉、保温炉的炉底、炉坑和事故坑，以及熔融金属泄漏、喷溅影响范围内的炉前平台、炉基区域、造型地坑、浇注作业坑和熔融金属转运通道等8类区域存在积水。</w:t>
      </w:r>
    </w:p>
    <w:p w14:paraId="4A0694CF">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4.铸造用熔炼炉、精炼炉、压铸机、氧枪的冷却水系统未设 置出水温度、进出水流量差监测报警装置，或者监测报警装置未 与熔融金属加热、输送控制系统联锁。</w:t>
      </w:r>
    </w:p>
    <w:p w14:paraId="70A8515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5.使用煤气(天然气)的燃烧装置的燃气总管未设置管道压力监测报警装置，或者监测报警装置未与紧急自动切断装置联锁，或者燃烧装置未设置火焰监测和熄火保护系统。</w:t>
      </w:r>
    </w:p>
    <w:p w14:paraId="4A7382D5">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6.使用可燃性有机溶剂清洗设备设施、工装器具、地面时，未采取防止可燃气体在周边密闭或者半密闭空间内积聚措施。</w:t>
      </w:r>
    </w:p>
    <w:p w14:paraId="2E343B5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7.使用非水性漆的调漆间、喷漆室未设置固定式可燃气体浓度监测报警装置或者通风设施。</w:t>
      </w:r>
    </w:p>
    <w:p w14:paraId="16CC3D0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(六)轻工企业重点执法检查事项</w:t>
      </w:r>
    </w:p>
    <w:p w14:paraId="33C6490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1.食品制造企业烘制、油炸设备未设置防过热自动切断装 置。</w:t>
      </w:r>
    </w:p>
    <w:p w14:paraId="095B763F">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2.白酒勾兑、灌装场所和酒库未设置固定式乙醇蒸气浓度监 测报警装置，或者监测报警装置未与通风设施联锁。</w:t>
      </w:r>
    </w:p>
    <w:p w14:paraId="707D0957">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3.纸浆制造、造纸企业使用蒸气、明火直接加热钢瓶汽化液 氯。</w:t>
      </w:r>
    </w:p>
    <w:p w14:paraId="42969DB9">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4.日用玻璃、陶瓷制造企业采用预混燃烧方式的燃气窑炉(热发生炉煤气窑炉除外)的燃气总管未设置管道压力监测报警装置，或者监测报警装置未与紧急自动切断装置联锁</w:t>
      </w:r>
      <w:r>
        <w:rPr>
          <w:rFonts w:hint="eastAsia" w:ascii="仿宋" w:hAnsi="仿宋" w:eastAsia="仿宋" w:cs="仿宋"/>
          <w:sz w:val="32"/>
          <w:szCs w:val="32"/>
          <w:lang w:eastAsia="zh-CN"/>
        </w:rPr>
        <w:t>。</w:t>
      </w:r>
    </w:p>
    <w:p w14:paraId="574E009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5.日用玻璃制造企业玻璃窑炉的冷却保护系统未设置监测报警装置。</w:t>
      </w:r>
    </w:p>
    <w:p w14:paraId="3B8E280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6.使用非水性漆的调漆间、喷漆室未设置固定式可燃气体浓度监测报警装置或者通风设施。</w:t>
      </w:r>
    </w:p>
    <w:p w14:paraId="5DAEFEF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7.锂离子电池储存仓库未对故障电池采取有效物理隔离措施。</w:t>
      </w:r>
    </w:p>
    <w:p w14:paraId="7E9F5F4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(七)纺织企业重点执法检查事项</w:t>
      </w:r>
    </w:p>
    <w:p w14:paraId="0D465AC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1.纱、线、织物加工的烧毛、开幅、烘干等热定型工艺的汽化室、燃气贮罐、储油罐、热媒炉，未与生产加工等人员聚集场所隔开或者单独设置。</w:t>
      </w:r>
    </w:p>
    <w:p w14:paraId="1DA4DC97">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2.保险粉</w:t>
      </w:r>
      <w:r>
        <w:rPr>
          <w:rFonts w:hint="eastAsia" w:ascii="仿宋" w:hAnsi="仿宋" w:eastAsia="仿宋" w:cs="仿宋"/>
          <w:sz w:val="32"/>
          <w:szCs w:val="32"/>
          <w:lang w:eastAsia="zh-CN"/>
        </w:rPr>
        <w:t>、</w:t>
      </w:r>
      <w:r>
        <w:rPr>
          <w:rFonts w:hint="eastAsia" w:ascii="仿宋" w:hAnsi="仿宋" w:eastAsia="仿宋" w:cs="仿宋"/>
          <w:sz w:val="32"/>
          <w:szCs w:val="32"/>
        </w:rPr>
        <w:t>双氧水、次氯酸钠、亚氯酸钠、雕白粉(吊白块)与禁忌物料混合储存，或者保险粉储存场所未采取防水防潮措施。</w:t>
      </w:r>
    </w:p>
    <w:p w14:paraId="5EC4A7C8">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(八)烟草企业重点执法检查事项</w:t>
      </w:r>
    </w:p>
    <w:p w14:paraId="435AD74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1.熏蒸作业场所未配备磷化氢气体浓度监测报警仪器，或者未配备防毒面具，或者熏蒸杀虫作业前未确认无关人员全部撤离熏蒸作业场所。</w:t>
      </w:r>
    </w:p>
    <w:p w14:paraId="6778D5C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2.使用液态二氧化碳制造膨胀烟丝的生产线和场所未设置固定式二氧化碳浓度监测报警装置，或者监测报警装置未与事故通风设施联锁。</w:t>
      </w:r>
    </w:p>
    <w:p w14:paraId="0A0C90B4">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(九)涉爆粉尘企业重点执法检查事项</w:t>
      </w:r>
    </w:p>
    <w:p w14:paraId="1494DD0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1.粉尘爆炸危险场所设置在非框架结构的多层建(构)筑物内</w:t>
      </w:r>
      <w:r>
        <w:rPr>
          <w:rFonts w:hint="eastAsia" w:ascii="仿宋" w:hAnsi="仿宋" w:eastAsia="仿宋" w:cs="仿宋"/>
          <w:sz w:val="32"/>
          <w:szCs w:val="32"/>
          <w:lang w:eastAsia="zh-CN"/>
        </w:rPr>
        <w:t>，</w:t>
      </w:r>
      <w:r>
        <w:rPr>
          <w:rFonts w:hint="eastAsia" w:ascii="仿宋" w:hAnsi="仿宋" w:eastAsia="仿宋" w:cs="仿宋"/>
          <w:sz w:val="32"/>
          <w:szCs w:val="32"/>
        </w:rPr>
        <w:t>或者粉尘爆炸危险场所内设有员工宿舍、会议室、办公室、休息室等人员聚集场所。</w:t>
      </w:r>
    </w:p>
    <w:p w14:paraId="5D64CEA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2.不同类别的可燃性粉尘、可燃性粉尘与可燃气体等易加剧 爆炸危险的介质共用一套除尘系统，或者不同建(构)筑物、不同防火分区共用一套除尘系统、除尘系统互联互通</w:t>
      </w:r>
      <w:r>
        <w:rPr>
          <w:rFonts w:hint="eastAsia" w:ascii="仿宋" w:hAnsi="仿宋" w:eastAsia="仿宋" w:cs="仿宋"/>
          <w:sz w:val="32"/>
          <w:szCs w:val="32"/>
          <w:lang w:eastAsia="zh-CN"/>
        </w:rPr>
        <w:t>。</w:t>
      </w:r>
    </w:p>
    <w:p w14:paraId="0C314AD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3.干式除尘系统未采取泄爆、惰化、抑爆等任一种爆炸防控措施 。</w:t>
      </w:r>
    </w:p>
    <w:p w14:paraId="1C3983C7">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4.铝镁等金属粉尘除尘系统采用正压除尘方式，或者其他可燃性粉尘除尘系统采用正压吹送粉尘时，未采取火花探测消除等防范点燃源措施。</w:t>
      </w:r>
    </w:p>
    <w:p w14:paraId="6AD1A8E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5.除尘系统采用重力沉降室除尘，或者采用干式巷道式构筑物作为除尘风道。</w:t>
      </w:r>
    </w:p>
    <w:p w14:paraId="1ED9824D">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6.铝镁等金属粉尘、木质粉尘的干式除尘系统未设置锁气卸灰装置。</w:t>
      </w:r>
    </w:p>
    <w:p w14:paraId="42C3331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7.除尘器、收尘仓等划分为20区的粉尘爆炸危险场所电气 设备不符合防爆要求。</w:t>
      </w:r>
    </w:p>
    <w:p w14:paraId="4EC919E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8.粉碎、研磨、造粒等易产生机械点燃源的工艺设备前</w:t>
      </w:r>
      <w:r>
        <w:rPr>
          <w:rFonts w:hint="eastAsia" w:ascii="仿宋" w:hAnsi="仿宋" w:eastAsia="仿宋" w:cs="仿宋"/>
          <w:sz w:val="32"/>
          <w:szCs w:val="32"/>
          <w:lang w:eastAsia="zh-CN"/>
        </w:rPr>
        <w:t>，</w:t>
      </w:r>
      <w:r>
        <w:rPr>
          <w:rFonts w:hint="eastAsia" w:ascii="仿宋" w:hAnsi="仿宋" w:eastAsia="仿宋" w:cs="仿宋"/>
          <w:sz w:val="32"/>
          <w:szCs w:val="32"/>
        </w:rPr>
        <w:t>未设置铁、石等杂物去除装置，或者木制品加工企业与砂光机连接 的风管未设置火花探测消除装置。</w:t>
      </w:r>
    </w:p>
    <w:p w14:paraId="0EEF2CA8">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9.遇湿自燃金属粉尘收集、堆放、储存场所未采取通风等防止氢气积聚措施，或者干式收集、堆放、储存场所未采取防水、防潮措施。</w:t>
      </w:r>
    </w:p>
    <w:p w14:paraId="48B8CB7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10.未落实粉尘清理制度，造成作业现场积尘严重。</w:t>
      </w:r>
    </w:p>
    <w:p w14:paraId="52C74A8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(十)涉氨制冷企业重点执法检查事项</w:t>
      </w:r>
    </w:p>
    <w:p w14:paraId="1B8D105A">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1.包装、分割、产品整理场所的空调系统采用氨直接蒸发制冷。</w:t>
      </w:r>
    </w:p>
    <w:p w14:paraId="4FF7B8C5">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2.快速冻结装置未设置在单独的作业间内，或者快速冻结装置作业间内作业人员数量超过9人。</w:t>
      </w:r>
    </w:p>
    <w:p w14:paraId="128D6CF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(十一)存在硫化氢、一氧化碳等中毒风险有限空间作业企业重点执法检查事项</w:t>
      </w:r>
    </w:p>
    <w:p w14:paraId="469B0AD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1.未对有限空间进行辨识、建立安全管理台账，并且未设置明显的安全警示标志。</w:t>
      </w:r>
    </w:p>
    <w:p w14:paraId="10FD8F7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2.未落实有限空间作业审批，或者未执行“先通风、再检测、后作业”要求，或者作业现场未设置监护人员。</w:t>
      </w:r>
    </w:p>
    <w:p w14:paraId="2012624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rPr>
        <w:t>二、执法检查安排</w:t>
      </w:r>
    </w:p>
    <w:p w14:paraId="472566A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color w:val="auto"/>
          <w:sz w:val="32"/>
          <w:szCs w:val="32"/>
          <w:lang w:val="en-US" w:eastAsia="zh-CN"/>
        </w:rPr>
      </w:pPr>
      <w:r>
        <w:rPr>
          <w:rFonts w:hint="eastAsia" w:ascii="楷体" w:hAnsi="楷体" w:eastAsia="楷体" w:cs="楷体"/>
          <w:sz w:val="32"/>
          <w:szCs w:val="32"/>
        </w:rPr>
        <w:t>(一)现场执法检查安排。</w:t>
      </w:r>
      <w:r>
        <w:rPr>
          <w:rFonts w:hint="eastAsia" w:ascii="仿宋" w:hAnsi="仿宋" w:eastAsia="仿宋" w:cs="仿宋"/>
          <w:color w:val="auto"/>
          <w:sz w:val="32"/>
          <w:szCs w:val="32"/>
        </w:rPr>
        <w:t>计划执法检查</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家，其中重点 执法检查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家，随机抽查</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家，实现重点企业执法检查全覆盖</w:t>
      </w:r>
      <w:r>
        <w:rPr>
          <w:rFonts w:hint="eastAsia" w:ascii="仿宋" w:hAnsi="仿宋" w:eastAsia="仿宋" w:cs="仿宋"/>
          <w:color w:val="auto"/>
          <w:sz w:val="32"/>
          <w:szCs w:val="32"/>
          <w:lang w:eastAsia="zh-CN"/>
        </w:rPr>
        <w:t>。</w:t>
      </w:r>
    </w:p>
    <w:p w14:paraId="739D9B50">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640" w:firstLineChars="200"/>
        <w:jc w:val="both"/>
        <w:textAlignment w:val="baseline"/>
        <w:outlineLvl w:val="9"/>
        <w:rPr>
          <w:rFonts w:ascii="仿宋" w:hAnsi="仿宋" w:eastAsia="仿宋" w:cs="仿宋"/>
          <w:color w:val="auto"/>
          <w:spacing w:val="0"/>
          <w:sz w:val="32"/>
          <w:szCs w:val="31"/>
        </w:rPr>
      </w:pPr>
      <w:r>
        <w:rPr>
          <w:rFonts w:hint="eastAsia" w:ascii="楷体" w:hAnsi="楷体" w:eastAsia="楷体" w:cs="楷体"/>
          <w:sz w:val="32"/>
          <w:szCs w:val="32"/>
        </w:rPr>
        <w:t>(二)线上巡查安排。</w:t>
      </w:r>
      <w:r>
        <w:rPr>
          <w:rFonts w:ascii="仿宋" w:hAnsi="仿宋" w:eastAsia="仿宋" w:cs="仿宋"/>
          <w:color w:val="auto"/>
          <w:spacing w:val="0"/>
          <w:sz w:val="32"/>
          <w:szCs w:val="31"/>
        </w:rPr>
        <w:t>巡查重点内容：一是视频点位是否离线</w:t>
      </w:r>
      <w:r>
        <w:rPr>
          <w:rFonts w:hint="eastAsia" w:ascii="仿宋" w:hAnsi="仿宋" w:eastAsia="仿宋" w:cs="仿宋"/>
          <w:color w:val="auto"/>
          <w:spacing w:val="0"/>
          <w:sz w:val="32"/>
          <w:szCs w:val="31"/>
          <w:lang w:eastAsia="zh-CN"/>
        </w:rPr>
        <w:t>，</w:t>
      </w:r>
      <w:r>
        <w:rPr>
          <w:rFonts w:ascii="仿宋" w:hAnsi="仿宋" w:eastAsia="仿宋" w:cs="仿宋"/>
          <w:color w:val="auto"/>
          <w:spacing w:val="0"/>
          <w:sz w:val="32"/>
          <w:szCs w:val="31"/>
        </w:rPr>
        <w:t>是否存在等待时间过长问题。二是视频点位画面是否清晰，视频点位是否按照要求覆盖所有重点作业场所，监控拍摄的角度是否能够覆盖主要作业区域。三是中控室是否存在人员脱岗、睡岗、玩岗等违规行为。四是作业场所是否存在违反法律法规、劳动纪律行为。五是作业场所设备设施等是否存在明显问题隐患。</w:t>
      </w:r>
    </w:p>
    <w:p w14:paraId="21E50196">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三、执法工作措施</w:t>
      </w:r>
    </w:p>
    <w:p w14:paraId="1FBC5DE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楷体" w:hAnsi="楷体" w:eastAsia="楷体" w:cs="楷体"/>
          <w:sz w:val="32"/>
          <w:szCs w:val="32"/>
        </w:rPr>
        <w:t>(一)提高执法检查精准性。</w:t>
      </w:r>
      <w:r>
        <w:rPr>
          <w:rFonts w:hint="eastAsia" w:ascii="仿宋" w:hAnsi="仿宋" w:eastAsia="仿宋" w:cs="仿宋"/>
          <w:sz w:val="32"/>
          <w:szCs w:val="32"/>
        </w:rPr>
        <w:t>加强重点环节检查，围绕突出 冶金、铝加工、粉尘涉爆、有限空间作业、涉氨制冷等工贸企业重要部位，突出动火作业、用电以及外委作业、检维修作业、“小施工”作业等环节，加大对企业主要负责人</w:t>
      </w:r>
      <w:r>
        <w:rPr>
          <w:rFonts w:hint="eastAsia" w:ascii="仿宋" w:hAnsi="仿宋" w:eastAsia="仿宋" w:cs="仿宋"/>
          <w:sz w:val="32"/>
          <w:szCs w:val="32"/>
          <w:lang w:eastAsia="zh-CN"/>
        </w:rPr>
        <w:t>、</w:t>
      </w:r>
      <w:r>
        <w:rPr>
          <w:rFonts w:hint="eastAsia" w:ascii="仿宋" w:hAnsi="仿宋" w:eastAsia="仿宋" w:cs="仿宋"/>
          <w:sz w:val="32"/>
          <w:szCs w:val="32"/>
        </w:rPr>
        <w:t>安全管理人员履行法定职责的监督检查，推动企业落实各项安全防范措施。</w:t>
      </w:r>
    </w:p>
    <w:p w14:paraId="27021E2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楷体" w:hAnsi="楷体" w:eastAsia="楷体" w:cs="楷体"/>
          <w:sz w:val="32"/>
          <w:szCs w:val="32"/>
        </w:rPr>
        <w:t>(二)开展工贸行业治本攻坚行动。</w:t>
      </w:r>
      <w:r>
        <w:rPr>
          <w:rFonts w:hint="eastAsia" w:ascii="仿宋" w:hAnsi="仿宋" w:eastAsia="仿宋" w:cs="仿宋"/>
          <w:sz w:val="32"/>
          <w:szCs w:val="32"/>
        </w:rPr>
        <w:t>按照国家和省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市、县</w:t>
      </w:r>
      <w:r>
        <w:rPr>
          <w:rFonts w:hint="eastAsia" w:ascii="仿宋" w:hAnsi="仿宋" w:eastAsia="仿宋" w:cs="仿宋"/>
          <w:sz w:val="32"/>
          <w:szCs w:val="32"/>
        </w:rPr>
        <w:t>治本攻坚三年行动统一安排部署，综合运用执法检查、交叉执法等方式，聚焦重大事故隐患排查整治，深入推进安全生产精准执法，对企业隐患排查治理走过场、存在重大事故隐患长期得不到治理的企业，依法依规严厉处罚，推动企业积极开展自查自纠，更新安全技术设备及淘汰落后工艺设备</w:t>
      </w:r>
      <w:r>
        <w:rPr>
          <w:rFonts w:hint="eastAsia" w:ascii="仿宋" w:hAnsi="仿宋" w:eastAsia="仿宋" w:cs="仿宋"/>
          <w:sz w:val="32"/>
          <w:szCs w:val="32"/>
          <w:lang w:eastAsia="zh-CN"/>
        </w:rPr>
        <w:t>，</w:t>
      </w:r>
      <w:r>
        <w:rPr>
          <w:rFonts w:hint="eastAsia" w:ascii="仿宋" w:hAnsi="仿宋" w:eastAsia="仿宋" w:cs="仿宋"/>
          <w:sz w:val="32"/>
          <w:szCs w:val="32"/>
        </w:rPr>
        <w:t>提升企业本质安全水平。</w:t>
      </w:r>
    </w:p>
    <w:p w14:paraId="67E20C78">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楷体" w:hAnsi="楷体" w:eastAsia="楷体" w:cs="楷体"/>
          <w:sz w:val="32"/>
          <w:szCs w:val="32"/>
        </w:rPr>
        <w:t>(三)开展示范执法活动。</w:t>
      </w:r>
      <w:r>
        <w:rPr>
          <w:rFonts w:hint="eastAsia" w:ascii="仿宋" w:hAnsi="仿宋" w:eastAsia="仿宋" w:cs="仿宋"/>
          <w:sz w:val="32"/>
          <w:szCs w:val="32"/>
        </w:rPr>
        <w:t>突出执法引领示范作用，选择典型企业开展示范执法，严格按照“三位一体”执法模式，聚焦重大隐患和企业主体责任落实情况，执法检查的同时开展普法活动，宣传法律法规和标准规范，采取执法检查与现场观摩培训相结合的方式，进一步提高执法人员执法能力和企业隐患排查治理能力。</w:t>
      </w:r>
    </w:p>
    <w:p w14:paraId="4FD8D195">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)加强执法信息化应用。</w:t>
      </w:r>
      <w:r>
        <w:rPr>
          <w:rFonts w:hint="eastAsia" w:ascii="仿宋" w:hAnsi="仿宋" w:eastAsia="仿宋" w:cs="仿宋"/>
          <w:sz w:val="32"/>
          <w:szCs w:val="32"/>
        </w:rPr>
        <w:t>利用“互联网+执法”系统开展执法工作，及时填报行政执法案卷，稳步推行线上审批办案。按照“三项制度”要求及时公示行政处罚结果，按时填报河北省安全生产诚信管理系统，按要求报送典型执法案例，保质保量完成案例报送任务。逐步利用视频监控、监测监控预警系统等线上手段开展线上检查。</w:t>
      </w:r>
    </w:p>
    <w:p w14:paraId="334704C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)加强指导服务工作。</w:t>
      </w:r>
      <w:r>
        <w:rPr>
          <w:rFonts w:hint="eastAsia" w:ascii="仿宋" w:hAnsi="仿宋" w:eastAsia="仿宋" w:cs="仿宋"/>
          <w:sz w:val="32"/>
          <w:szCs w:val="32"/>
        </w:rPr>
        <w:t>落实优化营商环境有关要求，强化执法服务意识，推行“告知式”执法，引导企业开展自查自纠。执法检查过程中，充分利用专家技术力量，为执法检查提供技术支撑，开展“说理式”执法，通过专家指导服务</w:t>
      </w:r>
      <w:r>
        <w:rPr>
          <w:rFonts w:hint="eastAsia" w:ascii="仿宋" w:hAnsi="仿宋" w:eastAsia="仿宋" w:cs="仿宋"/>
          <w:sz w:val="32"/>
          <w:szCs w:val="32"/>
          <w:lang w:eastAsia="zh-CN"/>
        </w:rPr>
        <w:t>，</w:t>
      </w:r>
      <w:r>
        <w:rPr>
          <w:rFonts w:hint="eastAsia" w:ascii="仿宋" w:hAnsi="仿宋" w:eastAsia="仿宋" w:cs="仿宋"/>
          <w:sz w:val="32"/>
          <w:szCs w:val="32"/>
        </w:rPr>
        <w:t>对检查发现问题隐患与企业交流反馈，向企业提供安全咨询和整改指导，督促企业举一反三，全面排查整治问题隐患。</w:t>
      </w:r>
    </w:p>
    <w:p w14:paraId="12DC43A2">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00547F54">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720D2386">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785716C0">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5AF4A5A8">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75FEC5D5">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7EC38844">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36D9BF35">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753ABE03">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65AEE517">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21DED2D5">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5547D031">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15E92C5B">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62B6AC28">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0493F0FF">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786F51DE">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1F334A95">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5AEF5077">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4433E1C0">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5C870085">
      <w:pPr>
        <w:widowControl/>
        <w:shd w:val="clear" w:color="auto" w:fill="FFFFFF"/>
        <w:spacing w:line="560" w:lineRule="exact"/>
        <w:rPr>
          <w:rFonts w:hint="eastAsia" w:ascii="黑体" w:hAnsi="黑体" w:eastAsia="黑体" w:cs="黑体"/>
          <w:color w:val="auto"/>
          <w:spacing w:val="0"/>
          <w:kern w:val="0"/>
          <w:sz w:val="32"/>
          <w:szCs w:val="32"/>
          <w:lang w:val="en-US" w:eastAsia="zh-CN"/>
        </w:rPr>
      </w:pPr>
    </w:p>
    <w:p w14:paraId="241FBB01">
      <w:pPr>
        <w:widowControl/>
        <w:shd w:val="clear" w:color="auto" w:fill="FFFFFF"/>
        <w:spacing w:line="560" w:lineRule="exact"/>
        <w:rPr>
          <w:rFonts w:hint="default" w:ascii="黑体" w:hAnsi="黑体" w:eastAsia="黑体" w:cs="黑体"/>
          <w:color w:val="auto"/>
          <w:spacing w:val="0"/>
          <w:kern w:val="0"/>
          <w:sz w:val="32"/>
          <w:szCs w:val="32"/>
          <w:lang w:val="en-US" w:eastAsia="zh-CN"/>
        </w:rPr>
      </w:pPr>
      <w:r>
        <w:rPr>
          <w:rFonts w:hint="eastAsia" w:ascii="黑体" w:hAnsi="黑体" w:eastAsia="黑体" w:cs="黑体"/>
          <w:color w:val="auto"/>
          <w:spacing w:val="0"/>
          <w:kern w:val="0"/>
          <w:sz w:val="32"/>
          <w:szCs w:val="32"/>
          <w:lang w:val="en-US" w:eastAsia="zh-CN"/>
        </w:rPr>
        <w:t>附件4</w:t>
      </w:r>
    </w:p>
    <w:p w14:paraId="47FCEE1D">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 w:hAnsi="仿宋" w:eastAsia="仿宋" w:cs="仿宋"/>
          <w:sz w:val="32"/>
          <w:szCs w:val="32"/>
        </w:rPr>
      </w:pPr>
      <w:r>
        <w:rPr>
          <w:rFonts w:hint="eastAsia" w:ascii="宋体" w:hAnsi="宋体" w:eastAsia="宋体" w:cs="宋体"/>
          <w:sz w:val="44"/>
          <w:szCs w:val="44"/>
        </w:rPr>
        <w:t>安全评价检测检验机构重点监督检查事项</w:t>
      </w:r>
    </w:p>
    <w:p w14:paraId="4EFF6A54">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、机构管理方面重点执法检查事项</w:t>
      </w:r>
    </w:p>
    <w:p w14:paraId="3C20401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是否存在超资质范围进行安全评价或安全生产检测检验活动和转让出(租)借资格证书的情况；是否存在转包评价和检测检验项目的情况；机构网站是否能正常运行，是否公开机构信息</w:t>
      </w:r>
      <w:r>
        <w:rPr>
          <w:rFonts w:hint="eastAsia" w:ascii="仿宋" w:hAnsi="仿宋" w:eastAsia="仿宋" w:cs="仿宋"/>
          <w:sz w:val="32"/>
          <w:szCs w:val="32"/>
          <w:lang w:eastAsia="zh-CN"/>
        </w:rPr>
        <w:t>、</w:t>
      </w:r>
      <w:r>
        <w:rPr>
          <w:rFonts w:hint="eastAsia" w:ascii="仿宋" w:hAnsi="仿宋" w:eastAsia="仿宋" w:cs="仿宋"/>
          <w:sz w:val="32"/>
          <w:szCs w:val="32"/>
        </w:rPr>
        <w:t>公示技术服务收费标准；是否与委托方签订技术服务合同，技术服务合同是否明确服务对象、范围、权利</w:t>
      </w:r>
      <w:r>
        <w:rPr>
          <w:rFonts w:hint="eastAsia" w:ascii="仿宋" w:hAnsi="仿宋" w:eastAsia="仿宋" w:cs="仿宋"/>
          <w:sz w:val="32"/>
          <w:szCs w:val="32"/>
          <w:lang w:eastAsia="zh-CN"/>
        </w:rPr>
        <w:t>、</w:t>
      </w:r>
      <w:r>
        <w:rPr>
          <w:rFonts w:hint="eastAsia" w:ascii="仿宋" w:hAnsi="仿宋" w:eastAsia="仿宋" w:cs="仿宋"/>
          <w:sz w:val="32"/>
          <w:szCs w:val="32"/>
        </w:rPr>
        <w:t>义务和责任的；是否在开展现场技术服务前七个工作日内</w:t>
      </w:r>
      <w:r>
        <w:rPr>
          <w:rFonts w:hint="eastAsia" w:ascii="仿宋" w:hAnsi="仿宋" w:eastAsia="仿宋" w:cs="仿宋"/>
          <w:sz w:val="32"/>
          <w:szCs w:val="32"/>
          <w:lang w:eastAsia="zh-CN"/>
        </w:rPr>
        <w:t>，</w:t>
      </w:r>
      <w:r>
        <w:rPr>
          <w:rFonts w:hint="eastAsia" w:ascii="仿宋" w:hAnsi="仿宋" w:eastAsia="仿宋" w:cs="仿宋"/>
          <w:sz w:val="32"/>
          <w:szCs w:val="32"/>
        </w:rPr>
        <w:t>书面告知项目实施地资质认可机关；机构开展技术服务时</w:t>
      </w:r>
      <w:r>
        <w:rPr>
          <w:rFonts w:hint="eastAsia" w:ascii="仿宋" w:hAnsi="仿宋" w:eastAsia="仿宋" w:cs="仿宋"/>
          <w:sz w:val="32"/>
          <w:szCs w:val="32"/>
          <w:lang w:eastAsia="zh-CN"/>
        </w:rPr>
        <w:t>，</w:t>
      </w:r>
      <w:r>
        <w:rPr>
          <w:rFonts w:hint="eastAsia" w:ascii="仿宋" w:hAnsi="仿宋" w:eastAsia="仿宋" w:cs="仿宋"/>
          <w:sz w:val="32"/>
          <w:szCs w:val="32"/>
        </w:rPr>
        <w:t>是否如实记录过程控制、现场勘验和检测检验的情况，并与现场图像影像等证明资料一并及时归档；是否按规定公开安全评价报告、安全生产检测检验报告相关信息及现场勘验图像影像资料；是否存在违反法规标准规定更改或者简化安全评价、检测检验程序和相关内容的情况；是否存在不按照有关法律、法规、规章和最新的国家标准、行业标准、地方标准从事技术服务活动的情况；机构名称、注册地址、实验室条件、法定代表人、专职技术负责人、授权签字人发生变化之日起三十日内是否向原资质认可机关提出变更申请。</w:t>
      </w:r>
    </w:p>
    <w:p w14:paraId="32532084">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、人员执业方面重点执法检查事项</w:t>
      </w:r>
    </w:p>
    <w:p w14:paraId="32BBB54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是否存在专职安全评价师、专业技术人员同时在两个以上安全评价检测检验机构从业的情况；是否存在冒用他人名义或者允许他人冒用本人名义在安全评价、检测检验报告和原始记录中签名的情况；安全评价项目组组长是否具有与业务相关的二级以上安全评价师资格，并在本行业领域工作三年以上的；项目组组成人员配备是否符合安全评价项目专职安全评价师专业能力配备标准；安全评价项目组组长及负责勘验人员是否不到现场实际地点开展勘验等有关工作；承担现场检测检验的人员是否不到现场实际地点开展设备检测检验等有关工作。</w:t>
      </w:r>
    </w:p>
    <w:p w14:paraId="6DA727E9">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、技术报告方面重点执法检查事项</w:t>
      </w:r>
    </w:p>
    <w:p w14:paraId="454B092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安全评价报告是否存在法规标准引用错误、关键危险有害因素漏项、重大危险源辨识错误、对策措施建议与存在问题严重不符等重大疏漏，但尚未造成重大损失的情况；安全现状评价或验收评价报告是否存在企业布局、工艺参数、周边环境与评价期间实际情况不符，影响评价结论的情况；是否存在重要区域、关键设备设施、主要物料和建(构)筑物、主要安全设施、重要的公辅设施</w:t>
      </w:r>
      <w:r>
        <w:rPr>
          <w:rFonts w:hint="eastAsia" w:ascii="仿宋" w:hAnsi="仿宋" w:eastAsia="仿宋" w:cs="仿宋"/>
          <w:sz w:val="32"/>
          <w:szCs w:val="32"/>
          <w:lang w:eastAsia="zh-CN"/>
        </w:rPr>
        <w:t>、</w:t>
      </w:r>
      <w:r>
        <w:rPr>
          <w:rFonts w:hint="eastAsia" w:ascii="仿宋" w:hAnsi="仿宋" w:eastAsia="仿宋" w:cs="仿宋"/>
          <w:sz w:val="32"/>
          <w:szCs w:val="32"/>
        </w:rPr>
        <w:t>改(扩)建情况等遗漏或描写错误，影响评价结论的情况；是否存在法律、法规、标准主要条款漏项、错误或使用已废止的法律</w:t>
      </w:r>
      <w:r>
        <w:rPr>
          <w:rFonts w:hint="eastAsia" w:ascii="仿宋" w:hAnsi="仿宋" w:eastAsia="仿宋" w:cs="仿宋"/>
          <w:sz w:val="32"/>
          <w:szCs w:val="32"/>
          <w:lang w:eastAsia="zh-CN"/>
        </w:rPr>
        <w:t>、</w:t>
      </w:r>
      <w:r>
        <w:rPr>
          <w:rFonts w:hint="eastAsia" w:ascii="仿宋" w:hAnsi="仿宋" w:eastAsia="仿宋" w:cs="仿宋"/>
          <w:sz w:val="32"/>
          <w:szCs w:val="32"/>
        </w:rPr>
        <w:t>法规、标准，影响评价结论的情况；是否存在国家明令限制类、淘汰类工艺或设备未辨识或辨识有误，导致评价结论失实的情况；是否存在未进行危险化学品重大危险源辨识及分级或出现严重偏差，影响评价结论的情况；是否存在不符合国家和行业强制性规定的安全生产条件项，评价报告漏项未做评价的情况</w:t>
      </w:r>
      <w:r>
        <w:rPr>
          <w:rFonts w:hint="eastAsia" w:ascii="仿宋" w:hAnsi="仿宋" w:eastAsia="仿宋" w:cs="仿宋"/>
          <w:sz w:val="32"/>
          <w:szCs w:val="32"/>
          <w:lang w:eastAsia="zh-CN"/>
        </w:rPr>
        <w:t>；</w:t>
      </w:r>
      <w:r>
        <w:rPr>
          <w:rFonts w:hint="eastAsia" w:ascii="仿宋" w:hAnsi="仿宋" w:eastAsia="仿宋" w:cs="仿宋"/>
          <w:sz w:val="32"/>
          <w:szCs w:val="32"/>
        </w:rPr>
        <w:t>是否存在行业重大生产安全事故隐患判定标准中列举的重大事故隐患，评价报告漏项未做评价的情况；是否存在对策措施建议与被评价项目存在问题不符的情况</w:t>
      </w:r>
      <w:r>
        <w:rPr>
          <w:rFonts w:hint="eastAsia" w:ascii="仿宋" w:hAnsi="仿宋" w:eastAsia="仿宋" w:cs="仿宋"/>
          <w:sz w:val="32"/>
          <w:szCs w:val="32"/>
          <w:lang w:eastAsia="zh-CN"/>
        </w:rPr>
        <w:t>；</w:t>
      </w:r>
      <w:r>
        <w:rPr>
          <w:rFonts w:hint="eastAsia" w:ascii="仿宋" w:hAnsi="仿宋" w:eastAsia="仿宋" w:cs="仿宋"/>
          <w:sz w:val="32"/>
          <w:szCs w:val="32"/>
        </w:rPr>
        <w:t>是否存在故意伪造的情况；安全评价报告是否存在周边环境、主要建(构)筑物、工艺、装置、设备设施等重要内容上弄虚作假，导致与评价期间实际情况不符</w:t>
      </w:r>
      <w:r>
        <w:rPr>
          <w:rFonts w:hint="eastAsia" w:ascii="仿宋" w:hAnsi="仿宋" w:eastAsia="仿宋" w:cs="仿宋"/>
          <w:sz w:val="32"/>
          <w:szCs w:val="32"/>
          <w:lang w:eastAsia="zh-CN"/>
        </w:rPr>
        <w:t>，</w:t>
      </w:r>
      <w:r>
        <w:rPr>
          <w:rFonts w:hint="eastAsia" w:ascii="仿宋" w:hAnsi="仿宋" w:eastAsia="仿宋" w:cs="仿宋"/>
          <w:sz w:val="32"/>
          <w:szCs w:val="32"/>
        </w:rPr>
        <w:t>影响评价结论的情况；是否存在隐瞒生产经营单位重大事故隐患及整改落实情况、主要灾害等级等情况，影响评价结论的情况；是否存在伪造、篡改生产经营单位相关信息、数据</w:t>
      </w:r>
      <w:r>
        <w:rPr>
          <w:rFonts w:hint="eastAsia" w:ascii="仿宋" w:hAnsi="仿宋" w:eastAsia="仿宋" w:cs="仿宋"/>
          <w:sz w:val="32"/>
          <w:szCs w:val="32"/>
          <w:lang w:eastAsia="zh-CN"/>
        </w:rPr>
        <w:t>、</w:t>
      </w:r>
      <w:r>
        <w:rPr>
          <w:rFonts w:hint="eastAsia" w:ascii="仿宋" w:hAnsi="仿宋" w:eastAsia="仿宋" w:cs="仿宋"/>
          <w:sz w:val="32"/>
          <w:szCs w:val="32"/>
        </w:rPr>
        <w:t>技术报告或者结论等内容</w:t>
      </w:r>
      <w:r>
        <w:rPr>
          <w:rFonts w:hint="eastAsia" w:ascii="仿宋" w:hAnsi="仿宋" w:eastAsia="仿宋" w:cs="仿宋"/>
          <w:sz w:val="32"/>
          <w:szCs w:val="32"/>
          <w:lang w:eastAsia="zh-CN"/>
        </w:rPr>
        <w:t>，</w:t>
      </w:r>
      <w:r>
        <w:rPr>
          <w:rFonts w:hint="eastAsia" w:ascii="仿宋" w:hAnsi="仿宋" w:eastAsia="仿宋" w:cs="仿宋"/>
          <w:sz w:val="32"/>
          <w:szCs w:val="32"/>
        </w:rPr>
        <w:t>影响评价结论的情况；是否存在故意采用存疑的第三方证明材料、监测检验报告，影响评价结论的情况；是否存在有其他弄虚作假行为，影响评价结论的情况。安全生产检测检验报告是否存在法规标准引用错误</w:t>
      </w:r>
      <w:r>
        <w:rPr>
          <w:rFonts w:hint="eastAsia" w:ascii="仿宋" w:hAnsi="仿宋" w:eastAsia="仿宋" w:cs="仿宋"/>
          <w:sz w:val="32"/>
          <w:szCs w:val="32"/>
          <w:lang w:eastAsia="zh-CN"/>
        </w:rPr>
        <w:t>、</w:t>
      </w:r>
      <w:r>
        <w:rPr>
          <w:rFonts w:hint="eastAsia" w:ascii="仿宋" w:hAnsi="仿宋" w:eastAsia="仿宋" w:cs="仿宋"/>
          <w:sz w:val="32"/>
          <w:szCs w:val="32"/>
        </w:rPr>
        <w:t>关键项目漏检、结论不明确等重大疏漏，但尚未造成重大损失的情况</w:t>
      </w:r>
      <w:r>
        <w:rPr>
          <w:rFonts w:hint="eastAsia" w:ascii="仿宋" w:hAnsi="仿宋" w:eastAsia="仿宋" w:cs="仿宋"/>
          <w:sz w:val="32"/>
          <w:szCs w:val="32"/>
          <w:lang w:eastAsia="zh-CN"/>
        </w:rPr>
        <w:t>。</w:t>
      </w:r>
    </w:p>
    <w:p w14:paraId="50CFD6D9">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p>
    <w:p w14:paraId="207F61DE">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p>
    <w:p w14:paraId="4493EAF8">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p>
    <w:p w14:paraId="500464E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p>
    <w:p w14:paraId="07BB96EC">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p>
    <w:p w14:paraId="1DBE6379">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val="0"/>
          <w:bCs w:val="0"/>
          <w:spacing w:val="-20"/>
          <w:sz w:val="44"/>
          <w:szCs w:val="44"/>
        </w:rPr>
      </w:pPr>
    </w:p>
    <w:p w14:paraId="3CF49CB7">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val="0"/>
          <w:bCs w:val="0"/>
          <w:spacing w:val="-20"/>
          <w:sz w:val="44"/>
          <w:szCs w:val="44"/>
        </w:rPr>
      </w:pPr>
    </w:p>
    <w:p w14:paraId="7083E2D5">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val="0"/>
          <w:bCs w:val="0"/>
          <w:spacing w:val="-20"/>
          <w:sz w:val="44"/>
          <w:szCs w:val="44"/>
        </w:rPr>
      </w:pPr>
    </w:p>
    <w:p w14:paraId="4763D3BA">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val="0"/>
          <w:bCs w:val="0"/>
          <w:spacing w:val="-20"/>
          <w:sz w:val="44"/>
          <w:szCs w:val="44"/>
        </w:rPr>
      </w:pPr>
    </w:p>
    <w:p w14:paraId="1172B08F">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val="0"/>
          <w:bCs w:val="0"/>
          <w:spacing w:val="-20"/>
          <w:sz w:val="44"/>
          <w:szCs w:val="44"/>
        </w:rPr>
      </w:pPr>
    </w:p>
    <w:p w14:paraId="64E468AB">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val="0"/>
          <w:bCs w:val="0"/>
          <w:color w:val="auto"/>
          <w:spacing w:val="0"/>
          <w:sz w:val="44"/>
          <w:szCs w:val="44"/>
        </w:rPr>
      </w:pPr>
    </w:p>
    <w:p w14:paraId="5AAA9FF8">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val="0"/>
          <w:bCs w:val="0"/>
          <w:color w:val="auto"/>
          <w:spacing w:val="0"/>
          <w:sz w:val="44"/>
          <w:szCs w:val="44"/>
        </w:rPr>
      </w:pPr>
    </w:p>
    <w:p w14:paraId="7C47FB3B">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宋体" w:hAnsi="宋体" w:eastAsia="宋体" w:cs="宋体"/>
          <w:b w:val="0"/>
          <w:bCs w:val="0"/>
          <w:color w:val="auto"/>
          <w:spacing w:val="0"/>
          <w:sz w:val="44"/>
          <w:szCs w:val="44"/>
        </w:rPr>
      </w:pPr>
    </w:p>
    <w:p w14:paraId="35A4E016">
      <w:pPr>
        <w:widowControl/>
        <w:shd w:val="clear" w:color="auto" w:fill="FFFFFF"/>
        <w:spacing w:line="560" w:lineRule="exact"/>
        <w:rPr>
          <w:rFonts w:hint="default" w:ascii="宋体" w:hAnsi="宋体" w:eastAsia="宋体" w:cs="宋体"/>
          <w:b w:val="0"/>
          <w:bCs w:val="0"/>
          <w:color w:val="auto"/>
          <w:spacing w:val="0"/>
          <w:sz w:val="44"/>
          <w:szCs w:val="44"/>
          <w:lang w:val="en-US"/>
        </w:rPr>
      </w:pPr>
      <w:r>
        <w:rPr>
          <w:rFonts w:hint="eastAsia" w:ascii="黑体" w:hAnsi="黑体" w:eastAsia="黑体" w:cs="黑体"/>
          <w:color w:val="auto"/>
          <w:spacing w:val="0"/>
          <w:kern w:val="0"/>
          <w:sz w:val="32"/>
          <w:szCs w:val="32"/>
          <w:lang w:val="en-US" w:eastAsia="zh-CN"/>
        </w:rPr>
        <w:t>附件5</w:t>
      </w:r>
    </w:p>
    <w:p w14:paraId="48E5C4A9">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黑体" w:hAnsi="黑体" w:eastAsia="黑体" w:cs="黑体"/>
          <w:snapToGrid w:val="0"/>
          <w:color w:val="000000"/>
          <w:kern w:val="0"/>
          <w:sz w:val="32"/>
          <w:szCs w:val="32"/>
          <w:lang w:val="en-US" w:eastAsia="en-US" w:bidi="ar-SA"/>
        </w:rPr>
      </w:pPr>
      <w:r>
        <w:rPr>
          <w:rFonts w:hint="eastAsia" w:ascii="宋体" w:hAnsi="宋体" w:eastAsia="宋体" w:cs="宋体"/>
          <w:b w:val="0"/>
          <w:bCs w:val="0"/>
          <w:color w:val="auto"/>
          <w:spacing w:val="0"/>
          <w:sz w:val="44"/>
          <w:szCs w:val="44"/>
        </w:rPr>
        <w:t>安全生产教育培训机构重点监督检查事项</w:t>
      </w:r>
    </w:p>
    <w:p w14:paraId="78952E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en-US" w:bidi="ar-SA"/>
        </w:rPr>
        <w:t>一、</w:t>
      </w:r>
      <w:r>
        <w:rPr>
          <w:rFonts w:hint="eastAsia" w:ascii="黑体" w:hAnsi="黑体" w:eastAsia="黑体" w:cs="黑体"/>
          <w:sz w:val="32"/>
          <w:szCs w:val="32"/>
        </w:rPr>
        <w:t>重点检查内容</w:t>
      </w:r>
    </w:p>
    <w:p w14:paraId="564D69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以《安全生产培训管理办法》(原国家安全生产监督管理总局第44号令)《安全生产培训机构基本条件》 (AQ8011-2023)以及上级印发相关文件明确的安全生产培训机构从业行为规范要求为重点，加强对安全生产培训机构是否持续具备安全生产培训条件、是否按照统一的培训大纲组织教学培训，教育培训机构是否规范建立教育培训考核档案等情况开展执法检查。</w:t>
      </w:r>
    </w:p>
    <w:p w14:paraId="749199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snapToGrid w:val="0"/>
          <w:color w:val="000000"/>
          <w:kern w:val="0"/>
          <w:sz w:val="32"/>
          <w:szCs w:val="32"/>
          <w:lang w:val="en-US" w:eastAsia="en-US" w:bidi="ar-SA"/>
        </w:rPr>
      </w:pPr>
      <w:r>
        <w:rPr>
          <w:rFonts w:hint="eastAsia" w:ascii="黑体" w:hAnsi="黑体" w:eastAsia="黑体" w:cs="黑体"/>
          <w:snapToGrid w:val="0"/>
          <w:color w:val="000000"/>
          <w:kern w:val="0"/>
          <w:sz w:val="32"/>
          <w:szCs w:val="32"/>
          <w:lang w:val="en-US" w:eastAsia="en-US" w:bidi="ar-SA"/>
        </w:rPr>
        <w:t>二、执法检查安排</w:t>
      </w:r>
    </w:p>
    <w:p w14:paraId="78F36136">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计划全年开展“双随机”执法检查</w:t>
      </w:r>
      <w:r>
        <w:rPr>
          <w:rFonts w:hint="eastAsia" w:ascii="仿宋" w:hAnsi="仿宋" w:eastAsia="仿宋" w:cs="仿宋"/>
          <w:sz w:val="32"/>
          <w:szCs w:val="32"/>
          <w:lang w:val="en-US" w:eastAsia="zh-CN"/>
        </w:rPr>
        <w:t>2</w:t>
      </w:r>
      <w:r>
        <w:rPr>
          <w:rFonts w:hint="eastAsia" w:ascii="仿宋" w:hAnsi="仿宋" w:eastAsia="仿宋" w:cs="仿宋"/>
          <w:sz w:val="32"/>
          <w:szCs w:val="32"/>
        </w:rPr>
        <w:t>家次，并根据日常抽查情况确定是否</w:t>
      </w:r>
      <w:r>
        <w:rPr>
          <w:rFonts w:hint="eastAsia" w:ascii="仿宋" w:hAnsi="仿宋" w:eastAsia="仿宋" w:cs="仿宋"/>
          <w:sz w:val="32"/>
          <w:szCs w:val="32"/>
          <w:lang w:val="en-US" w:eastAsia="zh-CN"/>
        </w:rPr>
        <w:t>增加</w:t>
      </w:r>
      <w:r>
        <w:rPr>
          <w:rFonts w:hint="eastAsia" w:ascii="仿宋" w:hAnsi="仿宋" w:eastAsia="仿宋" w:cs="仿宋"/>
          <w:sz w:val="32"/>
          <w:szCs w:val="32"/>
        </w:rPr>
        <w:t>执法</w:t>
      </w:r>
      <w:r>
        <w:rPr>
          <w:rFonts w:hint="eastAsia" w:ascii="仿宋" w:hAnsi="仿宋" w:eastAsia="仿宋" w:cs="仿宋"/>
          <w:sz w:val="32"/>
          <w:szCs w:val="32"/>
          <w:lang w:val="en-US" w:eastAsia="zh-CN"/>
        </w:rPr>
        <w:t>频次</w:t>
      </w:r>
      <w:r>
        <w:rPr>
          <w:rFonts w:hint="eastAsia" w:ascii="仿宋" w:hAnsi="仿宋" w:eastAsia="仿宋" w:cs="仿宋"/>
          <w:sz w:val="32"/>
          <w:szCs w:val="32"/>
        </w:rPr>
        <w:t>。</w:t>
      </w:r>
    </w:p>
    <w:p w14:paraId="085305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黑体" w:hAnsi="黑体" w:eastAsia="黑体" w:cs="黑体"/>
          <w:snapToGrid w:val="0"/>
          <w:color w:val="000000"/>
          <w:kern w:val="0"/>
          <w:sz w:val="32"/>
          <w:szCs w:val="32"/>
          <w:lang w:val="en-US" w:eastAsia="en-US" w:bidi="ar-SA"/>
        </w:rPr>
      </w:pPr>
      <w:r>
        <w:rPr>
          <w:rFonts w:hint="eastAsia" w:ascii="黑体" w:hAnsi="黑体" w:eastAsia="黑体" w:cs="黑体"/>
          <w:snapToGrid w:val="0"/>
          <w:color w:val="000000"/>
          <w:kern w:val="0"/>
          <w:sz w:val="32"/>
          <w:szCs w:val="32"/>
          <w:lang w:val="en-US" w:eastAsia="en-US" w:bidi="ar-SA"/>
        </w:rPr>
        <w:t>三、执法工作措施</w:t>
      </w:r>
    </w:p>
    <w:p w14:paraId="60D67BA2">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lang w:eastAsia="zh-CN"/>
        </w:rPr>
      </w:pPr>
      <w:r>
        <w:rPr>
          <w:rFonts w:hint="eastAsia" w:ascii="楷体" w:hAnsi="楷体" w:eastAsia="楷体" w:cs="楷体"/>
          <w:sz w:val="32"/>
          <w:szCs w:val="32"/>
        </w:rPr>
        <w:t>(一)严格培训机构监管。</w:t>
      </w:r>
      <w:r>
        <w:rPr>
          <w:rFonts w:hint="eastAsia" w:ascii="仿宋" w:hAnsi="仿宋" w:eastAsia="仿宋" w:cs="仿宋"/>
          <w:sz w:val="32"/>
          <w:szCs w:val="32"/>
        </w:rPr>
        <w:t>根据培训机构培训质量、学员评议、日常检查、网上巡查以及“双随机”执法检查等情况</w:t>
      </w:r>
      <w:r>
        <w:rPr>
          <w:rFonts w:hint="eastAsia" w:ascii="仿宋" w:hAnsi="仿宋" w:eastAsia="仿宋" w:cs="仿宋"/>
          <w:sz w:val="32"/>
          <w:szCs w:val="32"/>
          <w:lang w:eastAsia="zh-CN"/>
        </w:rPr>
        <w:t>，</w:t>
      </w:r>
      <w:r>
        <w:rPr>
          <w:rFonts w:hint="eastAsia" w:ascii="仿宋" w:hAnsi="仿宋" w:eastAsia="仿宋" w:cs="仿宋"/>
          <w:sz w:val="32"/>
          <w:szCs w:val="32"/>
        </w:rPr>
        <w:t>对安全</w:t>
      </w:r>
      <w:r>
        <w:rPr>
          <w:rFonts w:hint="eastAsia" w:ascii="仿宋" w:hAnsi="仿宋" w:eastAsia="仿宋" w:cs="仿宋"/>
          <w:sz w:val="32"/>
          <w:szCs w:val="32"/>
          <w:lang w:val="en-US" w:eastAsia="zh-CN"/>
        </w:rPr>
        <w:t>生产</w:t>
      </w:r>
      <w:r>
        <w:rPr>
          <w:rFonts w:hint="eastAsia" w:ascii="仿宋" w:hAnsi="仿宋" w:eastAsia="仿宋" w:cs="仿宋"/>
          <w:sz w:val="32"/>
          <w:szCs w:val="32"/>
        </w:rPr>
        <w:t>培训机构强化监管，对存在问题突出的，加大监督检查频次，倒逼相关培训机构持续提升安全</w:t>
      </w:r>
      <w:r>
        <w:rPr>
          <w:rFonts w:hint="eastAsia" w:ascii="仿宋" w:hAnsi="仿宋" w:eastAsia="仿宋" w:cs="仿宋"/>
          <w:sz w:val="32"/>
          <w:szCs w:val="32"/>
          <w:lang w:val="en-US" w:eastAsia="zh-CN"/>
        </w:rPr>
        <w:t>生产</w:t>
      </w:r>
      <w:r>
        <w:rPr>
          <w:rFonts w:hint="eastAsia" w:ascii="仿宋" w:hAnsi="仿宋" w:eastAsia="仿宋" w:cs="仿宋"/>
          <w:sz w:val="32"/>
          <w:szCs w:val="32"/>
        </w:rPr>
        <w:t>培训质量</w:t>
      </w:r>
      <w:r>
        <w:rPr>
          <w:rFonts w:hint="eastAsia" w:ascii="仿宋" w:hAnsi="仿宋" w:eastAsia="仿宋" w:cs="仿宋"/>
          <w:sz w:val="32"/>
          <w:szCs w:val="32"/>
          <w:lang w:eastAsia="zh-CN"/>
        </w:rPr>
        <w:t>。</w:t>
      </w:r>
    </w:p>
    <w:p w14:paraId="0B52FE77">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lang w:eastAsia="zh-CN"/>
        </w:rPr>
      </w:pPr>
      <w:r>
        <w:rPr>
          <w:rFonts w:hint="eastAsia" w:ascii="楷体" w:hAnsi="楷体" w:eastAsia="楷体" w:cs="楷体"/>
          <w:sz w:val="32"/>
          <w:szCs w:val="32"/>
        </w:rPr>
        <w:t>(二)开展“双随机”执法检查。</w:t>
      </w:r>
      <w:r>
        <w:rPr>
          <w:rFonts w:hint="eastAsia" w:ascii="仿宋" w:hAnsi="仿宋" w:eastAsia="仿宋" w:cs="仿宋"/>
          <w:sz w:val="32"/>
          <w:szCs w:val="32"/>
        </w:rPr>
        <w:t>将安全生产培训机构纳入监察执法范围，加大对安全生产培训机构落实安全</w:t>
      </w:r>
      <w:r>
        <w:rPr>
          <w:rFonts w:hint="eastAsia" w:ascii="仿宋" w:hAnsi="仿宋" w:eastAsia="仿宋" w:cs="仿宋"/>
          <w:sz w:val="32"/>
          <w:szCs w:val="32"/>
          <w:lang w:val="en-US" w:eastAsia="zh-CN"/>
        </w:rPr>
        <w:t>生产</w:t>
      </w:r>
      <w:r>
        <w:rPr>
          <w:rFonts w:hint="eastAsia" w:ascii="仿宋" w:hAnsi="仿宋" w:eastAsia="仿宋" w:cs="仿宋"/>
          <w:sz w:val="32"/>
          <w:szCs w:val="32"/>
        </w:rPr>
        <w:t>培训基本要求、规范教学行为等情况的“双随机”抽查检查力度，对检查发现的安全培训违法违规行为依法依规予以查处</w:t>
      </w:r>
      <w:r>
        <w:rPr>
          <w:rFonts w:hint="eastAsia" w:ascii="仿宋" w:hAnsi="仿宋" w:eastAsia="仿宋" w:cs="仿宋"/>
          <w:sz w:val="32"/>
          <w:szCs w:val="32"/>
          <w:lang w:eastAsia="zh-CN"/>
        </w:rPr>
        <w:t>。</w:t>
      </w:r>
    </w:p>
    <w:p w14:paraId="2998E7CB">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r>
        <w:rPr>
          <w:rFonts w:hint="eastAsia" w:ascii="楷体" w:hAnsi="楷体" w:eastAsia="楷体" w:cs="楷体"/>
          <w:sz w:val="32"/>
          <w:szCs w:val="32"/>
        </w:rPr>
        <w:t>(三)严肃主体责任追究。</w:t>
      </w:r>
      <w:r>
        <w:rPr>
          <w:rFonts w:hint="eastAsia" w:ascii="仿宋" w:hAnsi="仿宋" w:eastAsia="仿宋" w:cs="仿宋"/>
          <w:sz w:val="32"/>
          <w:szCs w:val="32"/>
        </w:rPr>
        <w:t>对检查中发现不具备安全生产培训条件开展培训业务的培训机构，一经发现，责令限期改正并依法依规予以行政处罚，对拒不整改的，责令停止相应的安全生产培训活动。</w:t>
      </w:r>
    </w:p>
    <w:p w14:paraId="474D9FBE">
      <w:pPr>
        <w:rPr>
          <w:rFonts w:hint="eastAsia" w:ascii="Times New Roman" w:hAnsi="Times New Roman" w:eastAsia="黑体" w:cs="黑体"/>
          <w:color w:val="auto"/>
          <w:sz w:val="32"/>
          <w:szCs w:val="32"/>
          <w:lang w:val="en-US" w:eastAsia="zh-CN"/>
        </w:rPr>
      </w:pPr>
    </w:p>
    <w:p w14:paraId="0CCEB2FC">
      <w:pPr>
        <w:rPr>
          <w:rFonts w:hint="eastAsia" w:ascii="Times New Roman" w:hAnsi="Times New Roman" w:eastAsia="黑体" w:cs="黑体"/>
          <w:color w:val="auto"/>
          <w:sz w:val="32"/>
          <w:szCs w:val="32"/>
          <w:lang w:val="en-US" w:eastAsia="zh-CN"/>
        </w:rPr>
      </w:pPr>
    </w:p>
    <w:p w14:paraId="226CB374">
      <w:pPr>
        <w:rPr>
          <w:rFonts w:hint="eastAsia" w:ascii="Times New Roman" w:hAnsi="Times New Roman" w:eastAsia="黑体" w:cs="黑体"/>
          <w:color w:val="auto"/>
          <w:sz w:val="32"/>
          <w:szCs w:val="32"/>
          <w:lang w:val="en-US" w:eastAsia="zh-CN"/>
        </w:rPr>
      </w:pPr>
    </w:p>
    <w:p w14:paraId="1E5DA521">
      <w:pPr>
        <w:rPr>
          <w:rFonts w:hint="eastAsia" w:ascii="Times New Roman" w:hAnsi="Times New Roman" w:eastAsia="黑体" w:cs="黑体"/>
          <w:color w:val="auto"/>
          <w:sz w:val="32"/>
          <w:szCs w:val="32"/>
          <w:lang w:val="en-US" w:eastAsia="zh-CN"/>
        </w:rPr>
      </w:pPr>
    </w:p>
    <w:p w14:paraId="2A9EA958">
      <w:pPr>
        <w:rPr>
          <w:rFonts w:hint="eastAsia" w:ascii="Times New Roman" w:hAnsi="Times New Roman" w:eastAsia="黑体" w:cs="黑体"/>
          <w:color w:val="auto"/>
          <w:sz w:val="32"/>
          <w:szCs w:val="32"/>
          <w:lang w:val="en-US" w:eastAsia="zh-CN"/>
        </w:rPr>
      </w:pPr>
    </w:p>
    <w:p w14:paraId="11ED4819">
      <w:pPr>
        <w:rPr>
          <w:rFonts w:hint="eastAsia" w:ascii="Times New Roman" w:hAnsi="Times New Roman" w:eastAsia="黑体" w:cs="黑体"/>
          <w:color w:val="auto"/>
          <w:sz w:val="32"/>
          <w:szCs w:val="32"/>
          <w:lang w:val="en-US" w:eastAsia="zh-CN"/>
        </w:rPr>
      </w:pPr>
    </w:p>
    <w:p w14:paraId="79B5849C">
      <w:pPr>
        <w:rPr>
          <w:rFonts w:hint="eastAsia" w:ascii="Times New Roman" w:hAnsi="Times New Roman" w:eastAsia="黑体" w:cs="黑体"/>
          <w:color w:val="auto"/>
          <w:sz w:val="32"/>
          <w:szCs w:val="32"/>
          <w:lang w:val="en-US" w:eastAsia="zh-CN"/>
        </w:rPr>
      </w:pPr>
    </w:p>
    <w:p w14:paraId="31213E9B">
      <w:pPr>
        <w:rPr>
          <w:rFonts w:hint="eastAsia" w:ascii="Times New Roman" w:hAnsi="Times New Roman" w:eastAsia="黑体" w:cs="黑体"/>
          <w:color w:val="auto"/>
          <w:sz w:val="32"/>
          <w:szCs w:val="32"/>
          <w:lang w:val="en-US" w:eastAsia="zh-CN"/>
        </w:rPr>
      </w:pPr>
    </w:p>
    <w:p w14:paraId="55184E8B">
      <w:pPr>
        <w:rPr>
          <w:rFonts w:hint="eastAsia" w:ascii="Times New Roman" w:hAnsi="Times New Roman" w:eastAsia="黑体" w:cs="黑体"/>
          <w:color w:val="auto"/>
          <w:sz w:val="32"/>
          <w:szCs w:val="32"/>
          <w:lang w:val="en-US" w:eastAsia="zh-CN"/>
        </w:rPr>
      </w:pPr>
    </w:p>
    <w:p w14:paraId="1DC56F5D">
      <w:pPr>
        <w:rPr>
          <w:rFonts w:hint="eastAsia" w:ascii="Times New Roman" w:hAnsi="Times New Roman" w:eastAsia="黑体" w:cs="黑体"/>
          <w:color w:val="auto"/>
          <w:sz w:val="32"/>
          <w:szCs w:val="32"/>
          <w:lang w:val="en-US" w:eastAsia="zh-CN"/>
        </w:rPr>
      </w:pPr>
    </w:p>
    <w:p w14:paraId="4BD4E1E6">
      <w:pPr>
        <w:rPr>
          <w:rFonts w:hint="eastAsia" w:ascii="Times New Roman" w:hAnsi="Times New Roman" w:eastAsia="黑体" w:cs="黑体"/>
          <w:color w:val="auto"/>
          <w:sz w:val="32"/>
          <w:szCs w:val="32"/>
          <w:lang w:val="en-US" w:eastAsia="zh-CN"/>
        </w:rPr>
      </w:pPr>
    </w:p>
    <w:p w14:paraId="4B640C09">
      <w:pPr>
        <w:rPr>
          <w:rFonts w:hint="eastAsia" w:ascii="Times New Roman" w:hAnsi="Times New Roman" w:eastAsia="黑体" w:cs="黑体"/>
          <w:color w:val="auto"/>
          <w:sz w:val="32"/>
          <w:szCs w:val="32"/>
          <w:lang w:val="en-US" w:eastAsia="zh-CN"/>
        </w:rPr>
      </w:pPr>
    </w:p>
    <w:p w14:paraId="69204B3E">
      <w:pPr>
        <w:rPr>
          <w:rFonts w:hint="eastAsia" w:ascii="Times New Roman" w:hAnsi="Times New Roman" w:eastAsia="黑体" w:cs="黑体"/>
          <w:color w:val="auto"/>
          <w:sz w:val="32"/>
          <w:szCs w:val="32"/>
          <w:lang w:val="en-US" w:eastAsia="zh-CN"/>
        </w:rPr>
      </w:pPr>
    </w:p>
    <w:p w14:paraId="596D65FD">
      <w:pPr>
        <w:rPr>
          <w:rFonts w:hint="eastAsia" w:ascii="Times New Roman" w:hAnsi="Times New Roman" w:eastAsia="黑体" w:cs="黑体"/>
          <w:color w:val="auto"/>
          <w:sz w:val="32"/>
          <w:szCs w:val="32"/>
          <w:lang w:val="en-US" w:eastAsia="zh-CN"/>
        </w:rPr>
      </w:pPr>
    </w:p>
    <w:p w14:paraId="02DE2F0D">
      <w:pPr>
        <w:rPr>
          <w:rFonts w:hint="eastAsia" w:ascii="Times New Roman" w:hAnsi="Times New Roman" w:eastAsia="黑体" w:cs="黑体"/>
          <w:color w:val="auto"/>
          <w:sz w:val="32"/>
          <w:szCs w:val="32"/>
          <w:lang w:val="en-US" w:eastAsia="zh-CN"/>
        </w:rPr>
      </w:pPr>
    </w:p>
    <w:p w14:paraId="6AFF802B">
      <w:pPr>
        <w:rPr>
          <w:rFonts w:hint="eastAsia" w:ascii="Times New Roman" w:hAnsi="Times New Roman" w:eastAsia="黑体" w:cs="黑体"/>
          <w:color w:val="auto"/>
          <w:sz w:val="32"/>
          <w:szCs w:val="32"/>
          <w:lang w:val="en-US" w:eastAsia="zh-CN"/>
        </w:rPr>
      </w:pPr>
    </w:p>
    <w:p w14:paraId="61BBC19E">
      <w:pPr>
        <w:rPr>
          <w:rFonts w:hint="eastAsia" w:ascii="Times New Roman" w:hAnsi="Times New Roman" w:eastAsia="黑体" w:cs="黑体"/>
          <w:color w:val="auto"/>
          <w:sz w:val="32"/>
          <w:szCs w:val="32"/>
          <w:lang w:val="en-US" w:eastAsia="zh-CN"/>
        </w:rPr>
      </w:pPr>
    </w:p>
    <w:p w14:paraId="68059966">
      <w:pPr>
        <w:rPr>
          <w:rFonts w:hint="eastAsia" w:ascii="Times New Roman" w:hAnsi="Times New Roman" w:eastAsia="黑体" w:cs="黑体"/>
          <w:color w:val="auto"/>
          <w:sz w:val="32"/>
          <w:szCs w:val="32"/>
          <w:lang w:val="en-US" w:eastAsia="zh-CN"/>
        </w:rPr>
      </w:pPr>
    </w:p>
    <w:p w14:paraId="1A93F2D1">
      <w:pPr>
        <w:rPr>
          <w:rFonts w:hint="eastAsia" w:ascii="Times New Roman" w:hAnsi="Times New Roman" w:eastAsia="黑体" w:cs="黑体"/>
          <w:color w:val="auto"/>
          <w:sz w:val="32"/>
          <w:szCs w:val="32"/>
          <w:lang w:val="en-US" w:eastAsia="zh-CN"/>
        </w:rPr>
      </w:pPr>
    </w:p>
    <w:p w14:paraId="6B272759">
      <w:pPr>
        <w:rPr>
          <w:rFonts w:hint="eastAsia" w:ascii="Times New Roman" w:hAnsi="Times New Roman" w:eastAsia="黑体" w:cs="黑体"/>
          <w:color w:val="auto"/>
          <w:sz w:val="32"/>
          <w:szCs w:val="32"/>
          <w:lang w:val="en-US" w:eastAsia="zh-CN"/>
        </w:rPr>
      </w:pPr>
    </w:p>
    <w:p w14:paraId="0903A622">
      <w:pPr>
        <w:rPr>
          <w:rFonts w:hint="eastAsia" w:ascii="Times New Roman" w:hAnsi="Times New Roman" w:eastAsia="黑体" w:cs="黑体"/>
          <w:color w:val="auto"/>
          <w:sz w:val="32"/>
          <w:szCs w:val="32"/>
          <w:lang w:val="en-US" w:eastAsia="zh-CN"/>
        </w:rPr>
      </w:pPr>
    </w:p>
    <w:p w14:paraId="317671A0">
      <w:pPr>
        <w:rPr>
          <w:rFonts w:hint="eastAsia" w:ascii="Times New Roman" w:hAnsi="Times New Roman" w:eastAsia="黑体" w:cs="黑体"/>
          <w:color w:val="auto"/>
          <w:sz w:val="32"/>
          <w:szCs w:val="32"/>
          <w:lang w:val="en-US" w:eastAsia="zh-CN"/>
        </w:rPr>
      </w:pPr>
    </w:p>
    <w:p w14:paraId="008409B6">
      <w:pPr>
        <w:rPr>
          <w:rFonts w:hint="eastAsia" w:ascii="Times New Roman" w:hAnsi="Times New Roman" w:eastAsia="黑体" w:cs="黑体"/>
          <w:color w:val="auto"/>
          <w:sz w:val="32"/>
          <w:szCs w:val="32"/>
          <w:lang w:val="en-US" w:eastAsia="zh-CN"/>
        </w:rPr>
      </w:pPr>
    </w:p>
    <w:p w14:paraId="5B9D1883">
      <w:pPr>
        <w:rPr>
          <w:rFonts w:hint="eastAsia" w:ascii="Times New Roman" w:hAnsi="Times New Roman" w:eastAsia="黑体" w:cs="黑体"/>
          <w:color w:val="auto"/>
          <w:sz w:val="32"/>
          <w:szCs w:val="32"/>
          <w:lang w:val="en-US" w:eastAsia="zh-CN"/>
        </w:rPr>
      </w:pPr>
    </w:p>
    <w:p w14:paraId="2F754DA6">
      <w:pPr>
        <w:rPr>
          <w:rFonts w:hint="eastAsia" w:ascii="Times New Roman" w:hAnsi="Times New Roman" w:eastAsia="黑体" w:cs="黑体"/>
          <w:color w:val="auto"/>
          <w:sz w:val="32"/>
          <w:szCs w:val="32"/>
          <w:lang w:val="en-US" w:eastAsia="zh-CN"/>
        </w:rPr>
      </w:pPr>
    </w:p>
    <w:p w14:paraId="197A5949">
      <w:pPr>
        <w:rPr>
          <w:rFonts w:hint="eastAsia" w:ascii="Times New Roman" w:hAnsi="Times New Roman" w:eastAsia="黑体" w:cs="黑体"/>
          <w:color w:val="auto"/>
          <w:sz w:val="32"/>
          <w:szCs w:val="32"/>
          <w:lang w:val="en-US" w:eastAsia="zh-CN"/>
        </w:rPr>
      </w:pPr>
    </w:p>
    <w:p w14:paraId="7614E60E">
      <w:pPr>
        <w:rPr>
          <w:rFonts w:hint="eastAsia" w:ascii="Times New Roman" w:hAnsi="Times New Roman" w:eastAsia="黑体" w:cs="黑体"/>
          <w:color w:val="auto"/>
          <w:sz w:val="32"/>
          <w:szCs w:val="32"/>
          <w:lang w:val="en-US" w:eastAsia="zh-CN"/>
        </w:rPr>
      </w:pPr>
    </w:p>
    <w:p w14:paraId="50BD2504">
      <w:pPr>
        <w:rPr>
          <w:rFonts w:hint="eastAsia" w:ascii="Times New Roman" w:hAnsi="Times New Roman" w:eastAsia="黑体" w:cs="黑体"/>
          <w:color w:val="auto"/>
          <w:sz w:val="32"/>
          <w:szCs w:val="32"/>
          <w:lang w:val="en-US" w:eastAsia="zh-CN"/>
        </w:rPr>
      </w:pPr>
    </w:p>
    <w:p w14:paraId="16B38D49">
      <w:pPr>
        <w:rPr>
          <w:rFonts w:hint="eastAsia" w:ascii="Times New Roman" w:hAnsi="Times New Roman" w:eastAsia="黑体" w:cs="黑体"/>
          <w:color w:val="auto"/>
          <w:sz w:val="32"/>
          <w:szCs w:val="32"/>
          <w:lang w:val="en-US" w:eastAsia="zh-CN"/>
        </w:rPr>
      </w:pPr>
    </w:p>
    <w:p w14:paraId="1B045D35">
      <w:pPr>
        <w:rPr>
          <w:rFonts w:hint="eastAsia" w:ascii="Times New Roman" w:hAnsi="Times New Roman" w:eastAsia="黑体" w:cs="黑体"/>
          <w:color w:val="auto"/>
          <w:sz w:val="32"/>
          <w:szCs w:val="32"/>
          <w:lang w:val="en-US" w:eastAsia="zh-CN"/>
        </w:rPr>
      </w:pPr>
    </w:p>
    <w:p w14:paraId="1AF6D2D1">
      <w:pPr>
        <w:rPr>
          <w:rFonts w:hint="eastAsia" w:ascii="Times New Roman" w:hAnsi="Times New Roman" w:eastAsia="黑体" w:cs="黑体"/>
          <w:color w:val="auto"/>
          <w:sz w:val="32"/>
          <w:szCs w:val="32"/>
          <w:lang w:val="en-US" w:eastAsia="zh-CN"/>
        </w:rPr>
      </w:pPr>
    </w:p>
    <w:p w14:paraId="5CBF966B">
      <w:pPr>
        <w:rPr>
          <w:rFonts w:hint="eastAsia" w:ascii="Times New Roman" w:hAnsi="Times New Roman" w:eastAsia="黑体" w:cs="黑体"/>
          <w:color w:val="auto"/>
          <w:sz w:val="32"/>
          <w:szCs w:val="32"/>
          <w:lang w:val="en-US" w:eastAsia="zh-CN"/>
        </w:rPr>
      </w:pPr>
    </w:p>
    <w:p w14:paraId="5BDF2315">
      <w:pPr>
        <w:rPr>
          <w:rFonts w:hint="eastAsia" w:ascii="Times New Roman" w:hAnsi="Times New Roman" w:eastAsia="黑体" w:cs="黑体"/>
          <w:color w:val="auto"/>
          <w:sz w:val="32"/>
          <w:szCs w:val="32"/>
          <w:lang w:val="en-US" w:eastAsia="zh-CN"/>
        </w:rPr>
      </w:pPr>
    </w:p>
    <w:p w14:paraId="59673989">
      <w:pPr>
        <w:rPr>
          <w:rFonts w:hint="eastAsia" w:ascii="Times New Roman" w:hAnsi="Times New Roman" w:eastAsia="黑体" w:cs="黑体"/>
          <w:color w:val="auto"/>
          <w:sz w:val="32"/>
          <w:szCs w:val="32"/>
          <w:lang w:val="en-US" w:eastAsia="zh-CN"/>
        </w:rPr>
      </w:pPr>
    </w:p>
    <w:p w14:paraId="23B90DA3">
      <w:pPr>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附件6</w:t>
      </w:r>
    </w:p>
    <w:p w14:paraId="252379D2">
      <w:pPr>
        <w:keepNext w:val="0"/>
        <w:keepLines w:val="0"/>
        <w:pageBreakBefore w:val="0"/>
        <w:widowControl/>
        <w:kinsoku w:val="0"/>
        <w:wordWrap/>
        <w:overflowPunct/>
        <w:topLinePunct w:val="0"/>
        <w:autoSpaceDE w:val="0"/>
        <w:autoSpaceDN w:val="0"/>
        <w:bidi w:val="0"/>
        <w:adjustRightInd w:val="0"/>
        <w:snapToGrid w:val="0"/>
        <w:spacing w:line="570" w:lineRule="exact"/>
        <w:ind w:right="0"/>
        <w:jc w:val="center"/>
        <w:textAlignment w:val="baseline"/>
        <w:rPr>
          <w:rFonts w:ascii="宋体" w:hAnsi="宋体" w:eastAsia="宋体" w:cs="宋体"/>
          <w:b/>
          <w:bCs/>
          <w:color w:val="auto"/>
          <w:spacing w:val="0"/>
          <w:sz w:val="44"/>
          <w:szCs w:val="44"/>
        </w:rPr>
      </w:pPr>
      <w:r>
        <w:rPr>
          <w:rFonts w:ascii="宋体" w:hAnsi="宋体" w:eastAsia="宋体" w:cs="宋体"/>
          <w:b/>
          <w:bCs/>
          <w:color w:val="auto"/>
          <w:spacing w:val="0"/>
          <w:sz w:val="44"/>
          <w:szCs w:val="44"/>
        </w:rPr>
        <w:t>2025年度重点检查企业名单</w:t>
      </w:r>
    </w:p>
    <w:p w14:paraId="4BD17487">
      <w:pPr>
        <w:keepNext w:val="0"/>
        <w:keepLines w:val="0"/>
        <w:pageBreakBefore w:val="0"/>
        <w:widowControl/>
        <w:kinsoku w:val="0"/>
        <w:wordWrap/>
        <w:overflowPunct/>
        <w:topLinePunct w:val="0"/>
        <w:autoSpaceDE w:val="0"/>
        <w:autoSpaceDN w:val="0"/>
        <w:bidi w:val="0"/>
        <w:adjustRightInd w:val="0"/>
        <w:snapToGrid w:val="0"/>
        <w:spacing w:line="570" w:lineRule="exact"/>
        <w:ind w:right="0"/>
        <w:jc w:val="center"/>
        <w:textAlignment w:val="baseline"/>
        <w:rPr>
          <w:rFonts w:ascii="宋体" w:hAnsi="宋体" w:eastAsia="宋体" w:cs="宋体"/>
          <w:b/>
          <w:bCs/>
          <w:color w:val="auto"/>
          <w:spacing w:val="0"/>
          <w:sz w:val="44"/>
          <w:szCs w:val="44"/>
        </w:rPr>
      </w:pPr>
    </w:p>
    <w:p w14:paraId="661877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right="0" w:rightChars="0" w:firstLine="620" w:firstLineChars="200"/>
        <w:textAlignment w:val="baseline"/>
        <w:rPr>
          <w:rFonts w:ascii="楷体" w:hAnsi="楷体" w:eastAsia="楷体" w:cs="楷体"/>
          <w:color w:val="auto"/>
          <w:spacing w:val="-20"/>
          <w:sz w:val="31"/>
          <w:szCs w:val="31"/>
        </w:rPr>
      </w:pPr>
      <w:r>
        <w:rPr>
          <w:rFonts w:hint="eastAsia" w:ascii="黑体" w:hAnsi="黑体" w:eastAsia="黑体" w:cs="黑体"/>
          <w:b w:val="0"/>
          <w:bCs w:val="0"/>
          <w:snapToGrid w:val="0"/>
          <w:color w:val="auto"/>
          <w:spacing w:val="0"/>
          <w:kern w:val="0"/>
          <w:sz w:val="31"/>
          <w:szCs w:val="31"/>
          <w:lang w:val="en-US" w:eastAsia="en-US" w:bidi="ar-SA"/>
        </w:rPr>
        <w:t>一、</w:t>
      </w:r>
      <w:r>
        <w:rPr>
          <w:rFonts w:hint="eastAsia" w:ascii="黑体" w:hAnsi="黑体" w:eastAsia="黑体" w:cs="黑体"/>
          <w:b w:val="0"/>
          <w:bCs w:val="0"/>
          <w:color w:val="auto"/>
          <w:spacing w:val="0"/>
          <w:sz w:val="31"/>
          <w:szCs w:val="31"/>
        </w:rPr>
        <w:t>危险化学品及烟花爆竹行业</w:t>
      </w:r>
      <w:r>
        <w:rPr>
          <w:rFonts w:hint="eastAsia" w:ascii="黑体" w:hAnsi="黑体" w:eastAsia="黑体" w:cs="黑体"/>
          <w:b w:val="0"/>
          <w:bCs w:val="0"/>
          <w:color w:val="auto"/>
          <w:spacing w:val="0"/>
          <w:sz w:val="31"/>
          <w:szCs w:val="31"/>
          <w:lang w:val="en-US" w:eastAsia="zh-CN"/>
        </w:rPr>
        <w:t>8</w:t>
      </w:r>
      <w:r>
        <w:rPr>
          <w:rFonts w:hint="eastAsia" w:ascii="黑体" w:hAnsi="黑体" w:eastAsia="黑体" w:cs="黑体"/>
          <w:b w:val="0"/>
          <w:bCs w:val="0"/>
          <w:color w:val="auto"/>
          <w:spacing w:val="0"/>
          <w:sz w:val="31"/>
          <w:szCs w:val="31"/>
        </w:rPr>
        <w:t>家</w:t>
      </w:r>
      <w:r>
        <w:rPr>
          <w:rFonts w:ascii="黑体" w:hAnsi="黑体" w:eastAsia="黑体" w:cs="黑体"/>
          <w:b w:val="0"/>
          <w:bCs w:val="0"/>
          <w:color w:val="auto"/>
          <w:spacing w:val="0"/>
          <w:sz w:val="31"/>
          <w:szCs w:val="31"/>
        </w:rPr>
        <w:t xml:space="preserve"> </w:t>
      </w:r>
      <w:r>
        <w:rPr>
          <w:rFonts w:hint="eastAsia" w:ascii="黑体" w:hAnsi="黑体" w:eastAsia="黑体" w:cs="黑体"/>
          <w:b w:val="0"/>
          <w:bCs w:val="0"/>
          <w:color w:val="auto"/>
          <w:spacing w:val="-20"/>
          <w:sz w:val="31"/>
          <w:szCs w:val="31"/>
          <w:lang w:eastAsia="zh-CN"/>
        </w:rPr>
        <w:t>（</w:t>
      </w:r>
      <w:r>
        <w:rPr>
          <w:rFonts w:hint="eastAsia" w:ascii="楷体" w:hAnsi="楷体" w:eastAsia="楷体" w:cs="楷体"/>
          <w:b w:val="0"/>
          <w:bCs w:val="0"/>
          <w:color w:val="auto"/>
          <w:spacing w:val="-20"/>
          <w:sz w:val="31"/>
          <w:szCs w:val="31"/>
          <w:lang w:val="en-US" w:eastAsia="zh-CN"/>
        </w:rPr>
        <w:t>责任</w:t>
      </w:r>
      <w:r>
        <w:rPr>
          <w:rFonts w:hint="eastAsia" w:ascii="楷体" w:hAnsi="楷体" w:eastAsia="楷体" w:cs="楷体"/>
          <w:color w:val="auto"/>
          <w:spacing w:val="-20"/>
          <w:sz w:val="31"/>
          <w:szCs w:val="31"/>
          <w:lang w:val="en-US" w:eastAsia="zh-CN"/>
        </w:rPr>
        <w:t>股</w:t>
      </w:r>
      <w:r>
        <w:rPr>
          <w:rFonts w:hint="eastAsia" w:ascii="楷体" w:hAnsi="楷体" w:eastAsia="楷体" w:cs="楷体"/>
          <w:color w:val="auto"/>
          <w:spacing w:val="-20"/>
          <w:sz w:val="31"/>
          <w:szCs w:val="31"/>
        </w:rPr>
        <w:t>室</w:t>
      </w:r>
      <w:r>
        <w:rPr>
          <w:rFonts w:hint="eastAsia" w:ascii="楷体" w:hAnsi="楷体" w:eastAsia="楷体" w:cs="楷体"/>
          <w:color w:val="auto"/>
          <w:spacing w:val="-20"/>
          <w:sz w:val="31"/>
          <w:szCs w:val="31"/>
          <w:lang w:eastAsia="zh-CN"/>
        </w:rPr>
        <w:t>：</w:t>
      </w:r>
      <w:r>
        <w:rPr>
          <w:rFonts w:hint="eastAsia" w:ascii="楷体" w:hAnsi="楷体" w:eastAsia="楷体" w:cs="楷体"/>
          <w:color w:val="auto"/>
          <w:spacing w:val="-20"/>
          <w:sz w:val="31"/>
          <w:szCs w:val="31"/>
          <w:lang w:val="en-US" w:eastAsia="zh-CN"/>
        </w:rPr>
        <w:t>监管一股</w:t>
      </w:r>
      <w:r>
        <w:rPr>
          <w:rFonts w:ascii="楷体" w:hAnsi="楷体" w:eastAsia="楷体" w:cs="楷体"/>
          <w:color w:val="auto"/>
          <w:spacing w:val="-20"/>
          <w:sz w:val="31"/>
          <w:szCs w:val="31"/>
        </w:rPr>
        <w:t>)</w:t>
      </w:r>
    </w:p>
    <w:p w14:paraId="54CF73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right="0" w:rightChars="0" w:firstLine="660" w:firstLineChars="200"/>
        <w:textAlignment w:val="baseline"/>
        <w:rPr>
          <w:rFonts w:hint="eastAsia" w:ascii="仿宋" w:hAnsi="仿宋" w:eastAsia="仿宋" w:cs="仿宋"/>
          <w:color w:val="auto"/>
          <w:spacing w:val="5"/>
          <w:sz w:val="32"/>
          <w:szCs w:val="32"/>
          <w:lang w:val="en-US" w:eastAsia="zh-CN"/>
        </w:rPr>
      </w:pPr>
      <w:r>
        <w:rPr>
          <w:rFonts w:hint="eastAsia" w:ascii="仿宋" w:hAnsi="仿宋" w:eastAsia="仿宋" w:cs="仿宋"/>
          <w:color w:val="auto"/>
          <w:spacing w:val="5"/>
          <w:sz w:val="32"/>
          <w:szCs w:val="32"/>
          <w:lang w:val="en-US" w:eastAsia="zh-CN"/>
        </w:rPr>
        <w:t>唐山旭阳化工有限公司、唐山唐钢气体有限公司乐亭分公司、河北禾日精细化工有限公司、唐山京宝涂料有限公司、唐山唐钢气体有限公司、唐山立泰新材料科技有限公司、乐亭县振乐加油站、乐亭县飞隆加油站有限公司</w:t>
      </w:r>
    </w:p>
    <w:p w14:paraId="202525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right="0" w:rightChars="0" w:firstLine="620" w:firstLineChars="200"/>
        <w:textAlignment w:val="baseline"/>
        <w:rPr>
          <w:rFonts w:ascii="楷体" w:hAnsi="楷体" w:eastAsia="楷体" w:cs="楷体"/>
          <w:color w:val="auto"/>
          <w:spacing w:val="0"/>
          <w:sz w:val="31"/>
          <w:szCs w:val="31"/>
        </w:rPr>
      </w:pPr>
      <w:r>
        <w:rPr>
          <w:rFonts w:hint="eastAsia" w:ascii="黑体" w:hAnsi="黑体" w:eastAsia="黑体" w:cs="黑体"/>
          <w:b w:val="0"/>
          <w:bCs w:val="0"/>
          <w:color w:val="auto"/>
          <w:spacing w:val="0"/>
          <w:sz w:val="31"/>
          <w:szCs w:val="31"/>
          <w:lang w:val="en-US" w:eastAsia="en-US"/>
        </w:rPr>
        <w:t>二、工商贸</w:t>
      </w:r>
      <w:r>
        <w:rPr>
          <w:rFonts w:hint="eastAsia" w:ascii="黑体" w:hAnsi="黑体" w:eastAsia="黑体" w:cs="黑体"/>
          <w:b w:val="0"/>
          <w:bCs w:val="0"/>
          <w:snapToGrid w:val="0"/>
          <w:color w:val="auto"/>
          <w:spacing w:val="0"/>
          <w:kern w:val="0"/>
          <w:sz w:val="31"/>
          <w:szCs w:val="31"/>
          <w:lang w:val="en-US" w:eastAsia="en-US" w:bidi="ar-SA"/>
        </w:rPr>
        <w:t>行业</w:t>
      </w:r>
      <w:r>
        <w:rPr>
          <w:rFonts w:hint="eastAsia" w:ascii="黑体" w:hAnsi="黑体" w:eastAsia="黑体" w:cs="黑体"/>
          <w:b w:val="0"/>
          <w:bCs w:val="0"/>
          <w:snapToGrid w:val="0"/>
          <w:color w:val="auto"/>
          <w:spacing w:val="0"/>
          <w:kern w:val="0"/>
          <w:sz w:val="31"/>
          <w:szCs w:val="31"/>
          <w:lang w:val="en-US" w:eastAsia="zh-CN" w:bidi="ar-SA"/>
        </w:rPr>
        <w:t>9</w:t>
      </w:r>
      <w:r>
        <w:rPr>
          <w:rFonts w:hint="eastAsia" w:ascii="黑体" w:hAnsi="黑体" w:eastAsia="黑体" w:cs="黑体"/>
          <w:b w:val="0"/>
          <w:bCs w:val="0"/>
          <w:snapToGrid w:val="0"/>
          <w:color w:val="auto"/>
          <w:spacing w:val="0"/>
          <w:kern w:val="0"/>
          <w:sz w:val="31"/>
          <w:szCs w:val="31"/>
          <w:lang w:val="en-US" w:eastAsia="en-US" w:bidi="ar-SA"/>
        </w:rPr>
        <w:t>家</w:t>
      </w:r>
      <w:r>
        <w:rPr>
          <w:rFonts w:ascii="楷体" w:hAnsi="楷体" w:eastAsia="楷体" w:cs="楷体"/>
          <w:color w:val="auto"/>
          <w:spacing w:val="0"/>
          <w:sz w:val="31"/>
          <w:szCs w:val="31"/>
        </w:rPr>
        <w:t>(责任</w:t>
      </w:r>
      <w:r>
        <w:rPr>
          <w:rFonts w:hint="eastAsia" w:ascii="楷体" w:hAnsi="楷体" w:eastAsia="楷体" w:cs="楷体"/>
          <w:color w:val="auto"/>
          <w:spacing w:val="0"/>
          <w:sz w:val="31"/>
          <w:szCs w:val="31"/>
          <w:lang w:val="en-US" w:eastAsia="zh-CN"/>
        </w:rPr>
        <w:t>股</w:t>
      </w:r>
      <w:r>
        <w:rPr>
          <w:rFonts w:ascii="楷体" w:hAnsi="楷体" w:eastAsia="楷体" w:cs="楷体"/>
          <w:color w:val="auto"/>
          <w:spacing w:val="0"/>
          <w:sz w:val="31"/>
          <w:szCs w:val="31"/>
        </w:rPr>
        <w:t>室：</w:t>
      </w:r>
      <w:r>
        <w:rPr>
          <w:rFonts w:hint="eastAsia" w:ascii="楷体" w:hAnsi="楷体" w:eastAsia="楷体" w:cs="楷体"/>
          <w:color w:val="auto"/>
          <w:spacing w:val="0"/>
          <w:sz w:val="31"/>
          <w:szCs w:val="31"/>
          <w:lang w:val="en-US" w:eastAsia="zh-CN"/>
        </w:rPr>
        <w:t>监管二股</w:t>
      </w:r>
      <w:r>
        <w:rPr>
          <w:rFonts w:ascii="楷体" w:hAnsi="楷体" w:eastAsia="楷体" w:cs="楷体"/>
          <w:color w:val="auto"/>
          <w:spacing w:val="0"/>
          <w:sz w:val="31"/>
          <w:szCs w:val="31"/>
        </w:rPr>
        <w:t>)</w:t>
      </w:r>
    </w:p>
    <w:p w14:paraId="1C7C12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right="0" w:rightChars="0" w:firstLine="660" w:firstLineChars="200"/>
        <w:textAlignment w:val="baseline"/>
        <w:rPr>
          <w:rFonts w:hint="eastAsia" w:ascii="仿宋" w:hAnsi="仿宋" w:eastAsia="仿宋" w:cs="仿宋"/>
          <w:color w:val="auto"/>
          <w:spacing w:val="5"/>
          <w:sz w:val="32"/>
          <w:szCs w:val="32"/>
          <w:lang w:val="en-US" w:eastAsia="zh-CN"/>
        </w:rPr>
      </w:pPr>
      <w:r>
        <w:rPr>
          <w:rFonts w:hint="eastAsia" w:ascii="仿宋" w:hAnsi="仿宋" w:eastAsia="仿宋" w:cs="仿宋"/>
          <w:color w:val="auto"/>
          <w:spacing w:val="5"/>
          <w:sz w:val="32"/>
          <w:szCs w:val="32"/>
          <w:lang w:val="en-US" w:eastAsia="zh-CN"/>
        </w:rPr>
        <w:t>唐山中厚板材有限公司、唐山国堂钢铁有限公司、唐山凯源实业有限公司、河钢浦项汽车板有限公司、唐山港联金属制品有限公司、乐亭六和馨美滋食品有限公司、乐亭呔邦农业开发有限公司、唐山仟客莱生物科技有限公司、乐亭大东方商贸有限责任公司</w:t>
      </w:r>
    </w:p>
    <w:p w14:paraId="7A9623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right="0" w:rightChars="0"/>
        <w:textAlignment w:val="baseline"/>
        <w:rPr>
          <w:rFonts w:hint="default" w:ascii="仿宋" w:hAnsi="仿宋" w:eastAsia="仿宋" w:cs="仿宋"/>
          <w:color w:val="auto"/>
          <w:spacing w:val="5"/>
          <w:sz w:val="32"/>
          <w:szCs w:val="32"/>
          <w:lang w:val="en-US" w:eastAsia="zh-CN"/>
        </w:rPr>
      </w:pPr>
      <w:r>
        <w:rPr>
          <w:rFonts w:hint="eastAsia" w:ascii="仿宋" w:hAnsi="仿宋" w:eastAsia="仿宋" w:cs="仿宋"/>
          <w:color w:val="auto"/>
          <w:spacing w:val="5"/>
          <w:sz w:val="32"/>
          <w:szCs w:val="32"/>
          <w:lang w:val="en-US" w:eastAsia="zh-CN"/>
        </w:rPr>
        <w:t xml:space="preserve">   </w:t>
      </w:r>
    </w:p>
    <w:p w14:paraId="201891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right="0" w:rightChars="0"/>
        <w:textAlignment w:val="baseline"/>
        <w:rPr>
          <w:rFonts w:ascii="楷体" w:hAnsi="楷体" w:eastAsia="楷体" w:cs="楷体"/>
          <w:spacing w:val="0"/>
          <w:sz w:val="31"/>
          <w:szCs w:val="31"/>
        </w:rPr>
      </w:pPr>
    </w:p>
    <w:p w14:paraId="3D3730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right="0" w:rightChars="0"/>
        <w:textAlignment w:val="baseline"/>
        <w:rPr>
          <w:rFonts w:hint="eastAsia" w:ascii="楷体" w:hAnsi="楷体" w:eastAsia="楷体" w:cs="楷体"/>
          <w:spacing w:val="9"/>
          <w:sz w:val="31"/>
          <w:szCs w:val="31"/>
          <w:lang w:val="en-US" w:eastAsia="zh-CN"/>
        </w:rPr>
      </w:pPr>
    </w:p>
    <w:p w14:paraId="46B499FA">
      <w:pPr>
        <w:keepNext w:val="0"/>
        <w:keepLines w:val="0"/>
        <w:pageBreakBefore w:val="0"/>
        <w:widowControl/>
        <w:kinsoku w:val="0"/>
        <w:wordWrap/>
        <w:overflowPunct/>
        <w:topLinePunct w:val="0"/>
        <w:autoSpaceDE w:val="0"/>
        <w:autoSpaceDN w:val="0"/>
        <w:bidi w:val="0"/>
        <w:adjustRightInd w:val="0"/>
        <w:snapToGrid w:val="0"/>
        <w:spacing w:line="570" w:lineRule="exact"/>
        <w:ind w:right="0"/>
        <w:textAlignment w:val="baseline"/>
      </w:pPr>
    </w:p>
    <w:p w14:paraId="7E6376E9">
      <w:pPr>
        <w:keepNext w:val="0"/>
        <w:keepLines w:val="0"/>
        <w:pageBreakBefore w:val="0"/>
        <w:widowControl/>
        <w:kinsoku w:val="0"/>
        <w:wordWrap/>
        <w:overflowPunct/>
        <w:topLinePunct w:val="0"/>
        <w:autoSpaceDE w:val="0"/>
        <w:autoSpaceDN w:val="0"/>
        <w:bidi w:val="0"/>
        <w:adjustRightInd w:val="0"/>
        <w:snapToGrid w:val="0"/>
        <w:spacing w:line="570" w:lineRule="exact"/>
        <w:ind w:right="0"/>
        <w:textAlignment w:val="baseline"/>
      </w:pPr>
    </w:p>
    <w:p w14:paraId="64A554E7">
      <w:pPr>
        <w:keepNext w:val="0"/>
        <w:keepLines w:val="0"/>
        <w:pageBreakBefore w:val="0"/>
        <w:widowControl/>
        <w:kinsoku w:val="0"/>
        <w:wordWrap/>
        <w:overflowPunct/>
        <w:topLinePunct w:val="0"/>
        <w:autoSpaceDE w:val="0"/>
        <w:autoSpaceDN w:val="0"/>
        <w:bidi w:val="0"/>
        <w:adjustRightInd w:val="0"/>
        <w:snapToGrid w:val="0"/>
        <w:spacing w:line="570" w:lineRule="exact"/>
        <w:ind w:right="0"/>
        <w:textAlignment w:val="baseline"/>
      </w:pPr>
    </w:p>
    <w:p w14:paraId="751DBAC0">
      <w:pPr>
        <w:keepNext w:val="0"/>
        <w:keepLines w:val="0"/>
        <w:pageBreakBefore w:val="0"/>
        <w:widowControl/>
        <w:kinsoku w:val="0"/>
        <w:wordWrap/>
        <w:overflowPunct/>
        <w:topLinePunct w:val="0"/>
        <w:autoSpaceDE w:val="0"/>
        <w:autoSpaceDN w:val="0"/>
        <w:bidi w:val="0"/>
        <w:adjustRightInd w:val="0"/>
        <w:snapToGrid w:val="0"/>
        <w:spacing w:line="570" w:lineRule="exact"/>
        <w:ind w:right="0"/>
        <w:textAlignment w:val="baseline"/>
      </w:pPr>
    </w:p>
    <w:p w14:paraId="022EA1E8">
      <w:pPr>
        <w:keepNext w:val="0"/>
        <w:keepLines w:val="0"/>
        <w:pageBreakBefore w:val="0"/>
        <w:widowControl/>
        <w:kinsoku w:val="0"/>
        <w:wordWrap/>
        <w:overflowPunct/>
        <w:topLinePunct w:val="0"/>
        <w:autoSpaceDE w:val="0"/>
        <w:autoSpaceDN w:val="0"/>
        <w:bidi w:val="0"/>
        <w:adjustRightInd w:val="0"/>
        <w:snapToGrid w:val="0"/>
        <w:spacing w:line="570" w:lineRule="exact"/>
        <w:ind w:right="0"/>
        <w:textAlignment w:val="baseline"/>
      </w:pPr>
    </w:p>
    <w:p w14:paraId="0D7DEDB7">
      <w:pPr>
        <w:keepNext w:val="0"/>
        <w:keepLines w:val="0"/>
        <w:pageBreakBefore w:val="0"/>
        <w:widowControl/>
        <w:kinsoku w:val="0"/>
        <w:wordWrap/>
        <w:overflowPunct/>
        <w:topLinePunct w:val="0"/>
        <w:autoSpaceDE w:val="0"/>
        <w:autoSpaceDN w:val="0"/>
        <w:bidi w:val="0"/>
        <w:adjustRightInd w:val="0"/>
        <w:snapToGrid w:val="0"/>
        <w:spacing w:line="570" w:lineRule="exact"/>
        <w:ind w:right="0"/>
        <w:textAlignment w:val="baseline"/>
      </w:pPr>
    </w:p>
    <w:p w14:paraId="37A8BEBB">
      <w:pPr>
        <w:keepNext w:val="0"/>
        <w:keepLines w:val="0"/>
        <w:pageBreakBefore w:val="0"/>
        <w:widowControl/>
        <w:kinsoku w:val="0"/>
        <w:wordWrap/>
        <w:overflowPunct/>
        <w:topLinePunct w:val="0"/>
        <w:autoSpaceDE w:val="0"/>
        <w:autoSpaceDN w:val="0"/>
        <w:bidi w:val="0"/>
        <w:adjustRightInd w:val="0"/>
        <w:snapToGrid w:val="0"/>
        <w:spacing w:line="570" w:lineRule="exact"/>
        <w:ind w:right="0"/>
        <w:textAlignment w:val="baseline"/>
      </w:pPr>
    </w:p>
    <w:p w14:paraId="066DF4EE">
      <w:pPr>
        <w:rPr>
          <w:rFonts w:hint="eastAsia" w:ascii="Times New Roman" w:hAnsi="Times New Roman" w:eastAsia="黑体" w:cs="黑体"/>
          <w:color w:val="auto"/>
          <w:sz w:val="32"/>
          <w:szCs w:val="32"/>
          <w:lang w:val="en-US" w:eastAsia="zh-CN"/>
        </w:rPr>
      </w:pPr>
    </w:p>
    <w:p w14:paraId="658FF988">
      <w:pPr>
        <w:rPr>
          <w:rFonts w:hint="default"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附件7</w:t>
      </w:r>
    </w:p>
    <w:p w14:paraId="269CCCA2">
      <w:pPr>
        <w:keepNext w:val="0"/>
        <w:keepLines w:val="0"/>
        <w:pageBreakBefore w:val="0"/>
        <w:widowControl/>
        <w:kinsoku w:val="0"/>
        <w:wordWrap/>
        <w:overflowPunct/>
        <w:topLinePunct w:val="0"/>
        <w:autoSpaceDE w:val="0"/>
        <w:autoSpaceDN w:val="0"/>
        <w:bidi w:val="0"/>
        <w:adjustRightInd w:val="0"/>
        <w:snapToGrid w:val="0"/>
        <w:spacing w:line="570" w:lineRule="exact"/>
        <w:ind w:right="0"/>
        <w:jc w:val="center"/>
        <w:textAlignment w:val="baseline"/>
        <w:rPr>
          <w:rFonts w:ascii="宋体" w:hAnsi="宋体" w:eastAsia="宋体" w:cs="宋体"/>
          <w:b/>
          <w:bCs/>
          <w:color w:val="auto"/>
          <w:spacing w:val="-2"/>
          <w:sz w:val="44"/>
          <w:szCs w:val="44"/>
        </w:rPr>
      </w:pPr>
      <w:r>
        <w:rPr>
          <w:rFonts w:ascii="宋体" w:hAnsi="宋体" w:eastAsia="宋体" w:cs="宋体"/>
          <w:b/>
          <w:bCs/>
          <w:color w:val="auto"/>
          <w:spacing w:val="-2"/>
          <w:sz w:val="44"/>
          <w:szCs w:val="44"/>
        </w:rPr>
        <w:t>2025年度各</w:t>
      </w:r>
      <w:r>
        <w:rPr>
          <w:rFonts w:hint="eastAsia" w:ascii="宋体" w:hAnsi="宋体" w:eastAsia="宋体" w:cs="宋体"/>
          <w:b/>
          <w:bCs/>
          <w:color w:val="auto"/>
          <w:spacing w:val="-2"/>
          <w:sz w:val="44"/>
          <w:szCs w:val="44"/>
          <w:lang w:val="en-US" w:eastAsia="zh-CN"/>
        </w:rPr>
        <w:t>股</w:t>
      </w:r>
      <w:r>
        <w:rPr>
          <w:rFonts w:ascii="宋体" w:hAnsi="宋体" w:eastAsia="宋体" w:cs="宋体"/>
          <w:b/>
          <w:bCs/>
          <w:color w:val="auto"/>
          <w:spacing w:val="-2"/>
          <w:sz w:val="44"/>
          <w:szCs w:val="44"/>
        </w:rPr>
        <w:t>执法检查时间安排</w:t>
      </w:r>
    </w:p>
    <w:p w14:paraId="14992B8D">
      <w:pPr>
        <w:keepNext w:val="0"/>
        <w:keepLines w:val="0"/>
        <w:pageBreakBefore w:val="0"/>
        <w:widowControl/>
        <w:kinsoku w:val="0"/>
        <w:wordWrap/>
        <w:overflowPunct/>
        <w:topLinePunct w:val="0"/>
        <w:autoSpaceDE w:val="0"/>
        <w:autoSpaceDN w:val="0"/>
        <w:bidi w:val="0"/>
        <w:adjustRightInd w:val="0"/>
        <w:snapToGrid w:val="0"/>
        <w:spacing w:line="570" w:lineRule="exact"/>
        <w:ind w:right="0"/>
        <w:jc w:val="center"/>
        <w:textAlignment w:val="baseline"/>
        <w:rPr>
          <w:rFonts w:ascii="宋体" w:hAnsi="宋体" w:eastAsia="宋体" w:cs="宋体"/>
          <w:b/>
          <w:bCs/>
          <w:color w:val="auto"/>
          <w:spacing w:val="-2"/>
          <w:sz w:val="44"/>
          <w:szCs w:val="44"/>
        </w:rPr>
      </w:pPr>
    </w:p>
    <w:p w14:paraId="0AEF7ADA">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一月份（共2家）：</w:t>
      </w:r>
    </w:p>
    <w:p w14:paraId="06F2E3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right="0" w:rightChars="0" w:firstLine="632" w:firstLineChars="200"/>
        <w:jc w:val="left"/>
        <w:textAlignment w:val="baseline"/>
        <w:rPr>
          <w:rFonts w:ascii="仿宋" w:hAnsi="仿宋" w:eastAsia="仿宋" w:cs="仿宋"/>
          <w:color w:val="auto"/>
          <w:spacing w:val="8"/>
          <w:sz w:val="32"/>
          <w:szCs w:val="32"/>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乐亭县振乐加油站、乐亭县飞隆加油站有限公司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2</w:t>
      </w:r>
      <w:r>
        <w:rPr>
          <w:rFonts w:ascii="仿宋" w:hAnsi="仿宋" w:eastAsia="仿宋" w:cs="仿宋"/>
          <w:color w:val="auto"/>
          <w:spacing w:val="8"/>
          <w:sz w:val="32"/>
          <w:szCs w:val="32"/>
        </w:rPr>
        <w:t>家企业。</w:t>
      </w:r>
    </w:p>
    <w:p w14:paraId="46E090A4">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二月份（共1家）</w:t>
      </w:r>
    </w:p>
    <w:p w14:paraId="5E90584B">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仿宋" w:hAnsi="仿宋" w:eastAsia="仿宋" w:cs="仿宋"/>
          <w:color w:val="auto"/>
          <w:spacing w:val="8"/>
          <w:sz w:val="32"/>
          <w:szCs w:val="32"/>
          <w:lang w:val="en-US" w:eastAsia="zh-CN"/>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唐山国堂钢铁有限公司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r>
        <w:rPr>
          <w:rFonts w:hint="eastAsia" w:ascii="仿宋" w:hAnsi="仿宋" w:eastAsia="仿宋" w:cs="仿宋"/>
          <w:color w:val="auto"/>
          <w:spacing w:val="8"/>
          <w:sz w:val="32"/>
          <w:szCs w:val="32"/>
          <w:lang w:eastAsia="zh-CN"/>
        </w:rPr>
        <w:t>。</w:t>
      </w:r>
    </w:p>
    <w:p w14:paraId="64419F58">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三月份（共4家）</w:t>
      </w:r>
    </w:p>
    <w:p w14:paraId="63D8BCE3">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ascii="仿宋" w:hAnsi="仿宋" w:eastAsia="仿宋" w:cs="仿宋"/>
          <w:color w:val="auto"/>
          <w:sz w:val="32"/>
          <w:szCs w:val="32"/>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河北禾日精细化工有限公司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28125BB8">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仿宋" w:hAnsi="仿宋" w:eastAsia="仿宋" w:cs="仿宋"/>
          <w:color w:val="auto"/>
          <w:spacing w:val="8"/>
          <w:sz w:val="32"/>
          <w:szCs w:val="32"/>
          <w:lang w:val="en-US" w:eastAsia="zh-CN"/>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唐山中厚板材有限公司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w:t>
      </w:r>
      <w:r>
        <w:rPr>
          <w:rFonts w:hint="eastAsia" w:ascii="仿宋" w:hAnsi="仿宋" w:eastAsia="仿宋" w:cs="仿宋"/>
          <w:color w:val="auto"/>
          <w:spacing w:val="8"/>
          <w:sz w:val="32"/>
          <w:szCs w:val="32"/>
          <w:lang w:val="en-US" w:eastAsia="zh-CN"/>
        </w:rPr>
        <w:t>业；</w:t>
      </w:r>
      <w:r>
        <w:rPr>
          <w:rFonts w:ascii="仿宋" w:hAnsi="仿宋" w:eastAsia="仿宋" w:cs="仿宋"/>
          <w:color w:val="auto"/>
          <w:spacing w:val="8"/>
          <w:sz w:val="32"/>
          <w:szCs w:val="32"/>
        </w:rPr>
        <w:t>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37A52A80">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四月份（共2家）</w:t>
      </w:r>
    </w:p>
    <w:p w14:paraId="209E4230">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仿宋" w:hAnsi="仿宋" w:eastAsia="仿宋" w:cs="仿宋"/>
          <w:color w:val="auto"/>
          <w:spacing w:val="8"/>
          <w:sz w:val="32"/>
          <w:szCs w:val="32"/>
          <w:lang w:val="en-US" w:eastAsia="zh-CN"/>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河钢浦项汽车板有限公司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1E05B30E">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五月份（共3家）</w:t>
      </w:r>
    </w:p>
    <w:p w14:paraId="2C9ECE09">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hint="eastAsia" w:ascii="仿宋" w:hAnsi="仿宋" w:eastAsia="仿宋" w:cs="仿宋"/>
          <w:color w:val="auto"/>
          <w:sz w:val="32"/>
          <w:szCs w:val="32"/>
          <w:lang w:eastAsia="zh-CN"/>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唐山京宝涂料有限公司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r>
        <w:rPr>
          <w:rFonts w:hint="eastAsia" w:ascii="仿宋" w:hAnsi="仿宋" w:eastAsia="仿宋" w:cs="仿宋"/>
          <w:color w:val="auto"/>
          <w:spacing w:val="8"/>
          <w:sz w:val="32"/>
          <w:szCs w:val="32"/>
          <w:lang w:eastAsia="zh-CN"/>
        </w:rPr>
        <w:t>。</w:t>
      </w:r>
    </w:p>
    <w:p w14:paraId="0ED5FF98">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仿宋" w:hAnsi="仿宋" w:eastAsia="仿宋" w:cs="仿宋"/>
          <w:color w:val="auto"/>
          <w:spacing w:val="8"/>
          <w:sz w:val="32"/>
          <w:szCs w:val="32"/>
          <w:lang w:val="en-US" w:eastAsia="zh-CN"/>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唐山港联金属制品有限公司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 xml:space="preserve">1 </w:t>
      </w:r>
      <w:r>
        <w:rPr>
          <w:rFonts w:ascii="仿宋" w:hAnsi="仿宋" w:eastAsia="仿宋" w:cs="仿宋"/>
          <w:color w:val="auto"/>
          <w:spacing w:val="8"/>
          <w:sz w:val="32"/>
          <w:szCs w:val="32"/>
        </w:rPr>
        <w:t>家企业；一般检查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08DA6793">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六月份（共2家）</w:t>
      </w:r>
    </w:p>
    <w:p w14:paraId="2556735B">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ascii="仿宋" w:hAnsi="仿宋" w:eastAsia="仿宋" w:cs="仿宋"/>
          <w:color w:val="auto"/>
          <w:sz w:val="32"/>
          <w:szCs w:val="32"/>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8"/>
          <w:sz w:val="32"/>
          <w:szCs w:val="32"/>
        </w:rPr>
        <w:t>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24973BCD">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仿宋" w:hAnsi="仿宋" w:eastAsia="仿宋" w:cs="仿宋"/>
          <w:color w:val="auto"/>
          <w:spacing w:val="8"/>
          <w:sz w:val="32"/>
          <w:szCs w:val="32"/>
          <w:lang w:val="en-US" w:eastAsia="zh-CN"/>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乐亭六和馨美滋食品有限公司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 xml:space="preserve"> 1</w:t>
      </w:r>
      <w:r>
        <w:rPr>
          <w:rFonts w:ascii="仿宋" w:hAnsi="仿宋" w:eastAsia="仿宋" w:cs="仿宋"/>
          <w:color w:val="auto"/>
          <w:spacing w:val="8"/>
          <w:sz w:val="32"/>
          <w:szCs w:val="32"/>
        </w:rPr>
        <w:t>家企业。</w:t>
      </w:r>
    </w:p>
    <w:p w14:paraId="69390E41">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七月份（共3家）</w:t>
      </w:r>
    </w:p>
    <w:p w14:paraId="7CD3C33A">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hint="eastAsia" w:ascii="仿宋" w:hAnsi="仿宋" w:eastAsia="仿宋" w:cs="仿宋"/>
          <w:color w:val="auto"/>
          <w:sz w:val="32"/>
          <w:szCs w:val="32"/>
          <w:lang w:eastAsia="zh-CN"/>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唐山旭阳化工有限公司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r>
        <w:rPr>
          <w:rFonts w:hint="eastAsia" w:ascii="仿宋" w:hAnsi="仿宋" w:eastAsia="仿宋" w:cs="仿宋"/>
          <w:color w:val="auto"/>
          <w:spacing w:val="8"/>
          <w:sz w:val="32"/>
          <w:szCs w:val="32"/>
          <w:lang w:eastAsia="zh-CN"/>
        </w:rPr>
        <w:t>。</w:t>
      </w:r>
    </w:p>
    <w:p w14:paraId="42EBFACB">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ascii="仿宋" w:hAnsi="仿宋" w:eastAsia="仿宋" w:cs="仿宋"/>
          <w:color w:val="auto"/>
          <w:spacing w:val="8"/>
          <w:sz w:val="32"/>
          <w:szCs w:val="32"/>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乐亭呔邦农业开发有限公司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 xml:space="preserve">1  </w:t>
      </w:r>
      <w:r>
        <w:rPr>
          <w:rFonts w:ascii="仿宋" w:hAnsi="仿宋" w:eastAsia="仿宋" w:cs="仿宋"/>
          <w:color w:val="auto"/>
          <w:spacing w:val="8"/>
          <w:sz w:val="32"/>
          <w:szCs w:val="32"/>
        </w:rPr>
        <w:t>家企业；一般检查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5D0D4E1E">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八月份（共3家）</w:t>
      </w:r>
    </w:p>
    <w:p w14:paraId="654543D7">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ascii="仿宋" w:hAnsi="仿宋" w:eastAsia="仿宋" w:cs="仿宋"/>
          <w:color w:val="auto"/>
          <w:sz w:val="32"/>
          <w:szCs w:val="32"/>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8"/>
          <w:sz w:val="32"/>
          <w:szCs w:val="32"/>
        </w:rPr>
        <w:t>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5519F52F">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ascii="仿宋" w:hAnsi="仿宋" w:eastAsia="仿宋" w:cs="仿宋"/>
          <w:color w:val="auto"/>
          <w:spacing w:val="8"/>
          <w:sz w:val="32"/>
          <w:szCs w:val="32"/>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唐山仟客莱生物科技有限公司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 xml:space="preserve"> 1</w:t>
      </w:r>
      <w:r>
        <w:rPr>
          <w:rFonts w:ascii="仿宋" w:hAnsi="仿宋" w:eastAsia="仿宋" w:cs="仿宋"/>
          <w:color w:val="auto"/>
          <w:spacing w:val="8"/>
          <w:sz w:val="32"/>
          <w:szCs w:val="32"/>
        </w:rPr>
        <w:t>家企业；一般检查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2E6ED175">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九月份（共2家）</w:t>
      </w:r>
    </w:p>
    <w:p w14:paraId="0AD8F5B5">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ascii="仿宋" w:hAnsi="仿宋" w:eastAsia="仿宋" w:cs="仿宋"/>
          <w:color w:val="auto"/>
          <w:sz w:val="32"/>
          <w:szCs w:val="32"/>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唐山唐钢气体有限公司乐亭分公司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2AF1093E">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仿宋" w:hAnsi="仿宋" w:eastAsia="仿宋" w:cs="仿宋"/>
          <w:color w:val="auto"/>
          <w:spacing w:val="8"/>
          <w:sz w:val="32"/>
          <w:szCs w:val="32"/>
          <w:lang w:eastAsia="zh-CN"/>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唐山中厚板材有限公司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r>
        <w:rPr>
          <w:rFonts w:hint="eastAsia" w:ascii="仿宋" w:hAnsi="仿宋" w:eastAsia="仿宋" w:cs="仿宋"/>
          <w:color w:val="auto"/>
          <w:spacing w:val="8"/>
          <w:sz w:val="32"/>
          <w:szCs w:val="32"/>
          <w:lang w:eastAsia="zh-CN"/>
        </w:rPr>
        <w:t>。</w:t>
      </w:r>
    </w:p>
    <w:p w14:paraId="5DA7C983">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十月份（共2家）</w:t>
      </w:r>
    </w:p>
    <w:p w14:paraId="668B6C6C">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ascii="仿宋" w:hAnsi="仿宋" w:eastAsia="仿宋" w:cs="仿宋"/>
          <w:color w:val="auto"/>
          <w:sz w:val="32"/>
          <w:szCs w:val="32"/>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8"/>
          <w:sz w:val="32"/>
          <w:szCs w:val="32"/>
        </w:rPr>
        <w:t>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7B2B2443">
      <w:pPr>
        <w:keepNext w:val="0"/>
        <w:keepLines w:val="0"/>
        <w:pageBreakBefore w:val="0"/>
        <w:widowControl/>
        <w:kinsoku w:val="0"/>
        <w:wordWrap/>
        <w:overflowPunct/>
        <w:topLinePunct w:val="0"/>
        <w:autoSpaceDE w:val="0"/>
        <w:autoSpaceDN w:val="0"/>
        <w:bidi w:val="0"/>
        <w:adjustRightInd w:val="0"/>
        <w:snapToGrid w:val="0"/>
        <w:spacing w:line="570" w:lineRule="exact"/>
        <w:ind w:left="638" w:leftChars="304" w:right="0" w:firstLine="0" w:firstLineChars="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唐山国堂钢铁有限公司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r>
        <w:rPr>
          <w:rFonts w:hint="eastAsia" w:ascii="仿宋" w:hAnsi="仿宋" w:eastAsia="仿宋" w:cs="仿宋"/>
          <w:color w:val="auto"/>
          <w:spacing w:val="8"/>
          <w:sz w:val="32"/>
          <w:szCs w:val="32"/>
          <w:lang w:eastAsia="zh-CN"/>
        </w:rPr>
        <w:t>。</w:t>
      </w:r>
      <w:r>
        <w:rPr>
          <w:rFonts w:hint="eastAsia" w:ascii="黑体" w:hAnsi="黑体" w:eastAsia="黑体" w:cs="黑体"/>
          <w:b w:val="0"/>
          <w:bCs w:val="0"/>
          <w:color w:val="auto"/>
          <w:spacing w:val="-2"/>
          <w:sz w:val="32"/>
          <w:szCs w:val="32"/>
          <w:lang w:val="en-US" w:eastAsia="zh-CN"/>
        </w:rPr>
        <w:t>十一月份（共2家）</w:t>
      </w:r>
    </w:p>
    <w:p w14:paraId="048B2637">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hint="eastAsia" w:ascii="仿宋" w:hAnsi="仿宋" w:eastAsia="仿宋" w:cs="仿宋"/>
          <w:color w:val="auto"/>
          <w:sz w:val="32"/>
          <w:szCs w:val="32"/>
          <w:lang w:eastAsia="zh-CN"/>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唐山唐钢气体有限公司等1家</w:t>
      </w:r>
      <w:r>
        <w:rPr>
          <w:rFonts w:ascii="仿宋" w:hAnsi="仿宋" w:eastAsia="仿宋" w:cs="仿宋"/>
          <w:color w:val="auto"/>
          <w:spacing w:val="8"/>
          <w:sz w:val="32"/>
          <w:szCs w:val="32"/>
        </w:rPr>
        <w:t>企业</w:t>
      </w:r>
      <w:r>
        <w:rPr>
          <w:rFonts w:hint="eastAsia" w:ascii="仿宋" w:hAnsi="仿宋" w:eastAsia="仿宋" w:cs="仿宋"/>
          <w:color w:val="auto"/>
          <w:spacing w:val="8"/>
          <w:sz w:val="32"/>
          <w:szCs w:val="32"/>
          <w:lang w:eastAsia="zh-CN"/>
        </w:rPr>
        <w:t>。</w:t>
      </w:r>
    </w:p>
    <w:p w14:paraId="7387539D">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仿宋" w:hAnsi="仿宋" w:eastAsia="仿宋" w:cs="仿宋"/>
          <w:color w:val="auto"/>
          <w:spacing w:val="8"/>
          <w:sz w:val="32"/>
          <w:szCs w:val="32"/>
          <w:lang w:val="en-US" w:eastAsia="zh-CN"/>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唐山凯源实业有限公司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r>
        <w:rPr>
          <w:rFonts w:hint="eastAsia" w:ascii="仿宋" w:hAnsi="仿宋" w:eastAsia="仿宋" w:cs="仿宋"/>
          <w:color w:val="auto"/>
          <w:spacing w:val="8"/>
          <w:sz w:val="32"/>
          <w:szCs w:val="32"/>
          <w:lang w:eastAsia="zh-CN"/>
        </w:rPr>
        <w:t>。</w:t>
      </w:r>
    </w:p>
    <w:p w14:paraId="4B96C7C7">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十二月份（共3家）</w:t>
      </w:r>
    </w:p>
    <w:p w14:paraId="6F7D517C">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19"/>
        <w:textAlignment w:val="baseline"/>
        <w:rPr>
          <w:rFonts w:ascii="仿宋" w:hAnsi="仿宋" w:eastAsia="仿宋" w:cs="仿宋"/>
          <w:color w:val="auto"/>
          <w:sz w:val="32"/>
          <w:szCs w:val="32"/>
        </w:rPr>
      </w:pPr>
      <w:r>
        <w:rPr>
          <w:rFonts w:hint="eastAsia" w:ascii="黑体" w:hAnsi="黑体" w:eastAsia="黑体" w:cs="黑体"/>
          <w:b w:val="0"/>
          <w:bCs w:val="0"/>
          <w:color w:val="auto"/>
          <w:spacing w:val="-2"/>
          <w:sz w:val="32"/>
          <w:szCs w:val="32"/>
          <w:lang w:val="en-US" w:eastAsia="zh-CN"/>
        </w:rPr>
        <w:t>监管一股：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唐山立泰新材料科技有限公司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3A0239F7">
      <w:pPr>
        <w:keepNext w:val="0"/>
        <w:keepLines w:val="0"/>
        <w:pageBreakBefore w:val="0"/>
        <w:widowControl/>
        <w:kinsoku w:val="0"/>
        <w:wordWrap/>
        <w:overflowPunct/>
        <w:topLinePunct w:val="0"/>
        <w:autoSpaceDE w:val="0"/>
        <w:autoSpaceDN w:val="0"/>
        <w:bidi w:val="0"/>
        <w:adjustRightInd w:val="0"/>
        <w:snapToGrid w:val="0"/>
        <w:spacing w:line="570" w:lineRule="exact"/>
        <w:ind w:right="0" w:firstLine="632" w:firstLineChars="200"/>
        <w:jc w:val="both"/>
        <w:textAlignment w:val="baseline"/>
        <w:rPr>
          <w:color w:val="auto"/>
        </w:rPr>
      </w:pPr>
      <w:r>
        <w:rPr>
          <w:rFonts w:hint="eastAsia" w:ascii="黑体" w:hAnsi="黑体" w:eastAsia="黑体" w:cs="黑体"/>
          <w:b w:val="0"/>
          <w:bCs w:val="0"/>
          <w:color w:val="auto"/>
          <w:spacing w:val="-2"/>
          <w:sz w:val="32"/>
          <w:szCs w:val="32"/>
          <w:lang w:val="en-US" w:eastAsia="zh-CN"/>
        </w:rPr>
        <w:t>监管二股：</w:t>
      </w:r>
      <w:r>
        <w:rPr>
          <w:rFonts w:ascii="仿宋" w:hAnsi="仿宋" w:eastAsia="仿宋" w:cs="仿宋"/>
          <w:color w:val="auto"/>
          <w:spacing w:val="5"/>
          <w:sz w:val="32"/>
          <w:szCs w:val="32"/>
        </w:rPr>
        <w:t>重点检查</w:t>
      </w:r>
      <w:r>
        <w:rPr>
          <w:rFonts w:hint="eastAsia" w:ascii="仿宋" w:hAnsi="仿宋" w:eastAsia="仿宋" w:cs="仿宋"/>
          <w:color w:val="auto"/>
          <w:spacing w:val="5"/>
          <w:sz w:val="32"/>
          <w:szCs w:val="32"/>
          <w:lang w:val="en-US" w:eastAsia="zh-CN"/>
        </w:rPr>
        <w:t>乐亭大东方商贸有限责任公司</w:t>
      </w:r>
      <w:r>
        <w:rPr>
          <w:rFonts w:ascii="仿宋" w:hAnsi="仿宋" w:eastAsia="仿宋" w:cs="仿宋"/>
          <w:color w:val="auto"/>
          <w:spacing w:val="8"/>
          <w:sz w:val="32"/>
          <w:szCs w:val="32"/>
        </w:rPr>
        <w:t>等</w:t>
      </w:r>
      <w:r>
        <w:rPr>
          <w:rFonts w:hint="eastAsia" w:ascii="仿宋" w:hAnsi="仿宋" w:eastAsia="仿宋" w:cs="仿宋"/>
          <w:color w:val="auto"/>
          <w:spacing w:val="8"/>
          <w:sz w:val="32"/>
          <w:szCs w:val="32"/>
          <w:lang w:val="en-US" w:eastAsia="zh-CN"/>
        </w:rPr>
        <w:t xml:space="preserve"> 1</w:t>
      </w:r>
      <w:r>
        <w:rPr>
          <w:rFonts w:ascii="仿宋" w:hAnsi="仿宋" w:eastAsia="仿宋" w:cs="仿宋"/>
          <w:color w:val="auto"/>
          <w:spacing w:val="8"/>
          <w:sz w:val="32"/>
          <w:szCs w:val="32"/>
        </w:rPr>
        <w:t>家企业</w:t>
      </w:r>
      <w:r>
        <w:rPr>
          <w:rFonts w:hint="eastAsia" w:ascii="仿宋" w:hAnsi="仿宋" w:eastAsia="仿宋" w:cs="仿宋"/>
          <w:color w:val="auto"/>
          <w:spacing w:val="8"/>
          <w:sz w:val="32"/>
          <w:szCs w:val="32"/>
          <w:lang w:eastAsia="zh-CN"/>
        </w:rPr>
        <w:t>；</w:t>
      </w:r>
      <w:r>
        <w:rPr>
          <w:rFonts w:ascii="仿宋" w:hAnsi="仿宋" w:eastAsia="仿宋" w:cs="仿宋"/>
          <w:color w:val="auto"/>
          <w:spacing w:val="8"/>
          <w:sz w:val="32"/>
          <w:szCs w:val="32"/>
        </w:rPr>
        <w:t>一般检查</w:t>
      </w:r>
      <w:r>
        <w:rPr>
          <w:rFonts w:hint="eastAsia" w:ascii="仿宋" w:hAnsi="仿宋" w:eastAsia="仿宋" w:cs="仿宋"/>
          <w:color w:val="auto"/>
          <w:spacing w:val="8"/>
          <w:sz w:val="32"/>
          <w:szCs w:val="32"/>
          <w:lang w:val="en-US" w:eastAsia="zh-CN"/>
        </w:rPr>
        <w:t>1</w:t>
      </w:r>
      <w:r>
        <w:rPr>
          <w:rFonts w:ascii="仿宋" w:hAnsi="仿宋" w:eastAsia="仿宋" w:cs="仿宋"/>
          <w:color w:val="auto"/>
          <w:spacing w:val="8"/>
          <w:sz w:val="32"/>
          <w:szCs w:val="32"/>
        </w:rPr>
        <w:t>家企业。</w:t>
      </w:r>
    </w:p>
    <w:p w14:paraId="03593608"/>
    <w:p w14:paraId="30A43676"/>
    <w:p w14:paraId="677676D4"/>
    <w:p w14:paraId="3400409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8</w:t>
      </w:r>
    </w:p>
    <w:p w14:paraId="7A79C195">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eastAsia="宋体" w:cs="宋体"/>
          <w:b/>
          <w:bCs/>
          <w:spacing w:val="-4"/>
          <w:sz w:val="44"/>
          <w:szCs w:val="44"/>
        </w:rPr>
      </w:pPr>
      <w:r>
        <w:rPr>
          <w:rFonts w:ascii="宋体" w:hAnsi="宋体" w:eastAsia="宋体" w:cs="宋体"/>
          <w:b/>
          <w:bCs/>
          <w:spacing w:val="-4"/>
          <w:sz w:val="44"/>
          <w:szCs w:val="44"/>
        </w:rPr>
        <w:t>2025年度监督检查任务分配表</w:t>
      </w:r>
    </w:p>
    <w:tbl>
      <w:tblPr>
        <w:tblStyle w:val="9"/>
        <w:tblpPr w:leftFromText="180" w:rightFromText="180" w:vertAnchor="text" w:horzAnchor="page" w:tblpX="1387" w:tblpY="648"/>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335"/>
        <w:gridCol w:w="2160"/>
        <w:gridCol w:w="2220"/>
        <w:gridCol w:w="2550"/>
      </w:tblGrid>
      <w:tr w14:paraId="1AADE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130" w:type="dxa"/>
            <w:gridSpan w:val="2"/>
            <w:vAlign w:val="center"/>
          </w:tcPr>
          <w:p w14:paraId="4FF63D23">
            <w:pPr>
              <w:pStyle w:val="8"/>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b/>
                <w:bCs/>
                <w:sz w:val="28"/>
                <w:szCs w:val="28"/>
              </w:rPr>
            </w:pPr>
            <w:r>
              <w:rPr>
                <w:b/>
                <w:bCs/>
                <w:spacing w:val="-2"/>
                <w:sz w:val="28"/>
                <w:szCs w:val="28"/>
              </w:rPr>
              <w:t>单位</w:t>
            </w:r>
          </w:p>
        </w:tc>
        <w:tc>
          <w:tcPr>
            <w:tcW w:w="2160" w:type="dxa"/>
            <w:vAlign w:val="center"/>
          </w:tcPr>
          <w:p w14:paraId="21E0FADB">
            <w:pPr>
              <w:pStyle w:val="8"/>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default" w:eastAsia="宋体"/>
                <w:b/>
                <w:bCs/>
                <w:sz w:val="28"/>
                <w:szCs w:val="28"/>
                <w:lang w:val="en-US" w:eastAsia="zh-CN"/>
              </w:rPr>
            </w:pPr>
            <w:r>
              <w:rPr>
                <w:b/>
                <w:bCs/>
                <w:spacing w:val="-4"/>
                <w:sz w:val="28"/>
                <w:szCs w:val="28"/>
              </w:rPr>
              <w:t>监</w:t>
            </w:r>
            <w:r>
              <w:rPr>
                <w:rFonts w:hint="eastAsia"/>
                <w:b/>
                <w:bCs/>
                <w:spacing w:val="-4"/>
                <w:sz w:val="28"/>
                <w:szCs w:val="28"/>
                <w:lang w:val="en-US" w:eastAsia="zh-CN"/>
              </w:rPr>
              <w:t>管</w:t>
            </w:r>
            <w:r>
              <w:rPr>
                <w:rFonts w:hint="eastAsia"/>
                <w:b/>
                <w:bCs/>
                <w:sz w:val="28"/>
                <w:szCs w:val="28"/>
                <w:lang w:val="en-US" w:eastAsia="zh-CN"/>
              </w:rPr>
              <w:t>一股</w:t>
            </w:r>
          </w:p>
        </w:tc>
        <w:tc>
          <w:tcPr>
            <w:tcW w:w="2220" w:type="dxa"/>
            <w:vAlign w:val="center"/>
          </w:tcPr>
          <w:p w14:paraId="448A3A3A">
            <w:pPr>
              <w:pStyle w:val="8"/>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default" w:eastAsia="宋体"/>
                <w:b/>
                <w:bCs/>
                <w:sz w:val="28"/>
                <w:szCs w:val="28"/>
                <w:lang w:val="en-US" w:eastAsia="zh-CN"/>
              </w:rPr>
            </w:pPr>
            <w:r>
              <w:rPr>
                <w:rFonts w:hint="eastAsia"/>
                <w:b/>
                <w:bCs/>
                <w:spacing w:val="-4"/>
                <w:sz w:val="28"/>
                <w:szCs w:val="28"/>
                <w:lang w:val="en-US" w:eastAsia="zh-CN"/>
              </w:rPr>
              <w:t>监管二股</w:t>
            </w:r>
          </w:p>
        </w:tc>
        <w:tc>
          <w:tcPr>
            <w:tcW w:w="2550" w:type="dxa"/>
            <w:vAlign w:val="center"/>
          </w:tcPr>
          <w:p w14:paraId="1BAD227F">
            <w:pPr>
              <w:pStyle w:val="8"/>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b/>
                <w:bCs/>
                <w:sz w:val="28"/>
                <w:szCs w:val="28"/>
              </w:rPr>
            </w:pPr>
            <w:r>
              <w:rPr>
                <w:b/>
                <w:bCs/>
                <w:spacing w:val="-2"/>
                <w:sz w:val="28"/>
                <w:szCs w:val="28"/>
              </w:rPr>
              <w:t>合计</w:t>
            </w:r>
          </w:p>
        </w:tc>
      </w:tr>
      <w:tr w14:paraId="5DA7B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95" w:type="dxa"/>
            <w:vMerge w:val="restart"/>
            <w:tcBorders>
              <w:bottom w:val="nil"/>
            </w:tcBorders>
            <w:vAlign w:val="top"/>
          </w:tcPr>
          <w:p w14:paraId="650F1DAE">
            <w:pPr>
              <w:spacing w:line="276" w:lineRule="auto"/>
              <w:rPr>
                <w:rFonts w:ascii="Arial"/>
                <w:sz w:val="18"/>
                <w:szCs w:val="18"/>
              </w:rPr>
            </w:pPr>
          </w:p>
          <w:p w14:paraId="577A72B5">
            <w:pPr>
              <w:spacing w:line="276" w:lineRule="auto"/>
              <w:rPr>
                <w:rFonts w:ascii="Arial"/>
                <w:sz w:val="18"/>
                <w:szCs w:val="18"/>
              </w:rPr>
            </w:pPr>
          </w:p>
          <w:p w14:paraId="61E6D604">
            <w:pPr>
              <w:pStyle w:val="8"/>
              <w:spacing w:before="52" w:line="219" w:lineRule="auto"/>
              <w:ind w:left="125"/>
              <w:rPr>
                <w:sz w:val="18"/>
                <w:szCs w:val="18"/>
              </w:rPr>
            </w:pPr>
            <w:r>
              <w:rPr>
                <w:spacing w:val="-3"/>
                <w:sz w:val="18"/>
                <w:szCs w:val="18"/>
              </w:rPr>
              <w:t>一月份</w:t>
            </w:r>
          </w:p>
        </w:tc>
        <w:tc>
          <w:tcPr>
            <w:tcW w:w="1335" w:type="dxa"/>
            <w:vAlign w:val="top"/>
          </w:tcPr>
          <w:p w14:paraId="66A6034A">
            <w:pPr>
              <w:pStyle w:val="8"/>
              <w:spacing w:before="67" w:line="219" w:lineRule="auto"/>
              <w:ind w:left="141"/>
              <w:rPr>
                <w:sz w:val="18"/>
                <w:szCs w:val="18"/>
              </w:rPr>
            </w:pPr>
            <w:r>
              <w:rPr>
                <w:spacing w:val="-1"/>
                <w:sz w:val="18"/>
                <w:szCs w:val="18"/>
              </w:rPr>
              <w:t>重点检查企业</w:t>
            </w:r>
          </w:p>
          <w:p w14:paraId="1994C3CC">
            <w:pPr>
              <w:pStyle w:val="8"/>
              <w:spacing w:line="210" w:lineRule="auto"/>
              <w:ind w:left="381"/>
              <w:rPr>
                <w:sz w:val="18"/>
                <w:szCs w:val="18"/>
              </w:rPr>
            </w:pPr>
            <w:r>
              <w:rPr>
                <w:spacing w:val="8"/>
                <w:sz w:val="18"/>
                <w:szCs w:val="18"/>
              </w:rPr>
              <w:t>(家次)</w:t>
            </w:r>
          </w:p>
        </w:tc>
        <w:tc>
          <w:tcPr>
            <w:tcW w:w="2160" w:type="dxa"/>
            <w:vAlign w:val="top"/>
          </w:tcPr>
          <w:p w14:paraId="5D1311AE">
            <w:pPr>
              <w:pStyle w:val="8"/>
              <w:spacing w:before="188" w:line="184" w:lineRule="auto"/>
              <w:jc w:val="center"/>
              <w:rPr>
                <w:rFonts w:hint="default" w:eastAsia="宋体"/>
                <w:sz w:val="16"/>
                <w:szCs w:val="16"/>
                <w:lang w:val="en-US" w:eastAsia="zh-CN"/>
              </w:rPr>
            </w:pPr>
            <w:r>
              <w:rPr>
                <w:rFonts w:hint="eastAsia"/>
                <w:sz w:val="16"/>
                <w:szCs w:val="16"/>
                <w:lang w:val="en-US" w:eastAsia="zh-CN"/>
              </w:rPr>
              <w:t>2</w:t>
            </w:r>
          </w:p>
        </w:tc>
        <w:tc>
          <w:tcPr>
            <w:tcW w:w="2220" w:type="dxa"/>
            <w:vAlign w:val="top"/>
          </w:tcPr>
          <w:p w14:paraId="469402FC">
            <w:pPr>
              <w:pStyle w:val="8"/>
              <w:spacing w:before="188" w:line="183" w:lineRule="auto"/>
              <w:ind w:left="315" w:leftChars="0"/>
              <w:jc w:val="center"/>
              <w:rPr>
                <w:rFonts w:hint="default" w:eastAsia="宋体"/>
                <w:sz w:val="16"/>
                <w:szCs w:val="16"/>
                <w:lang w:val="en-US" w:eastAsia="zh-CN"/>
              </w:rPr>
            </w:pPr>
          </w:p>
        </w:tc>
        <w:tc>
          <w:tcPr>
            <w:tcW w:w="2550" w:type="dxa"/>
            <w:vAlign w:val="top"/>
          </w:tcPr>
          <w:p w14:paraId="62C8717C">
            <w:pPr>
              <w:pStyle w:val="8"/>
              <w:spacing w:before="188" w:line="183" w:lineRule="auto"/>
              <w:jc w:val="center"/>
              <w:rPr>
                <w:rFonts w:hint="eastAsia" w:eastAsia="宋体"/>
                <w:sz w:val="16"/>
                <w:szCs w:val="16"/>
                <w:lang w:val="en-US" w:eastAsia="zh-CN"/>
              </w:rPr>
            </w:pPr>
            <w:r>
              <w:rPr>
                <w:rFonts w:hint="eastAsia"/>
                <w:sz w:val="16"/>
                <w:szCs w:val="16"/>
                <w:lang w:val="en-US" w:eastAsia="zh-CN"/>
              </w:rPr>
              <w:t>2</w:t>
            </w:r>
          </w:p>
        </w:tc>
      </w:tr>
      <w:tr w14:paraId="1DE8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95" w:type="dxa"/>
            <w:vMerge w:val="continue"/>
            <w:tcBorders>
              <w:top w:val="nil"/>
              <w:bottom w:val="nil"/>
            </w:tcBorders>
            <w:vAlign w:val="top"/>
          </w:tcPr>
          <w:p w14:paraId="0E505038">
            <w:pPr>
              <w:rPr>
                <w:rFonts w:ascii="Arial"/>
                <w:sz w:val="18"/>
                <w:szCs w:val="18"/>
              </w:rPr>
            </w:pPr>
          </w:p>
        </w:tc>
        <w:tc>
          <w:tcPr>
            <w:tcW w:w="1335" w:type="dxa"/>
            <w:vAlign w:val="top"/>
          </w:tcPr>
          <w:p w14:paraId="0C98E08D">
            <w:pPr>
              <w:pStyle w:val="8"/>
              <w:spacing w:before="67" w:line="219" w:lineRule="auto"/>
              <w:ind w:left="141"/>
              <w:rPr>
                <w:sz w:val="18"/>
                <w:szCs w:val="18"/>
              </w:rPr>
            </w:pPr>
            <w:r>
              <w:rPr>
                <w:spacing w:val="-2"/>
                <w:sz w:val="18"/>
                <w:szCs w:val="18"/>
              </w:rPr>
              <w:t>一般检查企业</w:t>
            </w:r>
          </w:p>
          <w:p w14:paraId="55D001F5">
            <w:pPr>
              <w:pStyle w:val="8"/>
              <w:spacing w:before="10" w:line="219" w:lineRule="auto"/>
              <w:ind w:left="381"/>
              <w:rPr>
                <w:sz w:val="18"/>
                <w:szCs w:val="18"/>
              </w:rPr>
            </w:pPr>
            <w:r>
              <w:rPr>
                <w:spacing w:val="8"/>
                <w:sz w:val="18"/>
                <w:szCs w:val="18"/>
              </w:rPr>
              <w:t>(家次)</w:t>
            </w:r>
          </w:p>
        </w:tc>
        <w:tc>
          <w:tcPr>
            <w:tcW w:w="2160" w:type="dxa"/>
            <w:vAlign w:val="top"/>
          </w:tcPr>
          <w:p w14:paraId="222B4EF8">
            <w:pPr>
              <w:pStyle w:val="8"/>
              <w:spacing w:before="197" w:line="184" w:lineRule="auto"/>
              <w:jc w:val="center"/>
              <w:rPr>
                <w:rFonts w:hint="eastAsia" w:eastAsia="宋体"/>
                <w:sz w:val="16"/>
                <w:szCs w:val="16"/>
                <w:lang w:val="en-US" w:eastAsia="zh-CN"/>
              </w:rPr>
            </w:pPr>
          </w:p>
        </w:tc>
        <w:tc>
          <w:tcPr>
            <w:tcW w:w="2220" w:type="dxa"/>
            <w:vAlign w:val="top"/>
          </w:tcPr>
          <w:p w14:paraId="541EB100">
            <w:pPr>
              <w:pStyle w:val="8"/>
              <w:spacing w:before="197" w:line="184" w:lineRule="auto"/>
              <w:ind w:left="315" w:leftChars="0"/>
              <w:jc w:val="center"/>
              <w:rPr>
                <w:sz w:val="16"/>
                <w:szCs w:val="16"/>
              </w:rPr>
            </w:pPr>
          </w:p>
        </w:tc>
        <w:tc>
          <w:tcPr>
            <w:tcW w:w="2550" w:type="dxa"/>
            <w:vAlign w:val="top"/>
          </w:tcPr>
          <w:p w14:paraId="5BBAEDE1">
            <w:pPr>
              <w:pStyle w:val="8"/>
              <w:spacing w:before="198" w:line="183" w:lineRule="auto"/>
              <w:jc w:val="center"/>
              <w:rPr>
                <w:rFonts w:hint="eastAsia" w:eastAsia="宋体"/>
                <w:sz w:val="16"/>
                <w:szCs w:val="16"/>
                <w:lang w:val="en-US" w:eastAsia="zh-CN"/>
              </w:rPr>
            </w:pPr>
            <w:r>
              <w:rPr>
                <w:rFonts w:hint="eastAsia"/>
                <w:sz w:val="16"/>
                <w:szCs w:val="16"/>
                <w:lang w:val="en-US" w:eastAsia="zh-CN"/>
              </w:rPr>
              <w:t>0</w:t>
            </w:r>
          </w:p>
        </w:tc>
      </w:tr>
      <w:tr w14:paraId="4CF9F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95" w:type="dxa"/>
            <w:vMerge w:val="continue"/>
            <w:tcBorders>
              <w:top w:val="nil"/>
            </w:tcBorders>
            <w:vAlign w:val="top"/>
          </w:tcPr>
          <w:p w14:paraId="390FE617">
            <w:pPr>
              <w:rPr>
                <w:rFonts w:ascii="Arial"/>
                <w:sz w:val="18"/>
                <w:szCs w:val="18"/>
              </w:rPr>
            </w:pPr>
          </w:p>
        </w:tc>
        <w:tc>
          <w:tcPr>
            <w:tcW w:w="1335" w:type="dxa"/>
            <w:vAlign w:val="top"/>
          </w:tcPr>
          <w:p w14:paraId="34900312">
            <w:pPr>
              <w:pStyle w:val="8"/>
              <w:spacing w:before="57" w:line="219" w:lineRule="auto"/>
              <w:ind w:left="141"/>
              <w:rPr>
                <w:sz w:val="18"/>
                <w:szCs w:val="18"/>
              </w:rPr>
            </w:pPr>
            <w:r>
              <w:rPr>
                <w:spacing w:val="-2"/>
                <w:sz w:val="18"/>
                <w:szCs w:val="18"/>
              </w:rPr>
              <w:t>线上巡查企业</w:t>
            </w:r>
          </w:p>
          <w:p w14:paraId="3DAFB418">
            <w:pPr>
              <w:pStyle w:val="8"/>
              <w:spacing w:line="209" w:lineRule="auto"/>
              <w:ind w:left="381"/>
              <w:rPr>
                <w:sz w:val="18"/>
                <w:szCs w:val="18"/>
              </w:rPr>
            </w:pPr>
            <w:r>
              <w:rPr>
                <w:spacing w:val="8"/>
                <w:sz w:val="18"/>
                <w:szCs w:val="18"/>
              </w:rPr>
              <w:t>(家次)</w:t>
            </w:r>
          </w:p>
        </w:tc>
        <w:tc>
          <w:tcPr>
            <w:tcW w:w="2160" w:type="dxa"/>
            <w:vAlign w:val="top"/>
          </w:tcPr>
          <w:p w14:paraId="1522163F">
            <w:pPr>
              <w:pStyle w:val="8"/>
              <w:spacing w:before="178"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556D0E75">
            <w:pPr>
              <w:pStyle w:val="8"/>
              <w:spacing w:before="178" w:line="184" w:lineRule="auto"/>
              <w:jc w:val="center"/>
              <w:rPr>
                <w:rFonts w:hint="default" w:eastAsia="宋体"/>
                <w:sz w:val="16"/>
                <w:szCs w:val="16"/>
                <w:lang w:val="en-US" w:eastAsia="zh-CN"/>
              </w:rPr>
            </w:pPr>
            <w:r>
              <w:rPr>
                <w:rFonts w:hint="eastAsia"/>
                <w:sz w:val="16"/>
                <w:szCs w:val="16"/>
                <w:lang w:val="en-US" w:eastAsia="zh-CN"/>
              </w:rPr>
              <w:t>1</w:t>
            </w:r>
          </w:p>
        </w:tc>
        <w:tc>
          <w:tcPr>
            <w:tcW w:w="2550" w:type="dxa"/>
            <w:vAlign w:val="top"/>
          </w:tcPr>
          <w:p w14:paraId="316B46B0">
            <w:pPr>
              <w:pStyle w:val="8"/>
              <w:spacing w:before="178" w:line="184" w:lineRule="auto"/>
              <w:jc w:val="center"/>
              <w:rPr>
                <w:rFonts w:hint="eastAsia" w:eastAsia="宋体"/>
                <w:sz w:val="16"/>
                <w:szCs w:val="16"/>
                <w:lang w:val="en-US" w:eastAsia="zh-CN"/>
              </w:rPr>
            </w:pPr>
            <w:r>
              <w:rPr>
                <w:rFonts w:hint="eastAsia"/>
                <w:sz w:val="16"/>
                <w:szCs w:val="16"/>
                <w:lang w:val="en-US" w:eastAsia="zh-CN"/>
              </w:rPr>
              <w:t>3</w:t>
            </w:r>
          </w:p>
        </w:tc>
      </w:tr>
      <w:tr w14:paraId="1E26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95" w:type="dxa"/>
            <w:vMerge w:val="restart"/>
            <w:tcBorders>
              <w:bottom w:val="nil"/>
            </w:tcBorders>
            <w:vAlign w:val="center"/>
          </w:tcPr>
          <w:p w14:paraId="235D692E">
            <w:pPr>
              <w:jc w:val="center"/>
              <w:rPr>
                <w:rFonts w:ascii="Arial"/>
                <w:sz w:val="18"/>
                <w:szCs w:val="18"/>
              </w:rPr>
            </w:pPr>
            <w:r>
              <w:rPr>
                <w:rFonts w:ascii="Arial"/>
                <w:sz w:val="18"/>
                <w:szCs w:val="18"/>
              </w:rPr>
              <w:t>二月份</w:t>
            </w:r>
          </w:p>
        </w:tc>
        <w:tc>
          <w:tcPr>
            <w:tcW w:w="1335" w:type="dxa"/>
            <w:vAlign w:val="center"/>
          </w:tcPr>
          <w:p w14:paraId="1B35E146">
            <w:pPr>
              <w:jc w:val="center"/>
              <w:rPr>
                <w:rFonts w:ascii="Arial"/>
                <w:sz w:val="18"/>
                <w:szCs w:val="18"/>
              </w:rPr>
            </w:pPr>
            <w:r>
              <w:rPr>
                <w:rFonts w:ascii="Arial"/>
                <w:sz w:val="18"/>
                <w:szCs w:val="18"/>
              </w:rPr>
              <w:t>重点检查企业</w:t>
            </w:r>
          </w:p>
          <w:p w14:paraId="0A2F2B40">
            <w:pPr>
              <w:jc w:val="center"/>
              <w:rPr>
                <w:rFonts w:ascii="Arial"/>
                <w:sz w:val="18"/>
                <w:szCs w:val="18"/>
              </w:rPr>
            </w:pPr>
            <w:r>
              <w:rPr>
                <w:rFonts w:ascii="Arial"/>
                <w:sz w:val="18"/>
                <w:szCs w:val="18"/>
              </w:rPr>
              <w:t>(家次)</w:t>
            </w:r>
          </w:p>
        </w:tc>
        <w:tc>
          <w:tcPr>
            <w:tcW w:w="2160" w:type="dxa"/>
            <w:vAlign w:val="top"/>
          </w:tcPr>
          <w:p w14:paraId="3A135D69">
            <w:pPr>
              <w:pStyle w:val="8"/>
              <w:spacing w:before="189" w:line="184" w:lineRule="auto"/>
              <w:ind w:left="245"/>
              <w:jc w:val="center"/>
              <w:rPr>
                <w:rFonts w:hint="eastAsia" w:eastAsia="宋体"/>
                <w:sz w:val="16"/>
                <w:szCs w:val="16"/>
                <w:lang w:val="en-US" w:eastAsia="zh-CN"/>
              </w:rPr>
            </w:pPr>
          </w:p>
        </w:tc>
        <w:tc>
          <w:tcPr>
            <w:tcW w:w="2220" w:type="dxa"/>
            <w:vAlign w:val="top"/>
          </w:tcPr>
          <w:p w14:paraId="2CF6A242">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2A6F90D3">
            <w:pPr>
              <w:pStyle w:val="8"/>
              <w:spacing w:before="189" w:line="184" w:lineRule="auto"/>
              <w:jc w:val="center"/>
              <w:rPr>
                <w:rFonts w:hint="eastAsia" w:eastAsia="宋体"/>
                <w:sz w:val="16"/>
                <w:szCs w:val="16"/>
                <w:lang w:val="en-US" w:eastAsia="zh-CN"/>
              </w:rPr>
            </w:pPr>
            <w:r>
              <w:rPr>
                <w:rFonts w:hint="eastAsia"/>
                <w:sz w:val="16"/>
                <w:szCs w:val="16"/>
                <w:lang w:val="en-US" w:eastAsia="zh-CN"/>
              </w:rPr>
              <w:t>1</w:t>
            </w:r>
          </w:p>
        </w:tc>
      </w:tr>
      <w:tr w14:paraId="3615C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95" w:type="dxa"/>
            <w:vMerge w:val="continue"/>
            <w:tcBorders>
              <w:top w:val="nil"/>
              <w:bottom w:val="nil"/>
            </w:tcBorders>
            <w:vAlign w:val="center"/>
          </w:tcPr>
          <w:p w14:paraId="2D5A21B1">
            <w:pPr>
              <w:jc w:val="center"/>
              <w:rPr>
                <w:rFonts w:ascii="Arial"/>
                <w:sz w:val="18"/>
                <w:szCs w:val="18"/>
              </w:rPr>
            </w:pPr>
          </w:p>
        </w:tc>
        <w:tc>
          <w:tcPr>
            <w:tcW w:w="1335" w:type="dxa"/>
            <w:vAlign w:val="center"/>
          </w:tcPr>
          <w:p w14:paraId="7CBEFED6">
            <w:pPr>
              <w:jc w:val="center"/>
              <w:rPr>
                <w:rFonts w:ascii="Arial"/>
                <w:sz w:val="18"/>
                <w:szCs w:val="18"/>
              </w:rPr>
            </w:pPr>
            <w:r>
              <w:rPr>
                <w:rFonts w:ascii="Arial"/>
                <w:sz w:val="18"/>
                <w:szCs w:val="18"/>
              </w:rPr>
              <w:t>一般检查企业</w:t>
            </w:r>
          </w:p>
          <w:p w14:paraId="608FC663">
            <w:pPr>
              <w:jc w:val="center"/>
              <w:rPr>
                <w:rFonts w:ascii="Arial"/>
                <w:sz w:val="18"/>
                <w:szCs w:val="18"/>
              </w:rPr>
            </w:pPr>
            <w:r>
              <w:rPr>
                <w:rFonts w:ascii="Arial"/>
                <w:sz w:val="18"/>
                <w:szCs w:val="18"/>
              </w:rPr>
              <w:t>(家次)</w:t>
            </w:r>
          </w:p>
        </w:tc>
        <w:tc>
          <w:tcPr>
            <w:tcW w:w="2160" w:type="dxa"/>
            <w:vAlign w:val="top"/>
          </w:tcPr>
          <w:p w14:paraId="239C4F4D">
            <w:pPr>
              <w:pStyle w:val="8"/>
              <w:spacing w:before="189" w:line="184" w:lineRule="auto"/>
              <w:ind w:left="245"/>
              <w:jc w:val="center"/>
              <w:rPr>
                <w:rFonts w:hint="default" w:eastAsia="宋体"/>
                <w:sz w:val="16"/>
                <w:szCs w:val="16"/>
                <w:lang w:val="en-US" w:eastAsia="zh-CN"/>
              </w:rPr>
            </w:pPr>
          </w:p>
        </w:tc>
        <w:tc>
          <w:tcPr>
            <w:tcW w:w="2220" w:type="dxa"/>
            <w:vAlign w:val="top"/>
          </w:tcPr>
          <w:p w14:paraId="2BCA49F9">
            <w:pPr>
              <w:pStyle w:val="8"/>
              <w:spacing w:before="197" w:line="184" w:lineRule="auto"/>
              <w:ind w:left="315" w:leftChars="0"/>
              <w:jc w:val="center"/>
              <w:rPr>
                <w:sz w:val="16"/>
                <w:szCs w:val="16"/>
              </w:rPr>
            </w:pPr>
          </w:p>
        </w:tc>
        <w:tc>
          <w:tcPr>
            <w:tcW w:w="2550" w:type="dxa"/>
            <w:vAlign w:val="top"/>
          </w:tcPr>
          <w:p w14:paraId="770DB3E7">
            <w:pPr>
              <w:pStyle w:val="8"/>
              <w:spacing w:before="190" w:line="183" w:lineRule="auto"/>
              <w:jc w:val="center"/>
              <w:rPr>
                <w:rFonts w:hint="eastAsia" w:eastAsia="宋体"/>
                <w:sz w:val="16"/>
                <w:szCs w:val="16"/>
                <w:lang w:val="en-US" w:eastAsia="zh-CN"/>
              </w:rPr>
            </w:pPr>
            <w:r>
              <w:rPr>
                <w:rFonts w:hint="eastAsia"/>
                <w:sz w:val="16"/>
                <w:szCs w:val="16"/>
                <w:lang w:val="en-US" w:eastAsia="zh-CN"/>
              </w:rPr>
              <w:t>0</w:t>
            </w:r>
          </w:p>
        </w:tc>
      </w:tr>
      <w:tr w14:paraId="03B8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95" w:type="dxa"/>
            <w:vMerge w:val="continue"/>
            <w:tcBorders>
              <w:top w:val="nil"/>
            </w:tcBorders>
            <w:vAlign w:val="center"/>
          </w:tcPr>
          <w:p w14:paraId="72432F4A">
            <w:pPr>
              <w:jc w:val="center"/>
              <w:rPr>
                <w:rFonts w:ascii="Arial"/>
                <w:sz w:val="18"/>
                <w:szCs w:val="18"/>
              </w:rPr>
            </w:pPr>
          </w:p>
        </w:tc>
        <w:tc>
          <w:tcPr>
            <w:tcW w:w="1335" w:type="dxa"/>
            <w:vAlign w:val="center"/>
          </w:tcPr>
          <w:p w14:paraId="6863F7EA">
            <w:pPr>
              <w:jc w:val="center"/>
              <w:rPr>
                <w:rFonts w:ascii="Arial"/>
                <w:sz w:val="18"/>
                <w:szCs w:val="18"/>
              </w:rPr>
            </w:pPr>
            <w:r>
              <w:rPr>
                <w:rFonts w:ascii="Arial"/>
                <w:sz w:val="18"/>
                <w:szCs w:val="18"/>
              </w:rPr>
              <w:t>线上巡查企业</w:t>
            </w:r>
          </w:p>
          <w:p w14:paraId="3BCBBBFA">
            <w:pPr>
              <w:jc w:val="center"/>
              <w:rPr>
                <w:rFonts w:ascii="Arial"/>
                <w:sz w:val="18"/>
                <w:szCs w:val="18"/>
              </w:rPr>
            </w:pPr>
            <w:r>
              <w:rPr>
                <w:rFonts w:ascii="Arial"/>
                <w:sz w:val="18"/>
                <w:szCs w:val="18"/>
              </w:rPr>
              <w:t>(家次)</w:t>
            </w:r>
          </w:p>
        </w:tc>
        <w:tc>
          <w:tcPr>
            <w:tcW w:w="2160" w:type="dxa"/>
            <w:vAlign w:val="top"/>
          </w:tcPr>
          <w:p w14:paraId="1229CF27">
            <w:pPr>
              <w:pStyle w:val="8"/>
              <w:spacing w:before="181"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6026BEC5">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3954CDC5">
            <w:pPr>
              <w:pStyle w:val="8"/>
              <w:spacing w:before="181" w:line="184" w:lineRule="auto"/>
              <w:jc w:val="center"/>
              <w:rPr>
                <w:rFonts w:hint="eastAsia" w:eastAsia="宋体"/>
                <w:sz w:val="16"/>
                <w:szCs w:val="16"/>
                <w:lang w:val="en-US" w:eastAsia="zh-CN"/>
              </w:rPr>
            </w:pPr>
            <w:r>
              <w:rPr>
                <w:rFonts w:hint="eastAsia"/>
                <w:sz w:val="16"/>
                <w:szCs w:val="16"/>
                <w:lang w:val="en-US" w:eastAsia="zh-CN"/>
              </w:rPr>
              <w:t>3</w:t>
            </w:r>
          </w:p>
        </w:tc>
      </w:tr>
      <w:tr w14:paraId="4FBD5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95" w:type="dxa"/>
            <w:vMerge w:val="restart"/>
            <w:tcBorders>
              <w:bottom w:val="nil"/>
            </w:tcBorders>
            <w:vAlign w:val="center"/>
          </w:tcPr>
          <w:p w14:paraId="62E81BD6">
            <w:pPr>
              <w:jc w:val="center"/>
              <w:rPr>
                <w:rFonts w:ascii="Arial"/>
                <w:sz w:val="18"/>
                <w:szCs w:val="18"/>
              </w:rPr>
            </w:pPr>
            <w:r>
              <w:rPr>
                <w:rFonts w:ascii="Arial"/>
                <w:sz w:val="18"/>
                <w:szCs w:val="18"/>
              </w:rPr>
              <w:t>三月份</w:t>
            </w:r>
          </w:p>
        </w:tc>
        <w:tc>
          <w:tcPr>
            <w:tcW w:w="1335" w:type="dxa"/>
            <w:vAlign w:val="center"/>
          </w:tcPr>
          <w:p w14:paraId="09402BFB">
            <w:pPr>
              <w:jc w:val="center"/>
              <w:rPr>
                <w:rFonts w:ascii="Arial"/>
                <w:sz w:val="18"/>
                <w:szCs w:val="18"/>
              </w:rPr>
            </w:pPr>
            <w:r>
              <w:rPr>
                <w:rFonts w:ascii="Arial"/>
                <w:sz w:val="18"/>
                <w:szCs w:val="18"/>
              </w:rPr>
              <w:t>重点检查企业</w:t>
            </w:r>
          </w:p>
          <w:p w14:paraId="0073D588">
            <w:pPr>
              <w:jc w:val="center"/>
              <w:rPr>
                <w:rFonts w:ascii="Arial"/>
                <w:sz w:val="18"/>
                <w:szCs w:val="18"/>
              </w:rPr>
            </w:pPr>
            <w:r>
              <w:rPr>
                <w:rFonts w:ascii="Arial"/>
                <w:sz w:val="18"/>
                <w:szCs w:val="18"/>
              </w:rPr>
              <w:t>(家次)</w:t>
            </w:r>
          </w:p>
        </w:tc>
        <w:tc>
          <w:tcPr>
            <w:tcW w:w="2160" w:type="dxa"/>
            <w:vAlign w:val="top"/>
          </w:tcPr>
          <w:p w14:paraId="46386C4D">
            <w:pPr>
              <w:pStyle w:val="8"/>
              <w:spacing w:before="191" w:line="183"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45204591">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7112DE2F">
            <w:pPr>
              <w:pStyle w:val="8"/>
              <w:spacing w:before="191" w:line="183" w:lineRule="auto"/>
              <w:jc w:val="center"/>
              <w:rPr>
                <w:rFonts w:hint="eastAsia" w:eastAsia="宋体"/>
                <w:sz w:val="16"/>
                <w:szCs w:val="16"/>
                <w:lang w:val="en-US" w:eastAsia="zh-CN"/>
              </w:rPr>
            </w:pPr>
            <w:r>
              <w:rPr>
                <w:rFonts w:hint="eastAsia"/>
                <w:sz w:val="16"/>
                <w:szCs w:val="16"/>
                <w:lang w:val="en-US" w:eastAsia="zh-CN"/>
              </w:rPr>
              <w:t>2</w:t>
            </w:r>
          </w:p>
        </w:tc>
      </w:tr>
      <w:tr w14:paraId="3177F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95" w:type="dxa"/>
            <w:vMerge w:val="continue"/>
            <w:tcBorders>
              <w:top w:val="nil"/>
              <w:bottom w:val="nil"/>
            </w:tcBorders>
            <w:vAlign w:val="center"/>
          </w:tcPr>
          <w:p w14:paraId="77EF1896">
            <w:pPr>
              <w:jc w:val="center"/>
              <w:rPr>
                <w:rFonts w:ascii="Arial"/>
                <w:sz w:val="18"/>
                <w:szCs w:val="18"/>
              </w:rPr>
            </w:pPr>
          </w:p>
        </w:tc>
        <w:tc>
          <w:tcPr>
            <w:tcW w:w="1335" w:type="dxa"/>
            <w:vAlign w:val="center"/>
          </w:tcPr>
          <w:p w14:paraId="166DC076">
            <w:pPr>
              <w:jc w:val="center"/>
              <w:rPr>
                <w:rFonts w:ascii="Arial"/>
                <w:sz w:val="18"/>
                <w:szCs w:val="18"/>
              </w:rPr>
            </w:pPr>
            <w:r>
              <w:rPr>
                <w:rFonts w:ascii="Arial"/>
                <w:sz w:val="18"/>
                <w:szCs w:val="18"/>
              </w:rPr>
              <w:t>一般检查企业</w:t>
            </w:r>
          </w:p>
          <w:p w14:paraId="146E149F">
            <w:pPr>
              <w:jc w:val="center"/>
              <w:rPr>
                <w:rFonts w:ascii="Arial"/>
                <w:sz w:val="18"/>
                <w:szCs w:val="18"/>
              </w:rPr>
            </w:pPr>
            <w:r>
              <w:rPr>
                <w:rFonts w:ascii="Arial"/>
                <w:sz w:val="18"/>
                <w:szCs w:val="18"/>
              </w:rPr>
              <w:t>(家次)</w:t>
            </w:r>
          </w:p>
        </w:tc>
        <w:tc>
          <w:tcPr>
            <w:tcW w:w="2160" w:type="dxa"/>
            <w:vAlign w:val="top"/>
          </w:tcPr>
          <w:p w14:paraId="4B674C8A">
            <w:pPr>
              <w:pStyle w:val="8"/>
              <w:spacing w:before="191" w:line="184" w:lineRule="auto"/>
              <w:jc w:val="center"/>
              <w:rPr>
                <w:rFonts w:hint="default" w:eastAsia="宋体"/>
                <w:sz w:val="16"/>
                <w:szCs w:val="16"/>
                <w:lang w:val="en-US" w:eastAsia="zh-CN"/>
              </w:rPr>
            </w:pPr>
            <w:r>
              <w:rPr>
                <w:rFonts w:hint="eastAsia"/>
                <w:sz w:val="16"/>
                <w:szCs w:val="16"/>
                <w:lang w:val="en-US" w:eastAsia="zh-CN"/>
              </w:rPr>
              <w:t>1</w:t>
            </w:r>
          </w:p>
        </w:tc>
        <w:tc>
          <w:tcPr>
            <w:tcW w:w="2220" w:type="dxa"/>
            <w:vAlign w:val="top"/>
          </w:tcPr>
          <w:p w14:paraId="03FB8296">
            <w:pPr>
              <w:pStyle w:val="8"/>
              <w:spacing w:before="197" w:line="184" w:lineRule="auto"/>
              <w:jc w:val="center"/>
              <w:rPr>
                <w:sz w:val="16"/>
                <w:szCs w:val="16"/>
              </w:rPr>
            </w:pPr>
            <w:r>
              <w:rPr>
                <w:rFonts w:hint="eastAsia" w:cs="宋体"/>
                <w:kern w:val="2"/>
                <w:sz w:val="16"/>
                <w:szCs w:val="16"/>
                <w:lang w:val="en-US" w:eastAsia="zh-CN" w:bidi="ar-SA"/>
              </w:rPr>
              <w:t>1</w:t>
            </w:r>
          </w:p>
        </w:tc>
        <w:tc>
          <w:tcPr>
            <w:tcW w:w="2550" w:type="dxa"/>
            <w:vAlign w:val="top"/>
          </w:tcPr>
          <w:p w14:paraId="4117DC87">
            <w:pPr>
              <w:pStyle w:val="8"/>
              <w:spacing w:before="193" w:line="182" w:lineRule="auto"/>
              <w:jc w:val="center"/>
              <w:rPr>
                <w:rFonts w:hint="eastAsia" w:eastAsia="宋体"/>
                <w:sz w:val="16"/>
                <w:szCs w:val="16"/>
                <w:lang w:val="en-US" w:eastAsia="zh-CN"/>
              </w:rPr>
            </w:pPr>
            <w:r>
              <w:rPr>
                <w:rFonts w:hint="eastAsia"/>
                <w:sz w:val="16"/>
                <w:szCs w:val="16"/>
                <w:lang w:val="en-US" w:eastAsia="zh-CN"/>
              </w:rPr>
              <w:t>2</w:t>
            </w:r>
          </w:p>
        </w:tc>
      </w:tr>
      <w:tr w14:paraId="42D2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95" w:type="dxa"/>
            <w:vMerge w:val="continue"/>
            <w:tcBorders>
              <w:top w:val="nil"/>
            </w:tcBorders>
            <w:vAlign w:val="center"/>
          </w:tcPr>
          <w:p w14:paraId="099ED6C4">
            <w:pPr>
              <w:jc w:val="center"/>
              <w:rPr>
                <w:rFonts w:ascii="Arial"/>
                <w:sz w:val="18"/>
                <w:szCs w:val="18"/>
              </w:rPr>
            </w:pPr>
          </w:p>
        </w:tc>
        <w:tc>
          <w:tcPr>
            <w:tcW w:w="1335" w:type="dxa"/>
            <w:vAlign w:val="center"/>
          </w:tcPr>
          <w:p w14:paraId="2B767552">
            <w:pPr>
              <w:jc w:val="center"/>
              <w:rPr>
                <w:rFonts w:ascii="Arial"/>
                <w:sz w:val="18"/>
                <w:szCs w:val="18"/>
              </w:rPr>
            </w:pPr>
            <w:r>
              <w:rPr>
                <w:rFonts w:ascii="Arial"/>
                <w:sz w:val="18"/>
                <w:szCs w:val="18"/>
              </w:rPr>
              <w:t>线上巡查企业</w:t>
            </w:r>
          </w:p>
          <w:p w14:paraId="31AA15FC">
            <w:pPr>
              <w:jc w:val="center"/>
              <w:rPr>
                <w:rFonts w:ascii="Arial"/>
                <w:sz w:val="18"/>
                <w:szCs w:val="18"/>
              </w:rPr>
            </w:pPr>
            <w:r>
              <w:rPr>
                <w:rFonts w:ascii="Arial"/>
                <w:sz w:val="18"/>
                <w:szCs w:val="18"/>
              </w:rPr>
              <w:t>(家次)</w:t>
            </w:r>
          </w:p>
        </w:tc>
        <w:tc>
          <w:tcPr>
            <w:tcW w:w="2160" w:type="dxa"/>
            <w:vAlign w:val="top"/>
          </w:tcPr>
          <w:p w14:paraId="457B210B">
            <w:pPr>
              <w:pStyle w:val="8"/>
              <w:spacing w:before="193"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5C4F078C">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6573CA7F">
            <w:pPr>
              <w:pStyle w:val="8"/>
              <w:spacing w:before="192" w:line="184" w:lineRule="auto"/>
              <w:jc w:val="center"/>
              <w:rPr>
                <w:rFonts w:hint="default" w:eastAsia="宋体"/>
                <w:sz w:val="16"/>
                <w:szCs w:val="16"/>
                <w:lang w:val="en-US" w:eastAsia="zh-CN"/>
              </w:rPr>
            </w:pPr>
            <w:r>
              <w:rPr>
                <w:rFonts w:hint="eastAsia"/>
                <w:sz w:val="16"/>
                <w:szCs w:val="16"/>
                <w:lang w:val="en-US" w:eastAsia="zh-CN"/>
              </w:rPr>
              <w:t>3</w:t>
            </w:r>
          </w:p>
        </w:tc>
      </w:tr>
      <w:tr w14:paraId="19F36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95" w:type="dxa"/>
            <w:vMerge w:val="restart"/>
            <w:tcBorders>
              <w:bottom w:val="nil"/>
            </w:tcBorders>
            <w:vAlign w:val="center"/>
          </w:tcPr>
          <w:p w14:paraId="7919CC77">
            <w:pPr>
              <w:jc w:val="center"/>
              <w:rPr>
                <w:rFonts w:ascii="Arial"/>
                <w:sz w:val="18"/>
                <w:szCs w:val="18"/>
              </w:rPr>
            </w:pPr>
            <w:r>
              <w:rPr>
                <w:rFonts w:ascii="Arial"/>
                <w:sz w:val="18"/>
                <w:szCs w:val="18"/>
              </w:rPr>
              <w:t>四月份</w:t>
            </w:r>
          </w:p>
        </w:tc>
        <w:tc>
          <w:tcPr>
            <w:tcW w:w="1335" w:type="dxa"/>
            <w:vAlign w:val="center"/>
          </w:tcPr>
          <w:p w14:paraId="08E5F7C4">
            <w:pPr>
              <w:jc w:val="center"/>
              <w:rPr>
                <w:rFonts w:ascii="Arial"/>
                <w:sz w:val="18"/>
                <w:szCs w:val="18"/>
              </w:rPr>
            </w:pPr>
            <w:r>
              <w:rPr>
                <w:rFonts w:ascii="Arial"/>
                <w:sz w:val="18"/>
                <w:szCs w:val="18"/>
              </w:rPr>
              <w:t>重点检查企业</w:t>
            </w:r>
          </w:p>
          <w:p w14:paraId="48579945">
            <w:pPr>
              <w:jc w:val="center"/>
              <w:rPr>
                <w:rFonts w:ascii="Arial"/>
                <w:sz w:val="18"/>
                <w:szCs w:val="18"/>
              </w:rPr>
            </w:pPr>
            <w:r>
              <w:rPr>
                <w:rFonts w:ascii="Arial"/>
                <w:sz w:val="18"/>
                <w:szCs w:val="18"/>
              </w:rPr>
              <w:t>(家次)</w:t>
            </w:r>
          </w:p>
        </w:tc>
        <w:tc>
          <w:tcPr>
            <w:tcW w:w="2160" w:type="dxa"/>
            <w:vAlign w:val="top"/>
          </w:tcPr>
          <w:p w14:paraId="4CA0D195">
            <w:pPr>
              <w:pStyle w:val="8"/>
              <w:spacing w:before="193" w:line="183" w:lineRule="auto"/>
              <w:ind w:left="245"/>
              <w:jc w:val="center"/>
              <w:rPr>
                <w:sz w:val="16"/>
                <w:szCs w:val="16"/>
              </w:rPr>
            </w:pPr>
          </w:p>
        </w:tc>
        <w:tc>
          <w:tcPr>
            <w:tcW w:w="2220" w:type="dxa"/>
            <w:vAlign w:val="top"/>
          </w:tcPr>
          <w:p w14:paraId="3298942A">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4B5A4607">
            <w:pPr>
              <w:pStyle w:val="8"/>
              <w:spacing w:before="193" w:line="183" w:lineRule="auto"/>
              <w:jc w:val="center"/>
              <w:rPr>
                <w:rFonts w:hint="eastAsia" w:eastAsia="宋体"/>
                <w:sz w:val="16"/>
                <w:szCs w:val="16"/>
                <w:lang w:val="en-US" w:eastAsia="zh-CN"/>
              </w:rPr>
            </w:pPr>
            <w:r>
              <w:rPr>
                <w:rFonts w:hint="eastAsia"/>
                <w:sz w:val="16"/>
                <w:szCs w:val="16"/>
                <w:lang w:val="en-US" w:eastAsia="zh-CN"/>
              </w:rPr>
              <w:t>1</w:t>
            </w:r>
          </w:p>
        </w:tc>
      </w:tr>
      <w:tr w14:paraId="6EA88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95" w:type="dxa"/>
            <w:vMerge w:val="continue"/>
            <w:tcBorders>
              <w:top w:val="nil"/>
              <w:bottom w:val="nil"/>
            </w:tcBorders>
            <w:vAlign w:val="center"/>
          </w:tcPr>
          <w:p w14:paraId="083A12B9">
            <w:pPr>
              <w:jc w:val="center"/>
              <w:rPr>
                <w:rFonts w:ascii="Arial"/>
                <w:sz w:val="18"/>
                <w:szCs w:val="18"/>
              </w:rPr>
            </w:pPr>
          </w:p>
        </w:tc>
        <w:tc>
          <w:tcPr>
            <w:tcW w:w="1335" w:type="dxa"/>
            <w:vAlign w:val="center"/>
          </w:tcPr>
          <w:p w14:paraId="729D2846">
            <w:pPr>
              <w:jc w:val="center"/>
              <w:rPr>
                <w:rFonts w:ascii="Arial"/>
                <w:sz w:val="18"/>
                <w:szCs w:val="18"/>
              </w:rPr>
            </w:pPr>
            <w:r>
              <w:rPr>
                <w:rFonts w:ascii="Arial"/>
                <w:sz w:val="18"/>
                <w:szCs w:val="18"/>
              </w:rPr>
              <w:t>一般检查企业</w:t>
            </w:r>
          </w:p>
          <w:p w14:paraId="211E7F43">
            <w:pPr>
              <w:jc w:val="center"/>
              <w:rPr>
                <w:rFonts w:ascii="Arial"/>
                <w:sz w:val="18"/>
                <w:szCs w:val="18"/>
              </w:rPr>
            </w:pPr>
            <w:r>
              <w:rPr>
                <w:rFonts w:ascii="Arial"/>
                <w:sz w:val="18"/>
                <w:szCs w:val="18"/>
              </w:rPr>
              <w:t>(家次)</w:t>
            </w:r>
          </w:p>
        </w:tc>
        <w:tc>
          <w:tcPr>
            <w:tcW w:w="2160" w:type="dxa"/>
            <w:vAlign w:val="top"/>
          </w:tcPr>
          <w:p w14:paraId="316A9EDA">
            <w:pPr>
              <w:pStyle w:val="8"/>
              <w:spacing w:before="193" w:line="184" w:lineRule="auto"/>
              <w:ind w:left="245"/>
              <w:jc w:val="center"/>
              <w:rPr>
                <w:rFonts w:hint="eastAsia" w:eastAsia="宋体"/>
                <w:sz w:val="16"/>
                <w:szCs w:val="16"/>
                <w:lang w:val="en-US" w:eastAsia="zh-CN"/>
              </w:rPr>
            </w:pPr>
          </w:p>
        </w:tc>
        <w:tc>
          <w:tcPr>
            <w:tcW w:w="2220" w:type="dxa"/>
            <w:vAlign w:val="top"/>
          </w:tcPr>
          <w:p w14:paraId="62F0B708">
            <w:pPr>
              <w:pStyle w:val="8"/>
              <w:spacing w:before="197" w:line="184" w:lineRule="auto"/>
              <w:jc w:val="center"/>
              <w:rPr>
                <w:sz w:val="16"/>
                <w:szCs w:val="16"/>
              </w:rPr>
            </w:pPr>
            <w:r>
              <w:rPr>
                <w:rFonts w:hint="eastAsia"/>
                <w:sz w:val="16"/>
                <w:szCs w:val="16"/>
                <w:lang w:val="en-US" w:eastAsia="zh-CN"/>
              </w:rPr>
              <w:t>1</w:t>
            </w:r>
          </w:p>
        </w:tc>
        <w:tc>
          <w:tcPr>
            <w:tcW w:w="2550" w:type="dxa"/>
            <w:vAlign w:val="top"/>
          </w:tcPr>
          <w:p w14:paraId="6445E698">
            <w:pPr>
              <w:pStyle w:val="8"/>
              <w:spacing w:before="194" w:line="182" w:lineRule="auto"/>
              <w:jc w:val="center"/>
              <w:rPr>
                <w:rFonts w:hint="eastAsia" w:eastAsia="宋体"/>
                <w:sz w:val="16"/>
                <w:szCs w:val="16"/>
                <w:lang w:val="en-US" w:eastAsia="zh-CN"/>
              </w:rPr>
            </w:pPr>
            <w:r>
              <w:rPr>
                <w:rFonts w:hint="eastAsia"/>
                <w:sz w:val="16"/>
                <w:szCs w:val="16"/>
                <w:lang w:val="en-US" w:eastAsia="zh-CN"/>
              </w:rPr>
              <w:t>1</w:t>
            </w:r>
          </w:p>
        </w:tc>
      </w:tr>
      <w:tr w14:paraId="7D852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95" w:type="dxa"/>
            <w:vMerge w:val="continue"/>
            <w:tcBorders>
              <w:top w:val="nil"/>
            </w:tcBorders>
            <w:vAlign w:val="center"/>
          </w:tcPr>
          <w:p w14:paraId="22331C16">
            <w:pPr>
              <w:jc w:val="center"/>
              <w:rPr>
                <w:rFonts w:ascii="Arial"/>
                <w:sz w:val="18"/>
                <w:szCs w:val="18"/>
              </w:rPr>
            </w:pPr>
          </w:p>
        </w:tc>
        <w:tc>
          <w:tcPr>
            <w:tcW w:w="1335" w:type="dxa"/>
            <w:vAlign w:val="center"/>
          </w:tcPr>
          <w:p w14:paraId="15C02E3B">
            <w:pPr>
              <w:jc w:val="center"/>
              <w:rPr>
                <w:rFonts w:ascii="Arial"/>
                <w:sz w:val="18"/>
                <w:szCs w:val="18"/>
              </w:rPr>
            </w:pPr>
            <w:r>
              <w:rPr>
                <w:rFonts w:ascii="Arial"/>
                <w:sz w:val="18"/>
                <w:szCs w:val="18"/>
              </w:rPr>
              <w:t>线上巡查企业</w:t>
            </w:r>
          </w:p>
          <w:p w14:paraId="499C3ED2">
            <w:pPr>
              <w:jc w:val="center"/>
              <w:rPr>
                <w:rFonts w:ascii="Arial"/>
                <w:sz w:val="18"/>
                <w:szCs w:val="18"/>
              </w:rPr>
            </w:pPr>
            <w:r>
              <w:rPr>
                <w:rFonts w:ascii="Arial"/>
                <w:sz w:val="18"/>
                <w:szCs w:val="18"/>
              </w:rPr>
              <w:t>(家次)</w:t>
            </w:r>
          </w:p>
        </w:tc>
        <w:tc>
          <w:tcPr>
            <w:tcW w:w="2160" w:type="dxa"/>
            <w:vAlign w:val="top"/>
          </w:tcPr>
          <w:p w14:paraId="21F93887">
            <w:pPr>
              <w:pStyle w:val="8"/>
              <w:spacing w:before="193"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73A7893E">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2551E4C0">
            <w:pPr>
              <w:pStyle w:val="8"/>
              <w:spacing w:before="193" w:line="184" w:lineRule="auto"/>
              <w:jc w:val="center"/>
              <w:rPr>
                <w:rFonts w:hint="eastAsia" w:eastAsia="宋体"/>
                <w:sz w:val="16"/>
                <w:szCs w:val="16"/>
                <w:lang w:val="en-US" w:eastAsia="zh-CN"/>
              </w:rPr>
            </w:pPr>
            <w:r>
              <w:rPr>
                <w:rFonts w:hint="eastAsia"/>
                <w:sz w:val="16"/>
                <w:szCs w:val="16"/>
                <w:lang w:val="en-US" w:eastAsia="zh-CN"/>
              </w:rPr>
              <w:t>3</w:t>
            </w:r>
          </w:p>
        </w:tc>
      </w:tr>
      <w:tr w14:paraId="221EB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95" w:type="dxa"/>
            <w:vMerge w:val="restart"/>
            <w:tcBorders>
              <w:bottom w:val="nil"/>
            </w:tcBorders>
            <w:vAlign w:val="center"/>
          </w:tcPr>
          <w:p w14:paraId="35E07F26">
            <w:pPr>
              <w:jc w:val="center"/>
              <w:rPr>
                <w:rFonts w:ascii="Arial"/>
                <w:sz w:val="18"/>
                <w:szCs w:val="18"/>
              </w:rPr>
            </w:pPr>
            <w:r>
              <w:rPr>
                <w:rFonts w:ascii="Arial"/>
                <w:sz w:val="18"/>
                <w:szCs w:val="18"/>
              </w:rPr>
              <w:t>五月份</w:t>
            </w:r>
          </w:p>
        </w:tc>
        <w:tc>
          <w:tcPr>
            <w:tcW w:w="1335" w:type="dxa"/>
            <w:vAlign w:val="center"/>
          </w:tcPr>
          <w:p w14:paraId="77D17219">
            <w:pPr>
              <w:jc w:val="center"/>
              <w:rPr>
                <w:rFonts w:ascii="Arial"/>
                <w:sz w:val="18"/>
                <w:szCs w:val="18"/>
              </w:rPr>
            </w:pPr>
            <w:r>
              <w:rPr>
                <w:rFonts w:ascii="Arial"/>
                <w:sz w:val="18"/>
                <w:szCs w:val="18"/>
              </w:rPr>
              <w:t>重点检查企业</w:t>
            </w:r>
          </w:p>
          <w:p w14:paraId="0D22A9BD">
            <w:pPr>
              <w:jc w:val="center"/>
              <w:rPr>
                <w:rFonts w:ascii="Arial"/>
                <w:sz w:val="18"/>
                <w:szCs w:val="18"/>
              </w:rPr>
            </w:pPr>
            <w:r>
              <w:rPr>
                <w:rFonts w:ascii="Arial"/>
                <w:sz w:val="18"/>
                <w:szCs w:val="18"/>
              </w:rPr>
              <w:t>(家次)</w:t>
            </w:r>
          </w:p>
        </w:tc>
        <w:tc>
          <w:tcPr>
            <w:tcW w:w="2160" w:type="dxa"/>
            <w:vAlign w:val="top"/>
          </w:tcPr>
          <w:p w14:paraId="38042772">
            <w:pPr>
              <w:pStyle w:val="8"/>
              <w:spacing w:before="194" w:line="183"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0752349B">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5A2D7545">
            <w:pPr>
              <w:pStyle w:val="8"/>
              <w:spacing w:before="194" w:line="183" w:lineRule="auto"/>
              <w:jc w:val="center"/>
              <w:rPr>
                <w:rFonts w:hint="eastAsia" w:eastAsia="宋体"/>
                <w:sz w:val="16"/>
                <w:szCs w:val="16"/>
                <w:lang w:val="en-US" w:eastAsia="zh-CN"/>
              </w:rPr>
            </w:pPr>
            <w:r>
              <w:rPr>
                <w:rFonts w:hint="eastAsia"/>
                <w:sz w:val="16"/>
                <w:szCs w:val="16"/>
                <w:lang w:val="en-US" w:eastAsia="zh-CN"/>
              </w:rPr>
              <w:t>2</w:t>
            </w:r>
          </w:p>
        </w:tc>
      </w:tr>
      <w:tr w14:paraId="67AF0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95" w:type="dxa"/>
            <w:vMerge w:val="continue"/>
            <w:tcBorders>
              <w:top w:val="nil"/>
              <w:bottom w:val="nil"/>
            </w:tcBorders>
            <w:vAlign w:val="center"/>
          </w:tcPr>
          <w:p w14:paraId="5A5B9ECA">
            <w:pPr>
              <w:jc w:val="center"/>
              <w:rPr>
                <w:rFonts w:ascii="Arial"/>
                <w:sz w:val="18"/>
                <w:szCs w:val="18"/>
              </w:rPr>
            </w:pPr>
          </w:p>
        </w:tc>
        <w:tc>
          <w:tcPr>
            <w:tcW w:w="1335" w:type="dxa"/>
            <w:vAlign w:val="center"/>
          </w:tcPr>
          <w:p w14:paraId="639B018F">
            <w:pPr>
              <w:jc w:val="center"/>
              <w:rPr>
                <w:rFonts w:ascii="Arial"/>
                <w:sz w:val="18"/>
                <w:szCs w:val="18"/>
              </w:rPr>
            </w:pPr>
            <w:r>
              <w:rPr>
                <w:rFonts w:ascii="Arial"/>
                <w:sz w:val="18"/>
                <w:szCs w:val="18"/>
              </w:rPr>
              <w:t>一般检查企业</w:t>
            </w:r>
          </w:p>
          <w:p w14:paraId="3A6010D1">
            <w:pPr>
              <w:jc w:val="center"/>
              <w:rPr>
                <w:rFonts w:ascii="Arial"/>
                <w:sz w:val="18"/>
                <w:szCs w:val="18"/>
              </w:rPr>
            </w:pPr>
            <w:r>
              <w:rPr>
                <w:rFonts w:ascii="Arial"/>
                <w:sz w:val="18"/>
                <w:szCs w:val="18"/>
              </w:rPr>
              <w:t>(家次)</w:t>
            </w:r>
          </w:p>
        </w:tc>
        <w:tc>
          <w:tcPr>
            <w:tcW w:w="2160" w:type="dxa"/>
            <w:vAlign w:val="top"/>
          </w:tcPr>
          <w:p w14:paraId="37D29823">
            <w:pPr>
              <w:pStyle w:val="8"/>
              <w:spacing w:before="194" w:line="184" w:lineRule="auto"/>
              <w:ind w:left="245"/>
              <w:jc w:val="center"/>
              <w:rPr>
                <w:sz w:val="16"/>
                <w:szCs w:val="16"/>
              </w:rPr>
            </w:pPr>
          </w:p>
        </w:tc>
        <w:tc>
          <w:tcPr>
            <w:tcW w:w="2220" w:type="dxa"/>
            <w:vAlign w:val="top"/>
          </w:tcPr>
          <w:p w14:paraId="79AEC8F9">
            <w:pPr>
              <w:pStyle w:val="8"/>
              <w:spacing w:before="197" w:line="184" w:lineRule="auto"/>
              <w:jc w:val="center"/>
              <w:rPr>
                <w:sz w:val="16"/>
                <w:szCs w:val="16"/>
              </w:rPr>
            </w:pPr>
            <w:r>
              <w:rPr>
                <w:rFonts w:hint="eastAsia"/>
                <w:sz w:val="16"/>
                <w:szCs w:val="16"/>
                <w:lang w:val="en-US" w:eastAsia="zh-CN"/>
              </w:rPr>
              <w:t>1</w:t>
            </w:r>
          </w:p>
        </w:tc>
        <w:tc>
          <w:tcPr>
            <w:tcW w:w="2550" w:type="dxa"/>
            <w:vAlign w:val="top"/>
          </w:tcPr>
          <w:p w14:paraId="4BD8A82A">
            <w:pPr>
              <w:pStyle w:val="8"/>
              <w:spacing w:before="195" w:line="182" w:lineRule="auto"/>
              <w:jc w:val="center"/>
              <w:rPr>
                <w:rFonts w:hint="eastAsia" w:eastAsia="宋体"/>
                <w:sz w:val="16"/>
                <w:szCs w:val="16"/>
                <w:lang w:val="en-US" w:eastAsia="zh-CN"/>
              </w:rPr>
            </w:pPr>
            <w:r>
              <w:rPr>
                <w:rFonts w:hint="eastAsia"/>
                <w:sz w:val="16"/>
                <w:szCs w:val="16"/>
                <w:lang w:val="en-US" w:eastAsia="zh-CN"/>
              </w:rPr>
              <w:t>1</w:t>
            </w:r>
          </w:p>
        </w:tc>
      </w:tr>
      <w:tr w14:paraId="0029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95" w:type="dxa"/>
            <w:vMerge w:val="continue"/>
            <w:tcBorders>
              <w:top w:val="nil"/>
            </w:tcBorders>
            <w:vAlign w:val="center"/>
          </w:tcPr>
          <w:p w14:paraId="54CE37C9">
            <w:pPr>
              <w:jc w:val="center"/>
              <w:rPr>
                <w:rFonts w:ascii="Arial"/>
                <w:sz w:val="18"/>
                <w:szCs w:val="18"/>
              </w:rPr>
            </w:pPr>
          </w:p>
        </w:tc>
        <w:tc>
          <w:tcPr>
            <w:tcW w:w="1335" w:type="dxa"/>
            <w:vAlign w:val="center"/>
          </w:tcPr>
          <w:p w14:paraId="24F17DB9">
            <w:pPr>
              <w:jc w:val="center"/>
              <w:rPr>
                <w:rFonts w:ascii="Arial"/>
                <w:sz w:val="18"/>
                <w:szCs w:val="18"/>
              </w:rPr>
            </w:pPr>
            <w:r>
              <w:rPr>
                <w:rFonts w:ascii="Arial"/>
                <w:sz w:val="18"/>
                <w:szCs w:val="18"/>
              </w:rPr>
              <w:t>线上巡查企业</w:t>
            </w:r>
          </w:p>
          <w:p w14:paraId="0DF36DD9">
            <w:pPr>
              <w:jc w:val="center"/>
              <w:rPr>
                <w:rFonts w:ascii="Arial"/>
                <w:sz w:val="18"/>
                <w:szCs w:val="18"/>
              </w:rPr>
            </w:pPr>
            <w:r>
              <w:rPr>
                <w:rFonts w:ascii="Arial"/>
                <w:sz w:val="18"/>
                <w:szCs w:val="18"/>
              </w:rPr>
              <w:t>(家次)</w:t>
            </w:r>
          </w:p>
        </w:tc>
        <w:tc>
          <w:tcPr>
            <w:tcW w:w="2160" w:type="dxa"/>
            <w:vAlign w:val="top"/>
          </w:tcPr>
          <w:p w14:paraId="1008FB52">
            <w:pPr>
              <w:pStyle w:val="8"/>
              <w:spacing w:before="194"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765363D5">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0597774E">
            <w:pPr>
              <w:pStyle w:val="8"/>
              <w:spacing w:before="194" w:line="184" w:lineRule="auto"/>
              <w:jc w:val="center"/>
              <w:rPr>
                <w:rFonts w:hint="default" w:eastAsia="宋体"/>
                <w:sz w:val="16"/>
                <w:szCs w:val="16"/>
                <w:lang w:val="en-US" w:eastAsia="zh-CN"/>
              </w:rPr>
            </w:pPr>
            <w:r>
              <w:rPr>
                <w:rFonts w:hint="eastAsia"/>
                <w:sz w:val="16"/>
                <w:szCs w:val="16"/>
                <w:lang w:val="en-US" w:eastAsia="zh-CN"/>
              </w:rPr>
              <w:t>3</w:t>
            </w:r>
          </w:p>
        </w:tc>
      </w:tr>
      <w:tr w14:paraId="6E170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95" w:type="dxa"/>
            <w:vMerge w:val="restart"/>
            <w:tcBorders>
              <w:bottom w:val="nil"/>
            </w:tcBorders>
            <w:vAlign w:val="center"/>
          </w:tcPr>
          <w:p w14:paraId="69CDA59B">
            <w:pPr>
              <w:jc w:val="center"/>
              <w:rPr>
                <w:rFonts w:ascii="Arial"/>
                <w:sz w:val="18"/>
                <w:szCs w:val="18"/>
              </w:rPr>
            </w:pPr>
            <w:r>
              <w:rPr>
                <w:rFonts w:ascii="Arial"/>
                <w:sz w:val="18"/>
                <w:szCs w:val="18"/>
              </w:rPr>
              <w:t>六月份</w:t>
            </w:r>
          </w:p>
        </w:tc>
        <w:tc>
          <w:tcPr>
            <w:tcW w:w="1335" w:type="dxa"/>
            <w:vAlign w:val="center"/>
          </w:tcPr>
          <w:p w14:paraId="114E3B45">
            <w:pPr>
              <w:jc w:val="center"/>
              <w:rPr>
                <w:rFonts w:ascii="Arial"/>
                <w:sz w:val="18"/>
                <w:szCs w:val="18"/>
              </w:rPr>
            </w:pPr>
            <w:r>
              <w:rPr>
                <w:rFonts w:ascii="Arial"/>
                <w:sz w:val="18"/>
                <w:szCs w:val="18"/>
              </w:rPr>
              <w:t>重点检查企业</w:t>
            </w:r>
          </w:p>
          <w:p w14:paraId="77A37D66">
            <w:pPr>
              <w:jc w:val="center"/>
              <w:rPr>
                <w:rFonts w:ascii="Arial"/>
                <w:sz w:val="18"/>
                <w:szCs w:val="18"/>
              </w:rPr>
            </w:pPr>
            <w:r>
              <w:rPr>
                <w:rFonts w:ascii="Arial"/>
                <w:sz w:val="18"/>
                <w:szCs w:val="18"/>
              </w:rPr>
              <w:t>(家次)</w:t>
            </w:r>
          </w:p>
        </w:tc>
        <w:tc>
          <w:tcPr>
            <w:tcW w:w="2160" w:type="dxa"/>
            <w:vAlign w:val="top"/>
          </w:tcPr>
          <w:p w14:paraId="4A765320">
            <w:pPr>
              <w:pStyle w:val="8"/>
              <w:spacing w:before="195" w:line="183" w:lineRule="auto"/>
              <w:ind w:left="245"/>
              <w:jc w:val="center"/>
              <w:rPr>
                <w:sz w:val="16"/>
                <w:szCs w:val="16"/>
              </w:rPr>
            </w:pPr>
          </w:p>
        </w:tc>
        <w:tc>
          <w:tcPr>
            <w:tcW w:w="2220" w:type="dxa"/>
            <w:vAlign w:val="top"/>
          </w:tcPr>
          <w:p w14:paraId="3967BCE7">
            <w:pPr>
              <w:pStyle w:val="8"/>
              <w:spacing w:before="188" w:line="183" w:lineRule="auto"/>
              <w:jc w:val="center"/>
              <w:rPr>
                <w:rFonts w:hint="eastAsia" w:eastAsia="宋体"/>
                <w:sz w:val="16"/>
                <w:szCs w:val="16"/>
                <w:lang w:val="en-US" w:eastAsia="zh-CN"/>
              </w:rPr>
            </w:pPr>
            <w:r>
              <w:rPr>
                <w:rFonts w:hint="eastAsia"/>
                <w:sz w:val="16"/>
                <w:szCs w:val="16"/>
                <w:lang w:val="en-US" w:eastAsia="zh-CN"/>
              </w:rPr>
              <w:t>1</w:t>
            </w:r>
          </w:p>
        </w:tc>
        <w:tc>
          <w:tcPr>
            <w:tcW w:w="2550" w:type="dxa"/>
            <w:vAlign w:val="top"/>
          </w:tcPr>
          <w:p w14:paraId="6ADAFEA7">
            <w:pPr>
              <w:pStyle w:val="8"/>
              <w:spacing w:before="195" w:line="183" w:lineRule="auto"/>
              <w:jc w:val="center"/>
              <w:rPr>
                <w:rFonts w:hint="eastAsia" w:eastAsia="宋体"/>
                <w:sz w:val="16"/>
                <w:szCs w:val="16"/>
                <w:lang w:val="en-US" w:eastAsia="zh-CN"/>
              </w:rPr>
            </w:pPr>
            <w:r>
              <w:rPr>
                <w:rFonts w:hint="eastAsia"/>
                <w:sz w:val="16"/>
                <w:szCs w:val="16"/>
                <w:lang w:val="en-US" w:eastAsia="zh-CN"/>
              </w:rPr>
              <w:t>1</w:t>
            </w:r>
          </w:p>
        </w:tc>
      </w:tr>
      <w:tr w14:paraId="5E6C5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95" w:type="dxa"/>
            <w:vMerge w:val="continue"/>
            <w:tcBorders>
              <w:top w:val="nil"/>
              <w:bottom w:val="nil"/>
            </w:tcBorders>
            <w:vAlign w:val="center"/>
          </w:tcPr>
          <w:p w14:paraId="53C542DA">
            <w:pPr>
              <w:jc w:val="center"/>
              <w:rPr>
                <w:rFonts w:ascii="Arial"/>
                <w:sz w:val="18"/>
                <w:szCs w:val="18"/>
              </w:rPr>
            </w:pPr>
          </w:p>
        </w:tc>
        <w:tc>
          <w:tcPr>
            <w:tcW w:w="1335" w:type="dxa"/>
            <w:vAlign w:val="center"/>
          </w:tcPr>
          <w:p w14:paraId="2DDEA22D">
            <w:pPr>
              <w:jc w:val="center"/>
              <w:rPr>
                <w:rFonts w:ascii="Arial"/>
                <w:sz w:val="18"/>
                <w:szCs w:val="18"/>
              </w:rPr>
            </w:pPr>
            <w:r>
              <w:rPr>
                <w:rFonts w:ascii="Arial"/>
                <w:sz w:val="18"/>
                <w:szCs w:val="18"/>
              </w:rPr>
              <w:t>一般检查企业</w:t>
            </w:r>
          </w:p>
          <w:p w14:paraId="39599DB8">
            <w:pPr>
              <w:jc w:val="center"/>
              <w:rPr>
                <w:rFonts w:ascii="Arial"/>
                <w:sz w:val="18"/>
                <w:szCs w:val="18"/>
              </w:rPr>
            </w:pPr>
            <w:r>
              <w:rPr>
                <w:rFonts w:ascii="Arial"/>
                <w:sz w:val="18"/>
                <w:szCs w:val="18"/>
              </w:rPr>
              <w:t>(家次)</w:t>
            </w:r>
          </w:p>
        </w:tc>
        <w:tc>
          <w:tcPr>
            <w:tcW w:w="2160" w:type="dxa"/>
            <w:vAlign w:val="top"/>
          </w:tcPr>
          <w:p w14:paraId="4805F451">
            <w:pPr>
              <w:pStyle w:val="8"/>
              <w:spacing w:before="195" w:line="184"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718477B1">
            <w:pPr>
              <w:pStyle w:val="8"/>
              <w:spacing w:before="197" w:line="184" w:lineRule="auto"/>
              <w:ind w:left="315" w:leftChars="0"/>
              <w:jc w:val="center"/>
              <w:rPr>
                <w:sz w:val="16"/>
                <w:szCs w:val="16"/>
              </w:rPr>
            </w:pPr>
          </w:p>
        </w:tc>
        <w:tc>
          <w:tcPr>
            <w:tcW w:w="2550" w:type="dxa"/>
            <w:vAlign w:val="top"/>
          </w:tcPr>
          <w:p w14:paraId="1A8D3930">
            <w:pPr>
              <w:pStyle w:val="8"/>
              <w:spacing w:before="195" w:line="183" w:lineRule="auto"/>
              <w:jc w:val="center"/>
              <w:rPr>
                <w:rFonts w:hint="eastAsia" w:eastAsia="宋体"/>
                <w:sz w:val="16"/>
                <w:szCs w:val="16"/>
                <w:lang w:val="en-US" w:eastAsia="zh-CN"/>
              </w:rPr>
            </w:pPr>
            <w:r>
              <w:rPr>
                <w:rFonts w:hint="eastAsia"/>
                <w:sz w:val="16"/>
                <w:szCs w:val="16"/>
                <w:lang w:val="en-US" w:eastAsia="zh-CN"/>
              </w:rPr>
              <w:t>1</w:t>
            </w:r>
          </w:p>
        </w:tc>
      </w:tr>
      <w:tr w14:paraId="419DF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95" w:type="dxa"/>
            <w:vMerge w:val="continue"/>
            <w:tcBorders>
              <w:top w:val="nil"/>
            </w:tcBorders>
            <w:vAlign w:val="center"/>
          </w:tcPr>
          <w:p w14:paraId="1B6A5465">
            <w:pPr>
              <w:jc w:val="center"/>
              <w:rPr>
                <w:rFonts w:ascii="Arial"/>
                <w:sz w:val="18"/>
                <w:szCs w:val="18"/>
              </w:rPr>
            </w:pPr>
          </w:p>
        </w:tc>
        <w:tc>
          <w:tcPr>
            <w:tcW w:w="1335" w:type="dxa"/>
            <w:vAlign w:val="center"/>
          </w:tcPr>
          <w:p w14:paraId="037BA0CA">
            <w:pPr>
              <w:jc w:val="center"/>
              <w:rPr>
                <w:rFonts w:ascii="Arial"/>
                <w:sz w:val="18"/>
                <w:szCs w:val="18"/>
              </w:rPr>
            </w:pPr>
            <w:r>
              <w:rPr>
                <w:rFonts w:ascii="Arial"/>
                <w:sz w:val="18"/>
                <w:szCs w:val="18"/>
              </w:rPr>
              <w:t>线上巡查企业</w:t>
            </w:r>
          </w:p>
          <w:p w14:paraId="4641ED7A">
            <w:pPr>
              <w:jc w:val="center"/>
              <w:rPr>
                <w:rFonts w:ascii="Arial"/>
                <w:sz w:val="18"/>
                <w:szCs w:val="18"/>
              </w:rPr>
            </w:pPr>
            <w:r>
              <w:rPr>
                <w:rFonts w:ascii="Arial"/>
                <w:sz w:val="18"/>
                <w:szCs w:val="18"/>
              </w:rPr>
              <w:t>(家次)</w:t>
            </w:r>
          </w:p>
        </w:tc>
        <w:tc>
          <w:tcPr>
            <w:tcW w:w="2160" w:type="dxa"/>
            <w:vAlign w:val="top"/>
          </w:tcPr>
          <w:p w14:paraId="50FBF6BE">
            <w:pPr>
              <w:pStyle w:val="8"/>
              <w:spacing w:before="196"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26A1FBC8">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55DD6EC5">
            <w:pPr>
              <w:pStyle w:val="8"/>
              <w:spacing w:before="195" w:line="184" w:lineRule="auto"/>
              <w:jc w:val="center"/>
              <w:rPr>
                <w:rFonts w:hint="eastAsia" w:eastAsia="宋体"/>
                <w:sz w:val="16"/>
                <w:szCs w:val="16"/>
                <w:lang w:val="en-US" w:eastAsia="zh-CN"/>
              </w:rPr>
            </w:pPr>
            <w:r>
              <w:rPr>
                <w:rFonts w:hint="eastAsia"/>
                <w:sz w:val="16"/>
                <w:szCs w:val="16"/>
                <w:lang w:val="en-US" w:eastAsia="zh-CN"/>
              </w:rPr>
              <w:t>3</w:t>
            </w:r>
          </w:p>
        </w:tc>
      </w:tr>
      <w:tr w14:paraId="0B885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95" w:type="dxa"/>
            <w:vMerge w:val="restart"/>
            <w:tcBorders>
              <w:bottom w:val="nil"/>
            </w:tcBorders>
            <w:vAlign w:val="center"/>
          </w:tcPr>
          <w:p w14:paraId="2617D189">
            <w:pPr>
              <w:jc w:val="center"/>
              <w:rPr>
                <w:rFonts w:ascii="Arial"/>
                <w:sz w:val="18"/>
                <w:szCs w:val="18"/>
              </w:rPr>
            </w:pPr>
            <w:r>
              <w:rPr>
                <w:rFonts w:ascii="Arial"/>
                <w:sz w:val="18"/>
                <w:szCs w:val="18"/>
              </w:rPr>
              <w:t>七月份</w:t>
            </w:r>
          </w:p>
        </w:tc>
        <w:tc>
          <w:tcPr>
            <w:tcW w:w="1335" w:type="dxa"/>
            <w:vAlign w:val="center"/>
          </w:tcPr>
          <w:p w14:paraId="4E2AFF92">
            <w:pPr>
              <w:jc w:val="center"/>
              <w:rPr>
                <w:rFonts w:ascii="Arial"/>
                <w:sz w:val="18"/>
                <w:szCs w:val="18"/>
              </w:rPr>
            </w:pPr>
            <w:r>
              <w:rPr>
                <w:rFonts w:ascii="Arial"/>
                <w:sz w:val="18"/>
                <w:szCs w:val="18"/>
              </w:rPr>
              <w:t>重点检查企业</w:t>
            </w:r>
          </w:p>
          <w:p w14:paraId="52B47CEB">
            <w:pPr>
              <w:jc w:val="center"/>
              <w:rPr>
                <w:rFonts w:ascii="Arial"/>
                <w:sz w:val="18"/>
                <w:szCs w:val="18"/>
              </w:rPr>
            </w:pPr>
            <w:r>
              <w:rPr>
                <w:rFonts w:ascii="Arial"/>
                <w:sz w:val="18"/>
                <w:szCs w:val="18"/>
              </w:rPr>
              <w:t>(家次)</w:t>
            </w:r>
          </w:p>
        </w:tc>
        <w:tc>
          <w:tcPr>
            <w:tcW w:w="2160" w:type="dxa"/>
            <w:vAlign w:val="top"/>
          </w:tcPr>
          <w:p w14:paraId="22727DE0">
            <w:pPr>
              <w:pStyle w:val="8"/>
              <w:spacing w:before="196" w:line="183"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162BE33E">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75C814E6">
            <w:pPr>
              <w:pStyle w:val="8"/>
              <w:spacing w:before="196" w:line="183" w:lineRule="auto"/>
              <w:jc w:val="center"/>
              <w:rPr>
                <w:rFonts w:hint="eastAsia" w:eastAsia="宋体"/>
                <w:sz w:val="16"/>
                <w:szCs w:val="16"/>
                <w:lang w:val="en-US" w:eastAsia="zh-CN"/>
              </w:rPr>
            </w:pPr>
            <w:r>
              <w:rPr>
                <w:rFonts w:hint="eastAsia"/>
                <w:sz w:val="16"/>
                <w:szCs w:val="16"/>
                <w:lang w:val="en-US" w:eastAsia="zh-CN"/>
              </w:rPr>
              <w:t>2</w:t>
            </w:r>
          </w:p>
        </w:tc>
      </w:tr>
      <w:tr w14:paraId="321B4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5" w:type="dxa"/>
            <w:vMerge w:val="continue"/>
            <w:tcBorders>
              <w:top w:val="nil"/>
              <w:bottom w:val="nil"/>
            </w:tcBorders>
            <w:vAlign w:val="center"/>
          </w:tcPr>
          <w:p w14:paraId="37F09D33">
            <w:pPr>
              <w:jc w:val="center"/>
              <w:rPr>
                <w:rFonts w:ascii="Arial"/>
                <w:sz w:val="18"/>
                <w:szCs w:val="18"/>
              </w:rPr>
            </w:pPr>
          </w:p>
        </w:tc>
        <w:tc>
          <w:tcPr>
            <w:tcW w:w="1335" w:type="dxa"/>
            <w:vAlign w:val="center"/>
          </w:tcPr>
          <w:p w14:paraId="0F4D3036">
            <w:pPr>
              <w:jc w:val="center"/>
              <w:rPr>
                <w:rFonts w:ascii="Arial"/>
                <w:sz w:val="18"/>
                <w:szCs w:val="18"/>
              </w:rPr>
            </w:pPr>
            <w:r>
              <w:rPr>
                <w:rFonts w:ascii="Arial"/>
                <w:sz w:val="18"/>
                <w:szCs w:val="18"/>
              </w:rPr>
              <w:t>一般检查企业</w:t>
            </w:r>
          </w:p>
          <w:p w14:paraId="627F9930">
            <w:pPr>
              <w:jc w:val="center"/>
              <w:rPr>
                <w:rFonts w:ascii="Arial"/>
                <w:sz w:val="18"/>
                <w:szCs w:val="18"/>
              </w:rPr>
            </w:pPr>
            <w:r>
              <w:rPr>
                <w:rFonts w:ascii="Arial"/>
                <w:sz w:val="18"/>
                <w:szCs w:val="18"/>
              </w:rPr>
              <w:t>(家次)</w:t>
            </w:r>
          </w:p>
        </w:tc>
        <w:tc>
          <w:tcPr>
            <w:tcW w:w="2160" w:type="dxa"/>
            <w:vAlign w:val="top"/>
          </w:tcPr>
          <w:p w14:paraId="07FB4D15">
            <w:pPr>
              <w:pStyle w:val="8"/>
              <w:spacing w:before="207" w:line="184" w:lineRule="auto"/>
              <w:ind w:left="245"/>
              <w:jc w:val="center"/>
              <w:rPr>
                <w:sz w:val="16"/>
                <w:szCs w:val="16"/>
              </w:rPr>
            </w:pPr>
          </w:p>
        </w:tc>
        <w:tc>
          <w:tcPr>
            <w:tcW w:w="2220" w:type="dxa"/>
            <w:vAlign w:val="top"/>
          </w:tcPr>
          <w:p w14:paraId="28E82B80">
            <w:pPr>
              <w:pStyle w:val="8"/>
              <w:spacing w:before="197" w:line="184" w:lineRule="auto"/>
              <w:jc w:val="center"/>
              <w:rPr>
                <w:sz w:val="16"/>
                <w:szCs w:val="16"/>
              </w:rPr>
            </w:pPr>
            <w:r>
              <w:rPr>
                <w:rFonts w:hint="eastAsia"/>
                <w:sz w:val="16"/>
                <w:szCs w:val="16"/>
                <w:lang w:val="en-US" w:eastAsia="zh-CN"/>
              </w:rPr>
              <w:t>1</w:t>
            </w:r>
          </w:p>
        </w:tc>
        <w:tc>
          <w:tcPr>
            <w:tcW w:w="2550" w:type="dxa"/>
            <w:vAlign w:val="top"/>
          </w:tcPr>
          <w:p w14:paraId="3EE5C71A">
            <w:pPr>
              <w:pStyle w:val="8"/>
              <w:spacing w:before="208" w:line="182" w:lineRule="auto"/>
              <w:jc w:val="center"/>
              <w:rPr>
                <w:rFonts w:hint="default" w:eastAsia="宋体"/>
                <w:sz w:val="16"/>
                <w:szCs w:val="16"/>
                <w:lang w:val="en-US" w:eastAsia="zh-CN"/>
              </w:rPr>
            </w:pPr>
            <w:r>
              <w:rPr>
                <w:rFonts w:hint="eastAsia"/>
                <w:sz w:val="16"/>
                <w:szCs w:val="16"/>
                <w:lang w:val="en-US" w:eastAsia="zh-CN"/>
              </w:rPr>
              <w:t>1</w:t>
            </w:r>
          </w:p>
        </w:tc>
      </w:tr>
      <w:tr w14:paraId="2CDAF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tcBorders>
              <w:top w:val="nil"/>
              <w:bottom w:val="single" w:color="auto" w:sz="4" w:space="0"/>
            </w:tcBorders>
            <w:vAlign w:val="center"/>
          </w:tcPr>
          <w:p w14:paraId="515CFD00">
            <w:pPr>
              <w:jc w:val="center"/>
              <w:rPr>
                <w:rFonts w:ascii="Arial"/>
                <w:sz w:val="18"/>
                <w:szCs w:val="18"/>
              </w:rPr>
            </w:pPr>
          </w:p>
        </w:tc>
        <w:tc>
          <w:tcPr>
            <w:tcW w:w="1335" w:type="dxa"/>
            <w:vAlign w:val="center"/>
          </w:tcPr>
          <w:p w14:paraId="11AD5466">
            <w:pPr>
              <w:jc w:val="center"/>
              <w:rPr>
                <w:rFonts w:ascii="Arial"/>
                <w:sz w:val="18"/>
                <w:szCs w:val="18"/>
              </w:rPr>
            </w:pPr>
            <w:r>
              <w:rPr>
                <w:rFonts w:ascii="Arial"/>
                <w:sz w:val="18"/>
                <w:szCs w:val="18"/>
              </w:rPr>
              <w:t>线上巡查企业</w:t>
            </w:r>
          </w:p>
          <w:p w14:paraId="7F0A53AE">
            <w:pPr>
              <w:jc w:val="center"/>
              <w:rPr>
                <w:rFonts w:ascii="Arial"/>
                <w:sz w:val="18"/>
                <w:szCs w:val="18"/>
              </w:rPr>
            </w:pPr>
            <w:r>
              <w:rPr>
                <w:rFonts w:ascii="Arial"/>
                <w:sz w:val="18"/>
                <w:szCs w:val="18"/>
              </w:rPr>
              <w:t>(家次)</w:t>
            </w:r>
          </w:p>
        </w:tc>
        <w:tc>
          <w:tcPr>
            <w:tcW w:w="2160" w:type="dxa"/>
            <w:vAlign w:val="top"/>
          </w:tcPr>
          <w:p w14:paraId="4C4F7D7E">
            <w:pPr>
              <w:pStyle w:val="8"/>
              <w:spacing w:before="207"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647A3349">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139EFEE2">
            <w:pPr>
              <w:pStyle w:val="8"/>
              <w:spacing w:before="207" w:line="184" w:lineRule="auto"/>
              <w:jc w:val="center"/>
              <w:rPr>
                <w:rFonts w:hint="eastAsia" w:eastAsia="宋体"/>
                <w:sz w:val="16"/>
                <w:szCs w:val="16"/>
                <w:lang w:val="en-US" w:eastAsia="zh-CN"/>
              </w:rPr>
            </w:pPr>
            <w:r>
              <w:rPr>
                <w:rFonts w:hint="eastAsia"/>
                <w:sz w:val="16"/>
                <w:szCs w:val="16"/>
                <w:lang w:val="en-US" w:eastAsia="zh-CN"/>
              </w:rPr>
              <w:t>3</w:t>
            </w:r>
          </w:p>
        </w:tc>
      </w:tr>
      <w:tr w14:paraId="4BABF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restart"/>
            <w:tcBorders>
              <w:top w:val="single" w:color="auto" w:sz="4" w:space="0"/>
            </w:tcBorders>
            <w:vAlign w:val="center"/>
          </w:tcPr>
          <w:p w14:paraId="76D3B312">
            <w:pPr>
              <w:jc w:val="center"/>
              <w:rPr>
                <w:rFonts w:hint="eastAsia" w:ascii="Arial" w:eastAsiaTheme="minorEastAsia"/>
                <w:sz w:val="18"/>
                <w:szCs w:val="18"/>
                <w:lang w:val="en-US" w:eastAsia="zh-CN"/>
              </w:rPr>
            </w:pPr>
            <w:r>
              <w:rPr>
                <w:rFonts w:hint="eastAsia" w:ascii="Arial"/>
                <w:sz w:val="18"/>
                <w:szCs w:val="18"/>
                <w:lang w:val="en-US" w:eastAsia="zh-CN"/>
              </w:rPr>
              <w:t>八月份</w:t>
            </w:r>
          </w:p>
        </w:tc>
        <w:tc>
          <w:tcPr>
            <w:tcW w:w="1335" w:type="dxa"/>
            <w:vAlign w:val="center"/>
          </w:tcPr>
          <w:p w14:paraId="084D10BB">
            <w:pPr>
              <w:jc w:val="center"/>
              <w:rPr>
                <w:rFonts w:ascii="Arial"/>
                <w:sz w:val="18"/>
                <w:szCs w:val="18"/>
              </w:rPr>
            </w:pPr>
            <w:r>
              <w:rPr>
                <w:rFonts w:ascii="Arial"/>
                <w:sz w:val="18"/>
                <w:szCs w:val="18"/>
              </w:rPr>
              <w:t>重点检查企业</w:t>
            </w:r>
          </w:p>
          <w:p w14:paraId="317BB4BD">
            <w:pPr>
              <w:jc w:val="center"/>
              <w:rPr>
                <w:rFonts w:ascii="Arial"/>
                <w:sz w:val="18"/>
                <w:szCs w:val="18"/>
              </w:rPr>
            </w:pPr>
            <w:r>
              <w:rPr>
                <w:rFonts w:ascii="Arial"/>
                <w:sz w:val="18"/>
                <w:szCs w:val="18"/>
              </w:rPr>
              <w:t>(家次)</w:t>
            </w:r>
          </w:p>
        </w:tc>
        <w:tc>
          <w:tcPr>
            <w:tcW w:w="2160" w:type="dxa"/>
            <w:vAlign w:val="top"/>
          </w:tcPr>
          <w:p w14:paraId="17C881C0">
            <w:pPr>
              <w:pStyle w:val="8"/>
              <w:spacing w:before="207" w:line="183" w:lineRule="auto"/>
              <w:ind w:left="205"/>
              <w:jc w:val="center"/>
              <w:rPr>
                <w:sz w:val="16"/>
                <w:szCs w:val="16"/>
              </w:rPr>
            </w:pPr>
          </w:p>
        </w:tc>
        <w:tc>
          <w:tcPr>
            <w:tcW w:w="2220" w:type="dxa"/>
            <w:vAlign w:val="top"/>
          </w:tcPr>
          <w:p w14:paraId="49398D68">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1C279414">
            <w:pPr>
              <w:pStyle w:val="8"/>
              <w:spacing w:before="207" w:line="184" w:lineRule="auto"/>
              <w:jc w:val="center"/>
              <w:rPr>
                <w:rFonts w:hint="eastAsia" w:eastAsia="宋体"/>
                <w:sz w:val="16"/>
                <w:szCs w:val="16"/>
                <w:lang w:val="en-US" w:eastAsia="zh-CN"/>
              </w:rPr>
            </w:pPr>
            <w:r>
              <w:rPr>
                <w:rFonts w:hint="eastAsia"/>
                <w:sz w:val="16"/>
                <w:szCs w:val="16"/>
                <w:lang w:val="en-US" w:eastAsia="zh-CN"/>
              </w:rPr>
              <w:t>1</w:t>
            </w:r>
          </w:p>
        </w:tc>
      </w:tr>
      <w:tr w14:paraId="4D25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764783FC">
            <w:pPr>
              <w:jc w:val="center"/>
              <w:rPr>
                <w:rFonts w:ascii="Arial"/>
                <w:sz w:val="18"/>
                <w:szCs w:val="18"/>
              </w:rPr>
            </w:pPr>
          </w:p>
        </w:tc>
        <w:tc>
          <w:tcPr>
            <w:tcW w:w="1335" w:type="dxa"/>
            <w:vAlign w:val="center"/>
          </w:tcPr>
          <w:p w14:paraId="1081D40E">
            <w:pPr>
              <w:jc w:val="center"/>
              <w:rPr>
                <w:rFonts w:ascii="Arial"/>
                <w:sz w:val="18"/>
                <w:szCs w:val="18"/>
              </w:rPr>
            </w:pPr>
            <w:r>
              <w:rPr>
                <w:rFonts w:ascii="Arial"/>
                <w:sz w:val="18"/>
                <w:szCs w:val="18"/>
              </w:rPr>
              <w:t>一般检查企业</w:t>
            </w:r>
          </w:p>
          <w:p w14:paraId="1883052A">
            <w:pPr>
              <w:jc w:val="center"/>
              <w:rPr>
                <w:rFonts w:ascii="Arial"/>
                <w:sz w:val="18"/>
                <w:szCs w:val="18"/>
              </w:rPr>
            </w:pPr>
            <w:r>
              <w:rPr>
                <w:rFonts w:ascii="Arial"/>
                <w:sz w:val="18"/>
                <w:szCs w:val="18"/>
              </w:rPr>
              <w:t>(家次)</w:t>
            </w:r>
          </w:p>
        </w:tc>
        <w:tc>
          <w:tcPr>
            <w:tcW w:w="2160" w:type="dxa"/>
            <w:vAlign w:val="top"/>
          </w:tcPr>
          <w:p w14:paraId="77F88762">
            <w:pPr>
              <w:pStyle w:val="8"/>
              <w:spacing w:before="207" w:line="183"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759C15E2">
            <w:pPr>
              <w:pStyle w:val="8"/>
              <w:spacing w:before="197" w:line="184" w:lineRule="auto"/>
              <w:jc w:val="center"/>
              <w:rPr>
                <w:sz w:val="16"/>
                <w:szCs w:val="16"/>
              </w:rPr>
            </w:pPr>
            <w:r>
              <w:rPr>
                <w:rFonts w:hint="eastAsia"/>
                <w:sz w:val="16"/>
                <w:szCs w:val="16"/>
                <w:lang w:val="en-US" w:eastAsia="zh-CN"/>
              </w:rPr>
              <w:t>1</w:t>
            </w:r>
          </w:p>
        </w:tc>
        <w:tc>
          <w:tcPr>
            <w:tcW w:w="2550" w:type="dxa"/>
            <w:vAlign w:val="top"/>
          </w:tcPr>
          <w:p w14:paraId="7467F055">
            <w:pPr>
              <w:pStyle w:val="8"/>
              <w:spacing w:before="207" w:line="184" w:lineRule="auto"/>
              <w:jc w:val="center"/>
              <w:rPr>
                <w:rFonts w:hint="eastAsia" w:eastAsia="宋体"/>
                <w:sz w:val="16"/>
                <w:szCs w:val="16"/>
                <w:lang w:val="en-US" w:eastAsia="zh-CN"/>
              </w:rPr>
            </w:pPr>
            <w:r>
              <w:rPr>
                <w:rFonts w:hint="eastAsia"/>
                <w:sz w:val="16"/>
                <w:szCs w:val="16"/>
                <w:lang w:val="en-US" w:eastAsia="zh-CN"/>
              </w:rPr>
              <w:t>2</w:t>
            </w:r>
          </w:p>
        </w:tc>
      </w:tr>
      <w:tr w14:paraId="3DB5F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59515710">
            <w:pPr>
              <w:jc w:val="center"/>
              <w:rPr>
                <w:rFonts w:ascii="Arial"/>
                <w:sz w:val="18"/>
                <w:szCs w:val="18"/>
              </w:rPr>
            </w:pPr>
          </w:p>
        </w:tc>
        <w:tc>
          <w:tcPr>
            <w:tcW w:w="1335" w:type="dxa"/>
            <w:vAlign w:val="center"/>
          </w:tcPr>
          <w:p w14:paraId="64BDD2CA">
            <w:pPr>
              <w:jc w:val="center"/>
              <w:rPr>
                <w:rFonts w:ascii="Arial"/>
                <w:sz w:val="18"/>
                <w:szCs w:val="18"/>
              </w:rPr>
            </w:pPr>
            <w:r>
              <w:rPr>
                <w:rFonts w:ascii="Arial"/>
                <w:sz w:val="18"/>
                <w:szCs w:val="18"/>
              </w:rPr>
              <w:t>线上巡查企业</w:t>
            </w:r>
          </w:p>
          <w:p w14:paraId="6D5A6376">
            <w:pPr>
              <w:jc w:val="center"/>
              <w:rPr>
                <w:rFonts w:ascii="Arial"/>
                <w:sz w:val="18"/>
                <w:szCs w:val="18"/>
              </w:rPr>
            </w:pPr>
            <w:r>
              <w:rPr>
                <w:rFonts w:ascii="Arial"/>
                <w:sz w:val="18"/>
                <w:szCs w:val="18"/>
              </w:rPr>
              <w:t>(家次)</w:t>
            </w:r>
          </w:p>
        </w:tc>
        <w:tc>
          <w:tcPr>
            <w:tcW w:w="2160" w:type="dxa"/>
            <w:vAlign w:val="top"/>
          </w:tcPr>
          <w:p w14:paraId="29B98E72">
            <w:pPr>
              <w:pStyle w:val="8"/>
              <w:spacing w:before="207"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7A02D90A">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33F7978C">
            <w:pPr>
              <w:pStyle w:val="8"/>
              <w:spacing w:before="207" w:line="184" w:lineRule="auto"/>
              <w:jc w:val="center"/>
              <w:rPr>
                <w:rFonts w:hint="eastAsia" w:eastAsia="宋体"/>
                <w:sz w:val="16"/>
                <w:szCs w:val="16"/>
                <w:lang w:val="en-US" w:eastAsia="zh-CN"/>
              </w:rPr>
            </w:pPr>
            <w:r>
              <w:rPr>
                <w:rFonts w:hint="eastAsia"/>
                <w:sz w:val="16"/>
                <w:szCs w:val="16"/>
                <w:lang w:val="en-US" w:eastAsia="zh-CN"/>
              </w:rPr>
              <w:t>3</w:t>
            </w:r>
          </w:p>
        </w:tc>
      </w:tr>
      <w:tr w14:paraId="04477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restart"/>
            <w:vAlign w:val="center"/>
          </w:tcPr>
          <w:p w14:paraId="14C63B76">
            <w:pPr>
              <w:jc w:val="center"/>
              <w:rPr>
                <w:rFonts w:hint="eastAsia" w:ascii="Arial" w:eastAsiaTheme="minorEastAsia"/>
                <w:sz w:val="18"/>
                <w:szCs w:val="18"/>
                <w:lang w:val="en-US" w:eastAsia="zh-CN"/>
              </w:rPr>
            </w:pPr>
            <w:r>
              <w:rPr>
                <w:rFonts w:hint="eastAsia" w:ascii="Arial"/>
                <w:sz w:val="18"/>
                <w:szCs w:val="18"/>
                <w:lang w:val="en-US" w:eastAsia="zh-CN"/>
              </w:rPr>
              <w:t>九月份</w:t>
            </w:r>
          </w:p>
        </w:tc>
        <w:tc>
          <w:tcPr>
            <w:tcW w:w="1335" w:type="dxa"/>
            <w:vAlign w:val="center"/>
          </w:tcPr>
          <w:p w14:paraId="0F38C958">
            <w:pPr>
              <w:jc w:val="center"/>
              <w:rPr>
                <w:rFonts w:ascii="Arial"/>
                <w:sz w:val="18"/>
                <w:szCs w:val="18"/>
              </w:rPr>
            </w:pPr>
            <w:r>
              <w:rPr>
                <w:rFonts w:ascii="Arial"/>
                <w:sz w:val="18"/>
                <w:szCs w:val="18"/>
              </w:rPr>
              <w:t>重点检查企业</w:t>
            </w:r>
          </w:p>
          <w:p w14:paraId="3B66CFC6">
            <w:pPr>
              <w:jc w:val="center"/>
              <w:rPr>
                <w:rFonts w:ascii="Arial"/>
                <w:sz w:val="18"/>
                <w:szCs w:val="18"/>
              </w:rPr>
            </w:pPr>
            <w:r>
              <w:rPr>
                <w:rFonts w:ascii="Arial"/>
                <w:sz w:val="18"/>
                <w:szCs w:val="18"/>
              </w:rPr>
              <w:t>(家次)</w:t>
            </w:r>
          </w:p>
        </w:tc>
        <w:tc>
          <w:tcPr>
            <w:tcW w:w="2160" w:type="dxa"/>
            <w:vAlign w:val="top"/>
          </w:tcPr>
          <w:p w14:paraId="1B96B6AB">
            <w:pPr>
              <w:pStyle w:val="8"/>
              <w:spacing w:before="207" w:line="183"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248303CE">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28D6DBA4">
            <w:pPr>
              <w:pStyle w:val="8"/>
              <w:spacing w:before="207" w:line="184" w:lineRule="auto"/>
              <w:jc w:val="center"/>
              <w:rPr>
                <w:rFonts w:hint="eastAsia" w:eastAsia="宋体"/>
                <w:sz w:val="16"/>
                <w:szCs w:val="16"/>
                <w:lang w:val="en-US" w:eastAsia="zh-CN"/>
              </w:rPr>
            </w:pPr>
            <w:r>
              <w:rPr>
                <w:rFonts w:hint="eastAsia"/>
                <w:sz w:val="16"/>
                <w:szCs w:val="16"/>
                <w:lang w:val="en-US" w:eastAsia="zh-CN"/>
              </w:rPr>
              <w:t>2</w:t>
            </w:r>
          </w:p>
        </w:tc>
      </w:tr>
      <w:tr w14:paraId="5165F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2B19542C">
            <w:pPr>
              <w:jc w:val="center"/>
              <w:rPr>
                <w:rFonts w:ascii="Arial"/>
                <w:sz w:val="18"/>
                <w:szCs w:val="18"/>
              </w:rPr>
            </w:pPr>
          </w:p>
        </w:tc>
        <w:tc>
          <w:tcPr>
            <w:tcW w:w="1335" w:type="dxa"/>
            <w:vAlign w:val="center"/>
          </w:tcPr>
          <w:p w14:paraId="16758365">
            <w:pPr>
              <w:jc w:val="center"/>
              <w:rPr>
                <w:rFonts w:ascii="Arial"/>
                <w:sz w:val="18"/>
                <w:szCs w:val="18"/>
              </w:rPr>
            </w:pPr>
            <w:r>
              <w:rPr>
                <w:rFonts w:ascii="Arial"/>
                <w:sz w:val="18"/>
                <w:szCs w:val="18"/>
              </w:rPr>
              <w:t>一般检查企业</w:t>
            </w:r>
          </w:p>
          <w:p w14:paraId="3CAEEE85">
            <w:pPr>
              <w:jc w:val="center"/>
              <w:rPr>
                <w:rFonts w:ascii="Arial"/>
                <w:sz w:val="18"/>
                <w:szCs w:val="18"/>
              </w:rPr>
            </w:pPr>
            <w:r>
              <w:rPr>
                <w:rFonts w:ascii="Arial"/>
                <w:sz w:val="18"/>
                <w:szCs w:val="18"/>
              </w:rPr>
              <w:t>(家次)</w:t>
            </w:r>
          </w:p>
        </w:tc>
        <w:tc>
          <w:tcPr>
            <w:tcW w:w="2160" w:type="dxa"/>
            <w:vAlign w:val="top"/>
          </w:tcPr>
          <w:p w14:paraId="499AA739">
            <w:pPr>
              <w:pStyle w:val="8"/>
              <w:spacing w:before="207" w:line="183" w:lineRule="auto"/>
              <w:ind w:left="205"/>
              <w:jc w:val="center"/>
              <w:rPr>
                <w:sz w:val="16"/>
                <w:szCs w:val="16"/>
              </w:rPr>
            </w:pPr>
          </w:p>
        </w:tc>
        <w:tc>
          <w:tcPr>
            <w:tcW w:w="2220" w:type="dxa"/>
            <w:vAlign w:val="top"/>
          </w:tcPr>
          <w:p w14:paraId="23AAD6B8">
            <w:pPr>
              <w:pStyle w:val="8"/>
              <w:spacing w:before="197" w:line="184" w:lineRule="auto"/>
              <w:ind w:left="315" w:leftChars="0"/>
              <w:jc w:val="center"/>
              <w:rPr>
                <w:sz w:val="16"/>
                <w:szCs w:val="16"/>
              </w:rPr>
            </w:pPr>
          </w:p>
        </w:tc>
        <w:tc>
          <w:tcPr>
            <w:tcW w:w="2550" w:type="dxa"/>
            <w:vAlign w:val="top"/>
          </w:tcPr>
          <w:p w14:paraId="26F25898">
            <w:pPr>
              <w:pStyle w:val="8"/>
              <w:spacing w:before="207" w:line="184" w:lineRule="auto"/>
              <w:jc w:val="center"/>
              <w:rPr>
                <w:rFonts w:hint="eastAsia" w:eastAsia="宋体"/>
                <w:sz w:val="16"/>
                <w:szCs w:val="16"/>
                <w:lang w:val="en-US" w:eastAsia="zh-CN"/>
              </w:rPr>
            </w:pPr>
            <w:r>
              <w:rPr>
                <w:rFonts w:hint="eastAsia"/>
                <w:sz w:val="16"/>
                <w:szCs w:val="16"/>
                <w:lang w:val="en-US" w:eastAsia="zh-CN"/>
              </w:rPr>
              <w:t>0</w:t>
            </w:r>
          </w:p>
        </w:tc>
      </w:tr>
      <w:tr w14:paraId="3A332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72C61D4C">
            <w:pPr>
              <w:jc w:val="center"/>
              <w:rPr>
                <w:rFonts w:ascii="Arial"/>
                <w:sz w:val="18"/>
                <w:szCs w:val="18"/>
              </w:rPr>
            </w:pPr>
          </w:p>
        </w:tc>
        <w:tc>
          <w:tcPr>
            <w:tcW w:w="1335" w:type="dxa"/>
            <w:vAlign w:val="center"/>
          </w:tcPr>
          <w:p w14:paraId="6200D044">
            <w:pPr>
              <w:jc w:val="center"/>
              <w:rPr>
                <w:rFonts w:ascii="Arial"/>
                <w:sz w:val="18"/>
                <w:szCs w:val="18"/>
              </w:rPr>
            </w:pPr>
            <w:r>
              <w:rPr>
                <w:rFonts w:ascii="Arial"/>
                <w:sz w:val="18"/>
                <w:szCs w:val="18"/>
              </w:rPr>
              <w:t>线上巡查企业</w:t>
            </w:r>
          </w:p>
          <w:p w14:paraId="35C9A4B8">
            <w:pPr>
              <w:jc w:val="center"/>
              <w:rPr>
                <w:rFonts w:ascii="Arial"/>
                <w:sz w:val="18"/>
                <w:szCs w:val="18"/>
              </w:rPr>
            </w:pPr>
            <w:r>
              <w:rPr>
                <w:rFonts w:ascii="Arial"/>
                <w:sz w:val="18"/>
                <w:szCs w:val="18"/>
              </w:rPr>
              <w:t>(家次)</w:t>
            </w:r>
          </w:p>
        </w:tc>
        <w:tc>
          <w:tcPr>
            <w:tcW w:w="2160" w:type="dxa"/>
            <w:vAlign w:val="top"/>
          </w:tcPr>
          <w:p w14:paraId="52BD0B90">
            <w:pPr>
              <w:pStyle w:val="8"/>
              <w:spacing w:before="207"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7192EAFD">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5001B020">
            <w:pPr>
              <w:pStyle w:val="8"/>
              <w:spacing w:before="207" w:line="184" w:lineRule="auto"/>
              <w:jc w:val="center"/>
              <w:rPr>
                <w:rFonts w:hint="eastAsia" w:eastAsia="宋体"/>
                <w:sz w:val="16"/>
                <w:szCs w:val="16"/>
                <w:lang w:val="en-US" w:eastAsia="zh-CN"/>
              </w:rPr>
            </w:pPr>
            <w:r>
              <w:rPr>
                <w:rFonts w:hint="eastAsia"/>
                <w:sz w:val="16"/>
                <w:szCs w:val="16"/>
                <w:lang w:val="en-US" w:eastAsia="zh-CN"/>
              </w:rPr>
              <w:t>3</w:t>
            </w:r>
          </w:p>
        </w:tc>
      </w:tr>
      <w:tr w14:paraId="2B5EF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restart"/>
            <w:vAlign w:val="center"/>
          </w:tcPr>
          <w:p w14:paraId="5D23739F">
            <w:pPr>
              <w:jc w:val="center"/>
              <w:rPr>
                <w:rFonts w:hint="eastAsia" w:ascii="Arial" w:eastAsiaTheme="minorEastAsia"/>
                <w:sz w:val="18"/>
                <w:szCs w:val="18"/>
                <w:lang w:val="en-US" w:eastAsia="zh-CN"/>
              </w:rPr>
            </w:pPr>
            <w:r>
              <w:rPr>
                <w:rFonts w:hint="eastAsia" w:ascii="Arial"/>
                <w:sz w:val="18"/>
                <w:szCs w:val="18"/>
                <w:lang w:val="en-US" w:eastAsia="zh-CN"/>
              </w:rPr>
              <w:t>十月份</w:t>
            </w:r>
          </w:p>
        </w:tc>
        <w:tc>
          <w:tcPr>
            <w:tcW w:w="1335" w:type="dxa"/>
            <w:vAlign w:val="center"/>
          </w:tcPr>
          <w:p w14:paraId="59558127">
            <w:pPr>
              <w:jc w:val="center"/>
              <w:rPr>
                <w:rFonts w:ascii="Arial"/>
                <w:sz w:val="18"/>
                <w:szCs w:val="18"/>
              </w:rPr>
            </w:pPr>
            <w:r>
              <w:rPr>
                <w:rFonts w:ascii="Arial"/>
                <w:sz w:val="18"/>
                <w:szCs w:val="18"/>
              </w:rPr>
              <w:t>重点检查企业</w:t>
            </w:r>
          </w:p>
          <w:p w14:paraId="662C3260">
            <w:pPr>
              <w:jc w:val="center"/>
              <w:rPr>
                <w:rFonts w:ascii="Arial"/>
                <w:sz w:val="18"/>
                <w:szCs w:val="18"/>
              </w:rPr>
            </w:pPr>
            <w:r>
              <w:rPr>
                <w:rFonts w:ascii="Arial"/>
                <w:sz w:val="18"/>
                <w:szCs w:val="18"/>
              </w:rPr>
              <w:t>(家次)</w:t>
            </w:r>
          </w:p>
        </w:tc>
        <w:tc>
          <w:tcPr>
            <w:tcW w:w="2160" w:type="dxa"/>
            <w:vAlign w:val="top"/>
          </w:tcPr>
          <w:p w14:paraId="617B79B2">
            <w:pPr>
              <w:pStyle w:val="8"/>
              <w:spacing w:before="207" w:line="183" w:lineRule="auto"/>
              <w:ind w:left="205"/>
              <w:jc w:val="center"/>
              <w:rPr>
                <w:sz w:val="16"/>
                <w:szCs w:val="16"/>
              </w:rPr>
            </w:pPr>
          </w:p>
        </w:tc>
        <w:tc>
          <w:tcPr>
            <w:tcW w:w="2220" w:type="dxa"/>
            <w:vAlign w:val="top"/>
          </w:tcPr>
          <w:p w14:paraId="09110008">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3A018D13">
            <w:pPr>
              <w:pStyle w:val="8"/>
              <w:spacing w:before="207" w:line="184" w:lineRule="auto"/>
              <w:jc w:val="center"/>
              <w:rPr>
                <w:rFonts w:hint="eastAsia" w:eastAsia="宋体"/>
                <w:sz w:val="16"/>
                <w:szCs w:val="16"/>
                <w:lang w:val="en-US" w:eastAsia="zh-CN"/>
              </w:rPr>
            </w:pPr>
            <w:r>
              <w:rPr>
                <w:rFonts w:hint="eastAsia"/>
                <w:sz w:val="16"/>
                <w:szCs w:val="16"/>
                <w:lang w:val="en-US" w:eastAsia="zh-CN"/>
              </w:rPr>
              <w:t>1</w:t>
            </w:r>
          </w:p>
        </w:tc>
      </w:tr>
      <w:tr w14:paraId="4D97F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57F01AC1">
            <w:pPr>
              <w:jc w:val="center"/>
              <w:rPr>
                <w:rFonts w:ascii="Arial"/>
                <w:sz w:val="18"/>
                <w:szCs w:val="18"/>
              </w:rPr>
            </w:pPr>
          </w:p>
        </w:tc>
        <w:tc>
          <w:tcPr>
            <w:tcW w:w="1335" w:type="dxa"/>
            <w:vAlign w:val="center"/>
          </w:tcPr>
          <w:p w14:paraId="02A8CF39">
            <w:pPr>
              <w:jc w:val="center"/>
              <w:rPr>
                <w:rFonts w:ascii="Arial"/>
                <w:sz w:val="18"/>
                <w:szCs w:val="18"/>
              </w:rPr>
            </w:pPr>
            <w:r>
              <w:rPr>
                <w:rFonts w:ascii="Arial"/>
                <w:sz w:val="18"/>
                <w:szCs w:val="18"/>
              </w:rPr>
              <w:t>一般检查企业</w:t>
            </w:r>
          </w:p>
          <w:p w14:paraId="53F3A216">
            <w:pPr>
              <w:jc w:val="center"/>
              <w:rPr>
                <w:rFonts w:ascii="Arial"/>
                <w:sz w:val="18"/>
                <w:szCs w:val="18"/>
              </w:rPr>
            </w:pPr>
            <w:r>
              <w:rPr>
                <w:rFonts w:ascii="Arial"/>
                <w:sz w:val="18"/>
                <w:szCs w:val="18"/>
              </w:rPr>
              <w:t>(家次)</w:t>
            </w:r>
          </w:p>
        </w:tc>
        <w:tc>
          <w:tcPr>
            <w:tcW w:w="2160" w:type="dxa"/>
            <w:vAlign w:val="top"/>
          </w:tcPr>
          <w:p w14:paraId="44E7FA07">
            <w:pPr>
              <w:pStyle w:val="8"/>
              <w:spacing w:before="207" w:line="183"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2EA12437">
            <w:pPr>
              <w:pStyle w:val="8"/>
              <w:spacing w:before="197" w:line="184" w:lineRule="auto"/>
              <w:ind w:left="315" w:leftChars="0"/>
              <w:jc w:val="center"/>
              <w:rPr>
                <w:sz w:val="16"/>
                <w:szCs w:val="16"/>
              </w:rPr>
            </w:pPr>
          </w:p>
        </w:tc>
        <w:tc>
          <w:tcPr>
            <w:tcW w:w="2550" w:type="dxa"/>
            <w:vAlign w:val="top"/>
          </w:tcPr>
          <w:p w14:paraId="304F3C39">
            <w:pPr>
              <w:pStyle w:val="8"/>
              <w:spacing w:before="207" w:line="184" w:lineRule="auto"/>
              <w:jc w:val="center"/>
              <w:rPr>
                <w:rFonts w:hint="eastAsia" w:eastAsia="宋体"/>
                <w:sz w:val="16"/>
                <w:szCs w:val="16"/>
                <w:lang w:val="en-US" w:eastAsia="zh-CN"/>
              </w:rPr>
            </w:pPr>
            <w:r>
              <w:rPr>
                <w:rFonts w:hint="eastAsia"/>
                <w:sz w:val="16"/>
                <w:szCs w:val="16"/>
                <w:lang w:val="en-US" w:eastAsia="zh-CN"/>
              </w:rPr>
              <w:t>1</w:t>
            </w:r>
          </w:p>
        </w:tc>
      </w:tr>
      <w:tr w14:paraId="46428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7112B5BE">
            <w:pPr>
              <w:jc w:val="center"/>
              <w:rPr>
                <w:rFonts w:ascii="Arial"/>
                <w:sz w:val="18"/>
                <w:szCs w:val="18"/>
              </w:rPr>
            </w:pPr>
          </w:p>
        </w:tc>
        <w:tc>
          <w:tcPr>
            <w:tcW w:w="1335" w:type="dxa"/>
            <w:vAlign w:val="center"/>
          </w:tcPr>
          <w:p w14:paraId="596394D7">
            <w:pPr>
              <w:jc w:val="center"/>
              <w:rPr>
                <w:rFonts w:ascii="Arial"/>
                <w:sz w:val="18"/>
                <w:szCs w:val="18"/>
              </w:rPr>
            </w:pPr>
            <w:r>
              <w:rPr>
                <w:rFonts w:ascii="Arial"/>
                <w:sz w:val="18"/>
                <w:szCs w:val="18"/>
              </w:rPr>
              <w:t>线上巡查企业</w:t>
            </w:r>
          </w:p>
          <w:p w14:paraId="2086DA6D">
            <w:pPr>
              <w:jc w:val="center"/>
              <w:rPr>
                <w:rFonts w:ascii="Arial"/>
                <w:sz w:val="18"/>
                <w:szCs w:val="18"/>
              </w:rPr>
            </w:pPr>
            <w:r>
              <w:rPr>
                <w:rFonts w:ascii="Arial"/>
                <w:sz w:val="18"/>
                <w:szCs w:val="18"/>
              </w:rPr>
              <w:t>(家次)</w:t>
            </w:r>
          </w:p>
        </w:tc>
        <w:tc>
          <w:tcPr>
            <w:tcW w:w="2160" w:type="dxa"/>
            <w:vAlign w:val="top"/>
          </w:tcPr>
          <w:p w14:paraId="3AEA3C49">
            <w:pPr>
              <w:pStyle w:val="8"/>
              <w:spacing w:before="207"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1E576F5A">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6FD97CD4">
            <w:pPr>
              <w:pStyle w:val="8"/>
              <w:spacing w:before="207" w:line="184" w:lineRule="auto"/>
              <w:jc w:val="center"/>
              <w:rPr>
                <w:rFonts w:hint="default" w:eastAsia="宋体"/>
                <w:sz w:val="16"/>
                <w:szCs w:val="16"/>
                <w:lang w:val="en-US" w:eastAsia="zh-CN"/>
              </w:rPr>
            </w:pPr>
            <w:r>
              <w:rPr>
                <w:rFonts w:hint="eastAsia"/>
                <w:sz w:val="16"/>
                <w:szCs w:val="16"/>
                <w:lang w:val="en-US" w:eastAsia="zh-CN"/>
              </w:rPr>
              <w:t>3</w:t>
            </w:r>
          </w:p>
        </w:tc>
      </w:tr>
      <w:tr w14:paraId="45F8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restart"/>
            <w:vAlign w:val="center"/>
          </w:tcPr>
          <w:p w14:paraId="2E3C739F">
            <w:pPr>
              <w:jc w:val="center"/>
              <w:rPr>
                <w:rFonts w:hint="eastAsia" w:ascii="Arial" w:eastAsiaTheme="minorEastAsia"/>
                <w:sz w:val="18"/>
                <w:szCs w:val="18"/>
                <w:lang w:val="en-US" w:eastAsia="zh-CN"/>
              </w:rPr>
            </w:pPr>
            <w:r>
              <w:rPr>
                <w:rFonts w:hint="eastAsia" w:ascii="Arial"/>
                <w:sz w:val="18"/>
                <w:szCs w:val="18"/>
                <w:lang w:val="en-US" w:eastAsia="zh-CN"/>
              </w:rPr>
              <w:t>十一月份</w:t>
            </w:r>
          </w:p>
        </w:tc>
        <w:tc>
          <w:tcPr>
            <w:tcW w:w="1335" w:type="dxa"/>
            <w:vAlign w:val="center"/>
          </w:tcPr>
          <w:p w14:paraId="133F6E9D">
            <w:pPr>
              <w:jc w:val="center"/>
              <w:rPr>
                <w:rFonts w:ascii="Arial"/>
                <w:sz w:val="18"/>
                <w:szCs w:val="18"/>
              </w:rPr>
            </w:pPr>
            <w:r>
              <w:rPr>
                <w:rFonts w:ascii="Arial"/>
                <w:sz w:val="18"/>
                <w:szCs w:val="18"/>
              </w:rPr>
              <w:t>重点检查企业</w:t>
            </w:r>
          </w:p>
          <w:p w14:paraId="68A44616">
            <w:pPr>
              <w:jc w:val="center"/>
              <w:rPr>
                <w:rFonts w:ascii="Arial"/>
                <w:sz w:val="18"/>
                <w:szCs w:val="18"/>
              </w:rPr>
            </w:pPr>
            <w:r>
              <w:rPr>
                <w:rFonts w:ascii="Arial"/>
                <w:sz w:val="18"/>
                <w:szCs w:val="18"/>
              </w:rPr>
              <w:t>(家次)</w:t>
            </w:r>
          </w:p>
        </w:tc>
        <w:tc>
          <w:tcPr>
            <w:tcW w:w="2160" w:type="dxa"/>
            <w:vAlign w:val="top"/>
          </w:tcPr>
          <w:p w14:paraId="45160A67">
            <w:pPr>
              <w:pStyle w:val="8"/>
              <w:spacing w:before="207" w:line="183"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4961EB41">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0A92C520">
            <w:pPr>
              <w:pStyle w:val="8"/>
              <w:spacing w:before="207" w:line="184" w:lineRule="auto"/>
              <w:jc w:val="center"/>
              <w:rPr>
                <w:rFonts w:hint="eastAsia" w:eastAsia="宋体"/>
                <w:sz w:val="16"/>
                <w:szCs w:val="16"/>
                <w:lang w:val="en-US" w:eastAsia="zh-CN"/>
              </w:rPr>
            </w:pPr>
            <w:r>
              <w:rPr>
                <w:rFonts w:hint="eastAsia"/>
                <w:sz w:val="16"/>
                <w:szCs w:val="16"/>
                <w:lang w:val="en-US" w:eastAsia="zh-CN"/>
              </w:rPr>
              <w:t>2</w:t>
            </w:r>
          </w:p>
        </w:tc>
      </w:tr>
      <w:tr w14:paraId="4DEE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4516E5F4">
            <w:pPr>
              <w:jc w:val="center"/>
              <w:rPr>
                <w:rFonts w:ascii="Arial"/>
                <w:sz w:val="18"/>
                <w:szCs w:val="18"/>
              </w:rPr>
            </w:pPr>
          </w:p>
        </w:tc>
        <w:tc>
          <w:tcPr>
            <w:tcW w:w="1335" w:type="dxa"/>
            <w:vAlign w:val="center"/>
          </w:tcPr>
          <w:p w14:paraId="216CFD60">
            <w:pPr>
              <w:jc w:val="center"/>
              <w:rPr>
                <w:rFonts w:ascii="Arial"/>
                <w:sz w:val="18"/>
                <w:szCs w:val="18"/>
              </w:rPr>
            </w:pPr>
            <w:r>
              <w:rPr>
                <w:rFonts w:ascii="Arial"/>
                <w:sz w:val="18"/>
                <w:szCs w:val="18"/>
              </w:rPr>
              <w:t>一般检查企业</w:t>
            </w:r>
          </w:p>
          <w:p w14:paraId="45F1C304">
            <w:pPr>
              <w:jc w:val="center"/>
              <w:rPr>
                <w:rFonts w:ascii="Arial"/>
                <w:sz w:val="18"/>
                <w:szCs w:val="18"/>
              </w:rPr>
            </w:pPr>
            <w:r>
              <w:rPr>
                <w:rFonts w:ascii="Arial"/>
                <w:sz w:val="18"/>
                <w:szCs w:val="18"/>
              </w:rPr>
              <w:t>(家次)</w:t>
            </w:r>
          </w:p>
        </w:tc>
        <w:tc>
          <w:tcPr>
            <w:tcW w:w="2160" w:type="dxa"/>
            <w:vAlign w:val="top"/>
          </w:tcPr>
          <w:p w14:paraId="2AA966D5">
            <w:pPr>
              <w:pStyle w:val="8"/>
              <w:spacing w:before="207" w:line="183" w:lineRule="auto"/>
              <w:ind w:left="205"/>
              <w:jc w:val="center"/>
              <w:rPr>
                <w:sz w:val="16"/>
                <w:szCs w:val="16"/>
              </w:rPr>
            </w:pPr>
          </w:p>
        </w:tc>
        <w:tc>
          <w:tcPr>
            <w:tcW w:w="2220" w:type="dxa"/>
            <w:vAlign w:val="top"/>
          </w:tcPr>
          <w:p w14:paraId="3DFA8D66">
            <w:pPr>
              <w:pStyle w:val="8"/>
              <w:spacing w:before="197" w:line="184" w:lineRule="auto"/>
              <w:ind w:left="315" w:leftChars="0"/>
              <w:jc w:val="center"/>
              <w:rPr>
                <w:sz w:val="16"/>
                <w:szCs w:val="16"/>
              </w:rPr>
            </w:pPr>
          </w:p>
        </w:tc>
        <w:tc>
          <w:tcPr>
            <w:tcW w:w="2550" w:type="dxa"/>
            <w:vAlign w:val="top"/>
          </w:tcPr>
          <w:p w14:paraId="70E6F3F5">
            <w:pPr>
              <w:pStyle w:val="8"/>
              <w:spacing w:before="207" w:line="184" w:lineRule="auto"/>
              <w:jc w:val="center"/>
              <w:rPr>
                <w:rFonts w:hint="eastAsia" w:eastAsia="宋体"/>
                <w:sz w:val="16"/>
                <w:szCs w:val="16"/>
                <w:lang w:val="en-US" w:eastAsia="zh-CN"/>
              </w:rPr>
            </w:pPr>
            <w:r>
              <w:rPr>
                <w:rFonts w:hint="eastAsia"/>
                <w:sz w:val="16"/>
                <w:szCs w:val="16"/>
                <w:lang w:val="en-US" w:eastAsia="zh-CN"/>
              </w:rPr>
              <w:t>0</w:t>
            </w:r>
          </w:p>
        </w:tc>
      </w:tr>
      <w:tr w14:paraId="56CA0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1429E850">
            <w:pPr>
              <w:jc w:val="center"/>
              <w:rPr>
                <w:rFonts w:ascii="Arial"/>
                <w:sz w:val="18"/>
                <w:szCs w:val="18"/>
              </w:rPr>
            </w:pPr>
          </w:p>
        </w:tc>
        <w:tc>
          <w:tcPr>
            <w:tcW w:w="1335" w:type="dxa"/>
            <w:vAlign w:val="center"/>
          </w:tcPr>
          <w:p w14:paraId="5ECA429B">
            <w:pPr>
              <w:jc w:val="center"/>
              <w:rPr>
                <w:rFonts w:ascii="Arial"/>
                <w:sz w:val="18"/>
                <w:szCs w:val="18"/>
              </w:rPr>
            </w:pPr>
            <w:r>
              <w:rPr>
                <w:rFonts w:ascii="Arial"/>
                <w:sz w:val="18"/>
                <w:szCs w:val="18"/>
              </w:rPr>
              <w:t>线上巡查企业</w:t>
            </w:r>
          </w:p>
          <w:p w14:paraId="4FFC8D9A">
            <w:pPr>
              <w:jc w:val="center"/>
              <w:rPr>
                <w:rFonts w:ascii="Arial"/>
                <w:sz w:val="18"/>
                <w:szCs w:val="18"/>
              </w:rPr>
            </w:pPr>
            <w:r>
              <w:rPr>
                <w:rFonts w:ascii="Arial"/>
                <w:sz w:val="18"/>
                <w:szCs w:val="18"/>
              </w:rPr>
              <w:t>(家次)</w:t>
            </w:r>
          </w:p>
        </w:tc>
        <w:tc>
          <w:tcPr>
            <w:tcW w:w="2160" w:type="dxa"/>
            <w:vAlign w:val="top"/>
          </w:tcPr>
          <w:p w14:paraId="5C5DB7F6">
            <w:pPr>
              <w:pStyle w:val="8"/>
              <w:spacing w:before="207"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63E8BF15">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7A1DE897">
            <w:pPr>
              <w:pStyle w:val="8"/>
              <w:spacing w:before="207" w:line="184" w:lineRule="auto"/>
              <w:jc w:val="center"/>
              <w:rPr>
                <w:rFonts w:hint="eastAsia" w:eastAsia="宋体"/>
                <w:sz w:val="16"/>
                <w:szCs w:val="16"/>
                <w:lang w:val="en-US" w:eastAsia="zh-CN"/>
              </w:rPr>
            </w:pPr>
            <w:r>
              <w:rPr>
                <w:rFonts w:hint="eastAsia"/>
                <w:sz w:val="16"/>
                <w:szCs w:val="16"/>
                <w:lang w:val="en-US" w:eastAsia="zh-CN"/>
              </w:rPr>
              <w:t>3</w:t>
            </w:r>
          </w:p>
        </w:tc>
      </w:tr>
      <w:tr w14:paraId="67A32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restart"/>
            <w:vAlign w:val="center"/>
          </w:tcPr>
          <w:p w14:paraId="007D9926">
            <w:pPr>
              <w:jc w:val="center"/>
              <w:rPr>
                <w:rFonts w:hint="eastAsia" w:ascii="Arial" w:eastAsiaTheme="minorEastAsia"/>
                <w:sz w:val="18"/>
                <w:szCs w:val="18"/>
                <w:lang w:val="en-US" w:eastAsia="zh-CN"/>
              </w:rPr>
            </w:pPr>
            <w:r>
              <w:rPr>
                <w:rFonts w:hint="eastAsia" w:ascii="Arial"/>
                <w:sz w:val="18"/>
                <w:szCs w:val="18"/>
                <w:lang w:val="en-US" w:eastAsia="zh-CN"/>
              </w:rPr>
              <w:t>十二月份</w:t>
            </w:r>
          </w:p>
        </w:tc>
        <w:tc>
          <w:tcPr>
            <w:tcW w:w="1335" w:type="dxa"/>
            <w:vAlign w:val="center"/>
          </w:tcPr>
          <w:p w14:paraId="5C7D90B7">
            <w:pPr>
              <w:jc w:val="center"/>
              <w:rPr>
                <w:rFonts w:ascii="Arial"/>
                <w:sz w:val="18"/>
                <w:szCs w:val="18"/>
              </w:rPr>
            </w:pPr>
            <w:r>
              <w:rPr>
                <w:rFonts w:ascii="Arial"/>
                <w:sz w:val="18"/>
                <w:szCs w:val="18"/>
              </w:rPr>
              <w:t>重点检查企业</w:t>
            </w:r>
          </w:p>
          <w:p w14:paraId="3DC36169">
            <w:pPr>
              <w:jc w:val="center"/>
              <w:rPr>
                <w:rFonts w:ascii="Arial"/>
                <w:sz w:val="18"/>
                <w:szCs w:val="18"/>
              </w:rPr>
            </w:pPr>
            <w:r>
              <w:rPr>
                <w:rFonts w:ascii="Arial"/>
                <w:sz w:val="18"/>
                <w:szCs w:val="18"/>
              </w:rPr>
              <w:t>(家次)</w:t>
            </w:r>
          </w:p>
        </w:tc>
        <w:tc>
          <w:tcPr>
            <w:tcW w:w="2160" w:type="dxa"/>
            <w:vAlign w:val="top"/>
          </w:tcPr>
          <w:p w14:paraId="6DC29376">
            <w:pPr>
              <w:pStyle w:val="8"/>
              <w:spacing w:before="207" w:line="183" w:lineRule="auto"/>
              <w:jc w:val="center"/>
              <w:rPr>
                <w:rFonts w:hint="eastAsia" w:eastAsia="宋体"/>
                <w:sz w:val="16"/>
                <w:szCs w:val="16"/>
                <w:lang w:val="en-US" w:eastAsia="zh-CN"/>
              </w:rPr>
            </w:pPr>
            <w:r>
              <w:rPr>
                <w:rFonts w:hint="eastAsia"/>
                <w:sz w:val="16"/>
                <w:szCs w:val="16"/>
                <w:lang w:val="en-US" w:eastAsia="zh-CN"/>
              </w:rPr>
              <w:t>1</w:t>
            </w:r>
          </w:p>
        </w:tc>
        <w:tc>
          <w:tcPr>
            <w:tcW w:w="2220" w:type="dxa"/>
            <w:vAlign w:val="top"/>
          </w:tcPr>
          <w:p w14:paraId="11651874">
            <w:pPr>
              <w:pStyle w:val="8"/>
              <w:spacing w:before="188" w:line="183" w:lineRule="auto"/>
              <w:jc w:val="center"/>
              <w:rPr>
                <w:sz w:val="16"/>
                <w:szCs w:val="16"/>
              </w:rPr>
            </w:pPr>
            <w:r>
              <w:rPr>
                <w:rFonts w:hint="eastAsia"/>
                <w:sz w:val="16"/>
                <w:szCs w:val="16"/>
                <w:lang w:val="en-US" w:eastAsia="zh-CN"/>
              </w:rPr>
              <w:t>1</w:t>
            </w:r>
          </w:p>
        </w:tc>
        <w:tc>
          <w:tcPr>
            <w:tcW w:w="2550" w:type="dxa"/>
            <w:vAlign w:val="top"/>
          </w:tcPr>
          <w:p w14:paraId="0C33FFA4">
            <w:pPr>
              <w:pStyle w:val="8"/>
              <w:spacing w:before="207" w:line="184" w:lineRule="auto"/>
              <w:jc w:val="center"/>
              <w:rPr>
                <w:rFonts w:hint="eastAsia" w:eastAsia="宋体"/>
                <w:sz w:val="16"/>
                <w:szCs w:val="16"/>
                <w:lang w:val="en-US" w:eastAsia="zh-CN"/>
              </w:rPr>
            </w:pPr>
            <w:r>
              <w:rPr>
                <w:rFonts w:hint="eastAsia"/>
                <w:sz w:val="16"/>
                <w:szCs w:val="16"/>
                <w:lang w:val="en-US" w:eastAsia="zh-CN"/>
              </w:rPr>
              <w:t>2</w:t>
            </w:r>
          </w:p>
        </w:tc>
      </w:tr>
      <w:tr w14:paraId="2617E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6C101E1D">
            <w:pPr>
              <w:jc w:val="center"/>
              <w:rPr>
                <w:rFonts w:ascii="Arial"/>
                <w:sz w:val="18"/>
                <w:szCs w:val="18"/>
              </w:rPr>
            </w:pPr>
          </w:p>
        </w:tc>
        <w:tc>
          <w:tcPr>
            <w:tcW w:w="1335" w:type="dxa"/>
            <w:vAlign w:val="center"/>
          </w:tcPr>
          <w:p w14:paraId="4BD1C26A">
            <w:pPr>
              <w:jc w:val="center"/>
              <w:rPr>
                <w:rFonts w:ascii="Arial"/>
                <w:sz w:val="18"/>
                <w:szCs w:val="18"/>
              </w:rPr>
            </w:pPr>
            <w:r>
              <w:rPr>
                <w:rFonts w:ascii="Arial"/>
                <w:sz w:val="18"/>
                <w:szCs w:val="18"/>
              </w:rPr>
              <w:t>一般检查企业</w:t>
            </w:r>
          </w:p>
          <w:p w14:paraId="3D02231F">
            <w:pPr>
              <w:jc w:val="center"/>
              <w:rPr>
                <w:rFonts w:ascii="Arial"/>
                <w:sz w:val="18"/>
                <w:szCs w:val="18"/>
              </w:rPr>
            </w:pPr>
            <w:r>
              <w:rPr>
                <w:rFonts w:ascii="Arial"/>
                <w:sz w:val="18"/>
                <w:szCs w:val="18"/>
              </w:rPr>
              <w:t>(家次)</w:t>
            </w:r>
          </w:p>
        </w:tc>
        <w:tc>
          <w:tcPr>
            <w:tcW w:w="2160" w:type="dxa"/>
            <w:vAlign w:val="top"/>
          </w:tcPr>
          <w:p w14:paraId="065FAC3B">
            <w:pPr>
              <w:pStyle w:val="8"/>
              <w:spacing w:before="207" w:line="183" w:lineRule="auto"/>
              <w:ind w:left="205"/>
              <w:jc w:val="center"/>
              <w:rPr>
                <w:sz w:val="16"/>
                <w:szCs w:val="16"/>
              </w:rPr>
            </w:pPr>
          </w:p>
        </w:tc>
        <w:tc>
          <w:tcPr>
            <w:tcW w:w="2220" w:type="dxa"/>
            <w:vAlign w:val="top"/>
          </w:tcPr>
          <w:p w14:paraId="5E6D0A8B">
            <w:pPr>
              <w:pStyle w:val="8"/>
              <w:spacing w:before="197" w:line="184" w:lineRule="auto"/>
              <w:jc w:val="center"/>
              <w:rPr>
                <w:sz w:val="16"/>
                <w:szCs w:val="16"/>
              </w:rPr>
            </w:pPr>
            <w:r>
              <w:rPr>
                <w:rFonts w:hint="eastAsia"/>
                <w:sz w:val="16"/>
                <w:szCs w:val="16"/>
                <w:lang w:val="en-US" w:eastAsia="zh-CN"/>
              </w:rPr>
              <w:t>1</w:t>
            </w:r>
          </w:p>
        </w:tc>
        <w:tc>
          <w:tcPr>
            <w:tcW w:w="2550" w:type="dxa"/>
            <w:vAlign w:val="top"/>
          </w:tcPr>
          <w:p w14:paraId="5FC20E4C">
            <w:pPr>
              <w:pStyle w:val="8"/>
              <w:spacing w:before="207" w:line="184" w:lineRule="auto"/>
              <w:jc w:val="center"/>
              <w:rPr>
                <w:rFonts w:hint="eastAsia" w:eastAsia="宋体"/>
                <w:sz w:val="16"/>
                <w:szCs w:val="16"/>
                <w:lang w:val="en-US" w:eastAsia="zh-CN"/>
              </w:rPr>
            </w:pPr>
            <w:r>
              <w:rPr>
                <w:rFonts w:hint="eastAsia"/>
                <w:sz w:val="16"/>
                <w:szCs w:val="16"/>
                <w:lang w:val="en-US" w:eastAsia="zh-CN"/>
              </w:rPr>
              <w:t>1</w:t>
            </w:r>
          </w:p>
        </w:tc>
      </w:tr>
      <w:tr w14:paraId="3CF53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3BFB2D5D">
            <w:pPr>
              <w:jc w:val="center"/>
              <w:rPr>
                <w:rFonts w:ascii="Arial"/>
                <w:sz w:val="18"/>
                <w:szCs w:val="18"/>
              </w:rPr>
            </w:pPr>
          </w:p>
        </w:tc>
        <w:tc>
          <w:tcPr>
            <w:tcW w:w="1335" w:type="dxa"/>
            <w:vAlign w:val="center"/>
          </w:tcPr>
          <w:p w14:paraId="469BB1FF">
            <w:pPr>
              <w:jc w:val="center"/>
              <w:rPr>
                <w:rFonts w:ascii="Arial"/>
                <w:sz w:val="18"/>
                <w:szCs w:val="18"/>
              </w:rPr>
            </w:pPr>
            <w:r>
              <w:rPr>
                <w:rFonts w:ascii="Arial"/>
                <w:sz w:val="18"/>
                <w:szCs w:val="18"/>
              </w:rPr>
              <w:t>线上巡查企业</w:t>
            </w:r>
          </w:p>
          <w:p w14:paraId="7D98F362">
            <w:pPr>
              <w:jc w:val="center"/>
              <w:rPr>
                <w:rFonts w:ascii="Arial"/>
                <w:sz w:val="18"/>
                <w:szCs w:val="18"/>
              </w:rPr>
            </w:pPr>
            <w:r>
              <w:rPr>
                <w:rFonts w:ascii="Arial"/>
                <w:sz w:val="18"/>
                <w:szCs w:val="18"/>
              </w:rPr>
              <w:t>(家次)</w:t>
            </w:r>
          </w:p>
        </w:tc>
        <w:tc>
          <w:tcPr>
            <w:tcW w:w="2160" w:type="dxa"/>
            <w:vAlign w:val="top"/>
          </w:tcPr>
          <w:p w14:paraId="58EC13F2">
            <w:pPr>
              <w:pStyle w:val="8"/>
              <w:spacing w:before="207" w:line="183" w:lineRule="auto"/>
              <w:jc w:val="center"/>
              <w:rPr>
                <w:rFonts w:hint="eastAsia" w:eastAsia="宋体"/>
                <w:sz w:val="16"/>
                <w:szCs w:val="16"/>
                <w:lang w:val="en-US" w:eastAsia="zh-CN"/>
              </w:rPr>
            </w:pPr>
            <w:r>
              <w:rPr>
                <w:rFonts w:hint="eastAsia"/>
                <w:sz w:val="16"/>
                <w:szCs w:val="16"/>
                <w:lang w:val="en-US" w:eastAsia="zh-CN"/>
              </w:rPr>
              <w:t>2</w:t>
            </w:r>
          </w:p>
        </w:tc>
        <w:tc>
          <w:tcPr>
            <w:tcW w:w="2220" w:type="dxa"/>
            <w:vAlign w:val="top"/>
          </w:tcPr>
          <w:p w14:paraId="4CF80BE9">
            <w:pPr>
              <w:pStyle w:val="8"/>
              <w:spacing w:before="178" w:line="184" w:lineRule="auto"/>
              <w:jc w:val="center"/>
              <w:rPr>
                <w:sz w:val="16"/>
                <w:szCs w:val="16"/>
              </w:rPr>
            </w:pPr>
            <w:r>
              <w:rPr>
                <w:rFonts w:hint="eastAsia"/>
                <w:sz w:val="16"/>
                <w:szCs w:val="16"/>
                <w:lang w:val="en-US" w:eastAsia="zh-CN"/>
              </w:rPr>
              <w:t>1</w:t>
            </w:r>
          </w:p>
        </w:tc>
        <w:tc>
          <w:tcPr>
            <w:tcW w:w="2550" w:type="dxa"/>
            <w:vAlign w:val="top"/>
          </w:tcPr>
          <w:p w14:paraId="23E012CB">
            <w:pPr>
              <w:pStyle w:val="8"/>
              <w:spacing w:before="207" w:line="184" w:lineRule="auto"/>
              <w:jc w:val="center"/>
              <w:rPr>
                <w:rFonts w:hint="eastAsia" w:eastAsia="宋体"/>
                <w:sz w:val="16"/>
                <w:szCs w:val="16"/>
                <w:lang w:val="en-US" w:eastAsia="zh-CN"/>
              </w:rPr>
            </w:pPr>
            <w:r>
              <w:rPr>
                <w:rFonts w:hint="eastAsia"/>
                <w:sz w:val="16"/>
                <w:szCs w:val="16"/>
                <w:lang w:val="en-US" w:eastAsia="zh-CN"/>
              </w:rPr>
              <w:t>3</w:t>
            </w:r>
          </w:p>
        </w:tc>
      </w:tr>
      <w:tr w14:paraId="4A032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restart"/>
            <w:vAlign w:val="center"/>
          </w:tcPr>
          <w:p w14:paraId="15266AC8">
            <w:pPr>
              <w:jc w:val="center"/>
              <w:rPr>
                <w:rFonts w:hint="eastAsia" w:ascii="Arial" w:eastAsiaTheme="minorEastAsia"/>
                <w:sz w:val="18"/>
                <w:szCs w:val="18"/>
                <w:lang w:val="en-US" w:eastAsia="zh-CN"/>
              </w:rPr>
            </w:pPr>
            <w:r>
              <w:rPr>
                <w:rFonts w:hint="eastAsia" w:ascii="Arial"/>
                <w:sz w:val="18"/>
                <w:szCs w:val="18"/>
                <w:lang w:val="en-US" w:eastAsia="zh-CN"/>
              </w:rPr>
              <w:t>总计</w:t>
            </w:r>
          </w:p>
        </w:tc>
        <w:tc>
          <w:tcPr>
            <w:tcW w:w="1335" w:type="dxa"/>
            <w:vAlign w:val="center"/>
          </w:tcPr>
          <w:p w14:paraId="4DDA76B0">
            <w:pPr>
              <w:jc w:val="center"/>
              <w:rPr>
                <w:rFonts w:hint="eastAsia" w:eastAsia="宋体"/>
                <w:sz w:val="18"/>
                <w:szCs w:val="18"/>
                <w:lang w:val="en-US" w:eastAsia="zh-CN"/>
              </w:rPr>
            </w:pPr>
            <w:r>
              <w:rPr>
                <w:rFonts w:hint="eastAsia" w:eastAsia="宋体"/>
                <w:sz w:val="18"/>
                <w:szCs w:val="18"/>
                <w:lang w:val="en-US" w:eastAsia="zh-CN"/>
              </w:rPr>
              <w:t>现场检查企业</w:t>
            </w:r>
          </w:p>
          <w:p w14:paraId="48716486">
            <w:pPr>
              <w:jc w:val="center"/>
              <w:rPr>
                <w:rFonts w:hint="default" w:ascii="Arial" w:eastAsia="宋体"/>
                <w:sz w:val="18"/>
                <w:szCs w:val="18"/>
                <w:lang w:val="en-US" w:eastAsia="zh-CN"/>
              </w:rPr>
            </w:pPr>
            <w:r>
              <w:rPr>
                <w:rFonts w:hint="eastAsia" w:eastAsia="宋体"/>
                <w:sz w:val="18"/>
                <w:szCs w:val="18"/>
                <w:lang w:val="en-US" w:eastAsia="zh-CN"/>
              </w:rPr>
              <w:t>（家次）</w:t>
            </w:r>
          </w:p>
        </w:tc>
        <w:tc>
          <w:tcPr>
            <w:tcW w:w="2160" w:type="dxa"/>
            <w:vAlign w:val="top"/>
          </w:tcPr>
          <w:p w14:paraId="4F2BD334">
            <w:pPr>
              <w:pStyle w:val="8"/>
              <w:spacing w:before="207" w:line="183" w:lineRule="auto"/>
              <w:jc w:val="center"/>
              <w:rPr>
                <w:rFonts w:hint="default"/>
                <w:sz w:val="16"/>
                <w:szCs w:val="16"/>
                <w:lang w:val="en-US" w:eastAsia="zh-CN"/>
              </w:rPr>
            </w:pPr>
            <w:r>
              <w:rPr>
                <w:rFonts w:hint="eastAsia"/>
                <w:sz w:val="16"/>
                <w:szCs w:val="16"/>
                <w:lang w:val="en-US" w:eastAsia="zh-CN"/>
              </w:rPr>
              <w:t>12</w:t>
            </w:r>
          </w:p>
        </w:tc>
        <w:tc>
          <w:tcPr>
            <w:tcW w:w="2220" w:type="dxa"/>
            <w:vAlign w:val="top"/>
          </w:tcPr>
          <w:p w14:paraId="29ED5AF7">
            <w:pPr>
              <w:pStyle w:val="8"/>
              <w:spacing w:before="178" w:line="184" w:lineRule="auto"/>
              <w:jc w:val="center"/>
              <w:rPr>
                <w:rFonts w:hint="default"/>
                <w:sz w:val="16"/>
                <w:szCs w:val="16"/>
                <w:lang w:val="en-US" w:eastAsia="zh-CN"/>
              </w:rPr>
            </w:pPr>
            <w:r>
              <w:rPr>
                <w:rFonts w:hint="eastAsia"/>
                <w:sz w:val="16"/>
                <w:szCs w:val="16"/>
                <w:lang w:val="en-US" w:eastAsia="zh-CN"/>
              </w:rPr>
              <w:t>17</w:t>
            </w:r>
          </w:p>
        </w:tc>
        <w:tc>
          <w:tcPr>
            <w:tcW w:w="2550" w:type="dxa"/>
            <w:vAlign w:val="top"/>
          </w:tcPr>
          <w:p w14:paraId="54EF8CA7">
            <w:pPr>
              <w:pStyle w:val="8"/>
              <w:spacing w:before="207" w:line="184" w:lineRule="auto"/>
              <w:jc w:val="center"/>
              <w:rPr>
                <w:rFonts w:hint="default"/>
                <w:sz w:val="16"/>
                <w:szCs w:val="16"/>
                <w:lang w:val="en-US" w:eastAsia="zh-CN"/>
              </w:rPr>
            </w:pPr>
            <w:r>
              <w:rPr>
                <w:rFonts w:hint="eastAsia"/>
                <w:sz w:val="16"/>
                <w:szCs w:val="16"/>
                <w:lang w:val="en-US" w:eastAsia="zh-CN"/>
              </w:rPr>
              <w:t>29</w:t>
            </w:r>
          </w:p>
        </w:tc>
      </w:tr>
      <w:tr w14:paraId="15A8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5" w:type="dxa"/>
            <w:vMerge w:val="continue"/>
            <w:vAlign w:val="center"/>
          </w:tcPr>
          <w:p w14:paraId="457D7538">
            <w:pPr>
              <w:jc w:val="center"/>
              <w:rPr>
                <w:rFonts w:hint="eastAsia" w:ascii="Arial"/>
                <w:sz w:val="18"/>
                <w:szCs w:val="18"/>
                <w:lang w:val="en-US" w:eastAsia="zh-CN"/>
              </w:rPr>
            </w:pPr>
          </w:p>
        </w:tc>
        <w:tc>
          <w:tcPr>
            <w:tcW w:w="1335" w:type="dxa"/>
            <w:vAlign w:val="center"/>
          </w:tcPr>
          <w:p w14:paraId="16DDD000">
            <w:pPr>
              <w:jc w:val="center"/>
              <w:rPr>
                <w:rFonts w:hint="eastAsia" w:eastAsia="宋体"/>
                <w:sz w:val="18"/>
                <w:szCs w:val="18"/>
                <w:lang w:val="en-US" w:eastAsia="zh-CN"/>
              </w:rPr>
            </w:pPr>
            <w:r>
              <w:rPr>
                <w:rFonts w:hint="eastAsia" w:eastAsia="宋体"/>
                <w:sz w:val="18"/>
                <w:szCs w:val="18"/>
                <w:lang w:val="en-US" w:eastAsia="zh-CN"/>
              </w:rPr>
              <w:t>线上巡查企业</w:t>
            </w:r>
          </w:p>
          <w:p w14:paraId="5C8C8A90">
            <w:pPr>
              <w:jc w:val="center"/>
              <w:rPr>
                <w:rFonts w:hint="default" w:ascii="Arial" w:eastAsia="宋体"/>
                <w:sz w:val="18"/>
                <w:szCs w:val="18"/>
                <w:lang w:val="en-US" w:eastAsia="zh-CN"/>
              </w:rPr>
            </w:pPr>
            <w:r>
              <w:rPr>
                <w:rFonts w:hint="eastAsia" w:eastAsia="宋体"/>
                <w:sz w:val="18"/>
                <w:szCs w:val="18"/>
                <w:lang w:val="en-US" w:eastAsia="zh-CN"/>
              </w:rPr>
              <w:t>（家次）</w:t>
            </w:r>
          </w:p>
        </w:tc>
        <w:tc>
          <w:tcPr>
            <w:tcW w:w="2160" w:type="dxa"/>
            <w:vAlign w:val="top"/>
          </w:tcPr>
          <w:p w14:paraId="7DD2B85C">
            <w:pPr>
              <w:pStyle w:val="8"/>
              <w:spacing w:before="207" w:line="183" w:lineRule="auto"/>
              <w:jc w:val="center"/>
              <w:rPr>
                <w:rFonts w:hint="default"/>
                <w:sz w:val="16"/>
                <w:szCs w:val="16"/>
                <w:lang w:val="en-US" w:eastAsia="zh-CN"/>
              </w:rPr>
            </w:pPr>
            <w:r>
              <w:rPr>
                <w:rFonts w:hint="eastAsia"/>
                <w:sz w:val="16"/>
                <w:szCs w:val="16"/>
                <w:lang w:val="en-US" w:eastAsia="zh-CN"/>
              </w:rPr>
              <w:t>24</w:t>
            </w:r>
          </w:p>
        </w:tc>
        <w:tc>
          <w:tcPr>
            <w:tcW w:w="2220" w:type="dxa"/>
            <w:vAlign w:val="top"/>
          </w:tcPr>
          <w:p w14:paraId="701C3F00">
            <w:pPr>
              <w:pStyle w:val="8"/>
              <w:spacing w:before="178" w:line="184" w:lineRule="auto"/>
              <w:jc w:val="center"/>
              <w:rPr>
                <w:rFonts w:hint="default"/>
                <w:sz w:val="16"/>
                <w:szCs w:val="16"/>
                <w:lang w:val="en-US" w:eastAsia="zh-CN"/>
              </w:rPr>
            </w:pPr>
            <w:r>
              <w:rPr>
                <w:rFonts w:hint="eastAsia"/>
                <w:sz w:val="16"/>
                <w:szCs w:val="16"/>
                <w:lang w:val="en-US" w:eastAsia="zh-CN"/>
              </w:rPr>
              <w:t>12</w:t>
            </w:r>
          </w:p>
        </w:tc>
        <w:tc>
          <w:tcPr>
            <w:tcW w:w="2550" w:type="dxa"/>
            <w:vAlign w:val="top"/>
          </w:tcPr>
          <w:p w14:paraId="067EBF4F">
            <w:pPr>
              <w:pStyle w:val="8"/>
              <w:spacing w:before="207" w:line="184" w:lineRule="auto"/>
              <w:jc w:val="center"/>
              <w:rPr>
                <w:rFonts w:hint="default"/>
                <w:sz w:val="16"/>
                <w:szCs w:val="16"/>
                <w:lang w:val="en-US" w:eastAsia="zh-CN"/>
              </w:rPr>
            </w:pPr>
            <w:r>
              <w:rPr>
                <w:rFonts w:hint="eastAsia"/>
                <w:sz w:val="16"/>
                <w:szCs w:val="16"/>
                <w:lang w:val="en-US" w:eastAsia="zh-CN"/>
              </w:rPr>
              <w:t>36</w:t>
            </w:r>
          </w:p>
        </w:tc>
      </w:tr>
    </w:tbl>
    <w:p w14:paraId="6B91C657">
      <w:pPr>
        <w:rPr>
          <w:rFonts w:hint="default" w:ascii="Times New Roman" w:hAnsi="Times New Roman" w:eastAsia="黑体" w:cs="黑体"/>
          <w:color w:val="auto"/>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C623">
    <w:pPr>
      <w:spacing w:line="177" w:lineRule="auto"/>
      <w:ind w:left="780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FA223">
                          <w:pPr>
                            <w:pStyle w:val="3"/>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EFA223">
                    <w:pPr>
                      <w:pStyle w:val="3"/>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B66C1"/>
    <w:rsid w:val="0A0C04D1"/>
    <w:rsid w:val="0E1C1F60"/>
    <w:rsid w:val="30F810FB"/>
    <w:rsid w:val="41D45C4C"/>
    <w:rsid w:val="42B83CFD"/>
    <w:rsid w:val="59C87211"/>
    <w:rsid w:val="61D46147"/>
    <w:rsid w:val="64BB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8333</Words>
  <Characters>8574</Characters>
  <Lines>0</Lines>
  <Paragraphs>0</Paragraphs>
  <TotalTime>49</TotalTime>
  <ScaleCrop>false</ScaleCrop>
  <LinksUpToDate>false</LinksUpToDate>
  <CharactersWithSpaces>8612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2025-02-10T04:08:00Z</dcterms:created>
  <dc:creator>微信用户</dc:creator>
  <cp:lastModifiedBy>微信用户</cp:lastModifiedBy>
  <cp:lastPrinted>2025-02-14T07:54:00Z</cp:lastPrinted>
  <dcterms:modified xsi:type="dcterms:W3CDTF">2025-03-12T07:40:53Z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849F5F5861614ABCBBAD3DE1DCEE3075_11</vt:lpwstr>
  </property>
  <property fmtid="{D5CDD505-2E9C-101B-9397-08002B2CF9AE}" pid="4" name="KSOTemplateDocerSaveRecord">
    <vt:lpwstr>eyJoZGlkIjoiYzdmZjI0YTE2MzIzYjM2NjI2MTk5YmYxYThiYzI1YzEiLCJ1c2VySWQiOiIxMjgzNTE2ODAxIn0=</vt:lpwstr>
  </property>
</Properties>
</file>