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37</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37</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37</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38</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315司法</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902.61</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r>
              <w:t>673.17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55.44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902.61</w:t>
            </w:r>
          </w:p>
        </w:tc>
        <w:tc>
          <w:tcPr>
            <w:tcW w:w="4535" w:type="dxa"/>
            <w:vAlign w:val="center"/>
          </w:tcPr>
          <w:p>
            <w:pPr>
              <w:pStyle w:val="12"/>
            </w:pPr>
            <w:r>
              <w:t>本年支出合计</w:t>
            </w:r>
          </w:p>
        </w:tc>
        <w:tc>
          <w:tcPr>
            <w:tcW w:w="2126" w:type="dxa"/>
            <w:vAlign w:val="center"/>
          </w:tcPr>
          <w:p>
            <w:pPr>
              <w:pStyle w:val="13"/>
            </w:pPr>
            <w:r>
              <w:t>902.61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902.61</w:t>
            </w:r>
          </w:p>
        </w:tc>
        <w:tc>
          <w:tcPr>
            <w:tcW w:w="4535" w:type="dxa"/>
            <w:vAlign w:val="center"/>
          </w:tcPr>
          <w:p>
            <w:pPr>
              <w:pStyle w:val="12"/>
            </w:pPr>
            <w:r>
              <w:t>支出总计</w:t>
            </w:r>
          </w:p>
        </w:tc>
        <w:tc>
          <w:tcPr>
            <w:tcW w:w="2126" w:type="dxa"/>
            <w:vAlign w:val="center"/>
          </w:tcPr>
          <w:p>
            <w:pPr>
              <w:pStyle w:val="13"/>
            </w:pPr>
            <w:r>
              <w:t>902.61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315司法</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902.61</w:t>
            </w:r>
          </w:p>
        </w:tc>
        <w:tc>
          <w:tcPr>
            <w:tcW w:w="1134" w:type="dxa"/>
            <w:vAlign w:val="center"/>
          </w:tcPr>
          <w:p>
            <w:pPr>
              <w:pStyle w:val="13"/>
            </w:pPr>
            <w:r>
              <w:t>902.61</w:t>
            </w:r>
          </w:p>
        </w:tc>
        <w:tc>
          <w:tcPr>
            <w:tcW w:w="1134" w:type="dxa"/>
            <w:vAlign w:val="center"/>
          </w:tcPr>
          <w:p>
            <w:pPr>
              <w:pStyle w:val="13"/>
            </w:pPr>
            <w:r>
              <w:t>902.61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9"/>
            </w:pPr>
            <w:r>
              <w:t>673.17</w:t>
            </w:r>
          </w:p>
        </w:tc>
        <w:tc>
          <w:tcPr>
            <w:tcW w:w="1134" w:type="dxa"/>
            <w:vAlign w:val="center"/>
          </w:tcPr>
          <w:p>
            <w:pPr>
              <w:pStyle w:val="9"/>
            </w:pPr>
            <w:r>
              <w:t>673.17</w:t>
            </w:r>
          </w:p>
        </w:tc>
        <w:tc>
          <w:tcPr>
            <w:tcW w:w="1134" w:type="dxa"/>
            <w:vAlign w:val="center"/>
          </w:tcPr>
          <w:p>
            <w:pPr>
              <w:pStyle w:val="9"/>
            </w:pPr>
            <w:r>
              <w:t>673.17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20406</w:t>
            </w:r>
          </w:p>
        </w:tc>
        <w:tc>
          <w:tcPr>
            <w:tcW w:w="1559" w:type="dxa"/>
            <w:vAlign w:val="center"/>
          </w:tcPr>
          <w:p>
            <w:pPr>
              <w:pStyle w:val="10"/>
            </w:pPr>
            <w:r>
              <w:t>司法</w:t>
            </w:r>
          </w:p>
        </w:tc>
        <w:tc>
          <w:tcPr>
            <w:tcW w:w="1134" w:type="dxa"/>
            <w:vAlign w:val="center"/>
          </w:tcPr>
          <w:p>
            <w:pPr>
              <w:pStyle w:val="9"/>
            </w:pPr>
            <w:r>
              <w:t>673.17</w:t>
            </w:r>
          </w:p>
        </w:tc>
        <w:tc>
          <w:tcPr>
            <w:tcW w:w="1134" w:type="dxa"/>
            <w:vAlign w:val="center"/>
          </w:tcPr>
          <w:p>
            <w:pPr>
              <w:pStyle w:val="9"/>
            </w:pPr>
            <w:r>
              <w:t>673.17</w:t>
            </w:r>
          </w:p>
        </w:tc>
        <w:tc>
          <w:tcPr>
            <w:tcW w:w="1134" w:type="dxa"/>
            <w:vAlign w:val="center"/>
          </w:tcPr>
          <w:p>
            <w:pPr>
              <w:pStyle w:val="9"/>
            </w:pPr>
            <w:r>
              <w:t>673.17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2040601</w:t>
            </w:r>
          </w:p>
        </w:tc>
        <w:tc>
          <w:tcPr>
            <w:tcW w:w="1559" w:type="dxa"/>
            <w:vAlign w:val="center"/>
          </w:tcPr>
          <w:p>
            <w:pPr>
              <w:pStyle w:val="10"/>
            </w:pPr>
            <w:r>
              <w:t>行政运行</w:t>
            </w:r>
          </w:p>
        </w:tc>
        <w:tc>
          <w:tcPr>
            <w:tcW w:w="1134" w:type="dxa"/>
            <w:vAlign w:val="center"/>
          </w:tcPr>
          <w:p>
            <w:pPr>
              <w:pStyle w:val="9"/>
            </w:pPr>
            <w:r>
              <w:t>551.11</w:t>
            </w:r>
          </w:p>
        </w:tc>
        <w:tc>
          <w:tcPr>
            <w:tcW w:w="1134" w:type="dxa"/>
            <w:vAlign w:val="center"/>
          </w:tcPr>
          <w:p>
            <w:pPr>
              <w:pStyle w:val="9"/>
            </w:pPr>
            <w:r>
              <w:t>551.11</w:t>
            </w:r>
          </w:p>
        </w:tc>
        <w:tc>
          <w:tcPr>
            <w:tcW w:w="1134" w:type="dxa"/>
            <w:vAlign w:val="center"/>
          </w:tcPr>
          <w:p>
            <w:pPr>
              <w:pStyle w:val="9"/>
            </w:pPr>
            <w:r>
              <w:t>551.11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2040604</w:t>
            </w:r>
          </w:p>
        </w:tc>
        <w:tc>
          <w:tcPr>
            <w:tcW w:w="1559" w:type="dxa"/>
            <w:vAlign w:val="center"/>
          </w:tcPr>
          <w:p>
            <w:pPr>
              <w:pStyle w:val="10"/>
            </w:pPr>
            <w:r>
              <w:t>基层司法业务</w:t>
            </w:r>
          </w:p>
        </w:tc>
        <w:tc>
          <w:tcPr>
            <w:tcW w:w="1134" w:type="dxa"/>
            <w:vAlign w:val="center"/>
          </w:tcPr>
          <w:p>
            <w:pPr>
              <w:pStyle w:val="9"/>
            </w:pPr>
            <w:r>
              <w:t>29.50</w:t>
            </w:r>
          </w:p>
        </w:tc>
        <w:tc>
          <w:tcPr>
            <w:tcW w:w="1134" w:type="dxa"/>
            <w:vAlign w:val="center"/>
          </w:tcPr>
          <w:p>
            <w:pPr>
              <w:pStyle w:val="9"/>
            </w:pPr>
            <w:r>
              <w:t>29.50</w:t>
            </w:r>
          </w:p>
        </w:tc>
        <w:tc>
          <w:tcPr>
            <w:tcW w:w="1134" w:type="dxa"/>
            <w:vAlign w:val="center"/>
          </w:tcPr>
          <w:p>
            <w:pPr>
              <w:pStyle w:val="9"/>
            </w:pPr>
            <w:r>
              <w:t>29.50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2040605</w:t>
            </w:r>
          </w:p>
        </w:tc>
        <w:tc>
          <w:tcPr>
            <w:tcW w:w="1559" w:type="dxa"/>
            <w:vAlign w:val="center"/>
          </w:tcPr>
          <w:p>
            <w:pPr>
              <w:pStyle w:val="10"/>
            </w:pPr>
            <w:r>
              <w:t>普法宣传</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2040607</w:t>
            </w:r>
          </w:p>
        </w:tc>
        <w:tc>
          <w:tcPr>
            <w:tcW w:w="1559" w:type="dxa"/>
            <w:vAlign w:val="center"/>
          </w:tcPr>
          <w:p>
            <w:pPr>
              <w:pStyle w:val="10"/>
            </w:pPr>
            <w:r>
              <w:t>法律援助</w:t>
            </w:r>
          </w:p>
        </w:tc>
        <w:tc>
          <w:tcPr>
            <w:tcW w:w="1134" w:type="dxa"/>
            <w:vAlign w:val="center"/>
          </w:tcPr>
          <w:p>
            <w:pPr>
              <w:pStyle w:val="9"/>
            </w:pPr>
            <w:r>
              <w:t>11.00</w:t>
            </w:r>
          </w:p>
        </w:tc>
        <w:tc>
          <w:tcPr>
            <w:tcW w:w="1134" w:type="dxa"/>
            <w:vAlign w:val="center"/>
          </w:tcPr>
          <w:p>
            <w:pPr>
              <w:pStyle w:val="9"/>
            </w:pPr>
            <w:r>
              <w:t>11.00</w:t>
            </w:r>
          </w:p>
        </w:tc>
        <w:tc>
          <w:tcPr>
            <w:tcW w:w="1134" w:type="dxa"/>
            <w:vAlign w:val="center"/>
          </w:tcPr>
          <w:p>
            <w:pPr>
              <w:pStyle w:val="9"/>
            </w:pPr>
            <w:r>
              <w:t>11.00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2040610</w:t>
            </w:r>
          </w:p>
        </w:tc>
        <w:tc>
          <w:tcPr>
            <w:tcW w:w="1559" w:type="dxa"/>
            <w:vAlign w:val="center"/>
          </w:tcPr>
          <w:p>
            <w:pPr>
              <w:pStyle w:val="10"/>
            </w:pPr>
            <w:r>
              <w:t>社区矫正</w:t>
            </w:r>
          </w:p>
        </w:tc>
        <w:tc>
          <w:tcPr>
            <w:tcW w:w="1134" w:type="dxa"/>
            <w:vAlign w:val="center"/>
          </w:tcPr>
          <w:p>
            <w:pPr>
              <w:pStyle w:val="9"/>
            </w:pPr>
            <w:r>
              <w:t>8.56</w:t>
            </w:r>
          </w:p>
        </w:tc>
        <w:tc>
          <w:tcPr>
            <w:tcW w:w="1134" w:type="dxa"/>
            <w:vAlign w:val="center"/>
          </w:tcPr>
          <w:p>
            <w:pPr>
              <w:pStyle w:val="9"/>
            </w:pPr>
            <w:r>
              <w:t>8.56</w:t>
            </w:r>
          </w:p>
        </w:tc>
        <w:tc>
          <w:tcPr>
            <w:tcW w:w="1134" w:type="dxa"/>
            <w:vAlign w:val="center"/>
          </w:tcPr>
          <w:p>
            <w:pPr>
              <w:pStyle w:val="9"/>
            </w:pPr>
            <w:r>
              <w:t>8.56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2040612</w:t>
            </w:r>
          </w:p>
        </w:tc>
        <w:tc>
          <w:tcPr>
            <w:tcW w:w="1559" w:type="dxa"/>
            <w:vAlign w:val="center"/>
          </w:tcPr>
          <w:p>
            <w:pPr>
              <w:pStyle w:val="10"/>
            </w:pPr>
            <w:r>
              <w:t>法治建设</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2040699</w:t>
            </w:r>
          </w:p>
        </w:tc>
        <w:tc>
          <w:tcPr>
            <w:tcW w:w="1559" w:type="dxa"/>
            <w:vAlign w:val="center"/>
          </w:tcPr>
          <w:p>
            <w:pPr>
              <w:pStyle w:val="10"/>
            </w:pPr>
            <w:r>
              <w:t>其他司法支出</w:t>
            </w:r>
          </w:p>
        </w:tc>
        <w:tc>
          <w:tcPr>
            <w:tcW w:w="1134" w:type="dxa"/>
            <w:vAlign w:val="center"/>
          </w:tcPr>
          <w:p>
            <w:pPr>
              <w:pStyle w:val="9"/>
            </w:pPr>
            <w:r>
              <w:t>60.00</w:t>
            </w:r>
          </w:p>
        </w:tc>
        <w:tc>
          <w:tcPr>
            <w:tcW w:w="1134" w:type="dxa"/>
            <w:vAlign w:val="center"/>
          </w:tcPr>
          <w:p>
            <w:pPr>
              <w:pStyle w:val="9"/>
            </w:pPr>
            <w:r>
              <w:t>60.00</w:t>
            </w:r>
          </w:p>
        </w:tc>
        <w:tc>
          <w:tcPr>
            <w:tcW w:w="1134" w:type="dxa"/>
            <w:vAlign w:val="center"/>
          </w:tcPr>
          <w:p>
            <w:pPr>
              <w:pStyle w:val="9"/>
            </w:pPr>
            <w:r>
              <w:t>60.00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84.00</w:t>
            </w:r>
          </w:p>
        </w:tc>
        <w:tc>
          <w:tcPr>
            <w:tcW w:w="1134" w:type="dxa"/>
            <w:vAlign w:val="center"/>
          </w:tcPr>
          <w:p>
            <w:pPr>
              <w:pStyle w:val="9"/>
            </w:pPr>
            <w:r>
              <w:t>84.00</w:t>
            </w:r>
          </w:p>
        </w:tc>
        <w:tc>
          <w:tcPr>
            <w:tcW w:w="1134" w:type="dxa"/>
            <w:vAlign w:val="center"/>
          </w:tcPr>
          <w:p>
            <w:pPr>
              <w:pStyle w:val="9"/>
            </w:pPr>
            <w:r>
              <w:t>84.00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84.00</w:t>
            </w:r>
          </w:p>
        </w:tc>
        <w:tc>
          <w:tcPr>
            <w:tcW w:w="1134" w:type="dxa"/>
            <w:vAlign w:val="center"/>
          </w:tcPr>
          <w:p>
            <w:pPr>
              <w:pStyle w:val="9"/>
            </w:pPr>
            <w:r>
              <w:t>84.00</w:t>
            </w:r>
          </w:p>
        </w:tc>
        <w:tc>
          <w:tcPr>
            <w:tcW w:w="1134" w:type="dxa"/>
            <w:vAlign w:val="center"/>
          </w:tcPr>
          <w:p>
            <w:pPr>
              <w:pStyle w:val="9"/>
            </w:pPr>
            <w:r>
              <w:t>84.00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74.00</w:t>
            </w:r>
          </w:p>
        </w:tc>
        <w:tc>
          <w:tcPr>
            <w:tcW w:w="1134" w:type="dxa"/>
            <w:vAlign w:val="center"/>
          </w:tcPr>
          <w:p>
            <w:pPr>
              <w:pStyle w:val="9"/>
            </w:pPr>
            <w:r>
              <w:t>74.00</w:t>
            </w:r>
          </w:p>
        </w:tc>
        <w:tc>
          <w:tcPr>
            <w:tcW w:w="1134" w:type="dxa"/>
            <w:vAlign w:val="center"/>
          </w:tcPr>
          <w:p>
            <w:pPr>
              <w:pStyle w:val="9"/>
            </w:pPr>
            <w:r>
              <w:t>74.00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90.00</w:t>
            </w:r>
          </w:p>
        </w:tc>
        <w:tc>
          <w:tcPr>
            <w:tcW w:w="1134" w:type="dxa"/>
            <w:vAlign w:val="center"/>
          </w:tcPr>
          <w:p>
            <w:pPr>
              <w:pStyle w:val="9"/>
            </w:pPr>
            <w:r>
              <w:t>90.00</w:t>
            </w:r>
          </w:p>
        </w:tc>
        <w:tc>
          <w:tcPr>
            <w:tcW w:w="1134" w:type="dxa"/>
            <w:vAlign w:val="center"/>
          </w:tcPr>
          <w:p>
            <w:pPr>
              <w:pStyle w:val="9"/>
            </w:pPr>
            <w:r>
              <w:t>90.00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90.00</w:t>
            </w:r>
          </w:p>
        </w:tc>
        <w:tc>
          <w:tcPr>
            <w:tcW w:w="1134" w:type="dxa"/>
            <w:vAlign w:val="center"/>
          </w:tcPr>
          <w:p>
            <w:pPr>
              <w:pStyle w:val="9"/>
            </w:pPr>
            <w:r>
              <w:t>90.00</w:t>
            </w:r>
          </w:p>
        </w:tc>
        <w:tc>
          <w:tcPr>
            <w:tcW w:w="1134" w:type="dxa"/>
            <w:vAlign w:val="center"/>
          </w:tcPr>
          <w:p>
            <w:pPr>
              <w:pStyle w:val="9"/>
            </w:pPr>
            <w:r>
              <w:t>90.00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55.44</w:t>
            </w:r>
          </w:p>
        </w:tc>
        <w:tc>
          <w:tcPr>
            <w:tcW w:w="1134" w:type="dxa"/>
            <w:vAlign w:val="center"/>
          </w:tcPr>
          <w:p>
            <w:pPr>
              <w:pStyle w:val="9"/>
            </w:pPr>
            <w:r>
              <w:t>55.44</w:t>
            </w:r>
          </w:p>
        </w:tc>
        <w:tc>
          <w:tcPr>
            <w:tcW w:w="1134" w:type="dxa"/>
            <w:vAlign w:val="center"/>
          </w:tcPr>
          <w:p>
            <w:pPr>
              <w:pStyle w:val="9"/>
            </w:pPr>
            <w:r>
              <w:t>55.44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55.44</w:t>
            </w:r>
          </w:p>
        </w:tc>
        <w:tc>
          <w:tcPr>
            <w:tcW w:w="1134" w:type="dxa"/>
            <w:vAlign w:val="center"/>
          </w:tcPr>
          <w:p>
            <w:pPr>
              <w:pStyle w:val="9"/>
            </w:pPr>
            <w:r>
              <w:t>55.44</w:t>
            </w:r>
          </w:p>
        </w:tc>
        <w:tc>
          <w:tcPr>
            <w:tcW w:w="1134" w:type="dxa"/>
            <w:vAlign w:val="center"/>
          </w:tcPr>
          <w:p>
            <w:pPr>
              <w:pStyle w:val="9"/>
            </w:pPr>
            <w:r>
              <w:t>55.44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55.44</w:t>
            </w:r>
          </w:p>
        </w:tc>
        <w:tc>
          <w:tcPr>
            <w:tcW w:w="1134" w:type="dxa"/>
            <w:vAlign w:val="center"/>
          </w:tcPr>
          <w:p>
            <w:pPr>
              <w:pStyle w:val="9"/>
            </w:pPr>
            <w:r>
              <w:t>55.44</w:t>
            </w:r>
          </w:p>
        </w:tc>
        <w:tc>
          <w:tcPr>
            <w:tcW w:w="1134" w:type="dxa"/>
            <w:vAlign w:val="center"/>
          </w:tcPr>
          <w:p>
            <w:pPr>
              <w:pStyle w:val="9"/>
            </w:pPr>
            <w:r>
              <w:t>55.44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315司法</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902.61</w:t>
            </w:r>
          </w:p>
        </w:tc>
        <w:tc>
          <w:tcPr>
            <w:tcW w:w="1361" w:type="dxa"/>
            <w:vAlign w:val="center"/>
          </w:tcPr>
          <w:p>
            <w:pPr>
              <w:pStyle w:val="13"/>
            </w:pPr>
            <w:r>
              <w:t>780.55</w:t>
            </w:r>
          </w:p>
        </w:tc>
        <w:tc>
          <w:tcPr>
            <w:tcW w:w="1361" w:type="dxa"/>
            <w:vAlign w:val="center"/>
          </w:tcPr>
          <w:p>
            <w:pPr>
              <w:pStyle w:val="13"/>
            </w:pPr>
            <w:r>
              <w:t>122.06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204</w:t>
            </w:r>
          </w:p>
        </w:tc>
        <w:tc>
          <w:tcPr>
            <w:tcW w:w="4535" w:type="dxa"/>
            <w:vAlign w:val="center"/>
          </w:tcPr>
          <w:p>
            <w:pPr>
              <w:pStyle w:val="10"/>
            </w:pPr>
            <w:r>
              <w:t>公共安全支出</w:t>
            </w:r>
          </w:p>
        </w:tc>
        <w:tc>
          <w:tcPr>
            <w:tcW w:w="1361" w:type="dxa"/>
            <w:vAlign w:val="center"/>
          </w:tcPr>
          <w:p>
            <w:pPr>
              <w:pStyle w:val="9"/>
            </w:pPr>
            <w:r>
              <w:t>673.17</w:t>
            </w:r>
          </w:p>
        </w:tc>
        <w:tc>
          <w:tcPr>
            <w:tcW w:w="1361" w:type="dxa"/>
            <w:vAlign w:val="center"/>
          </w:tcPr>
          <w:p>
            <w:pPr>
              <w:pStyle w:val="9"/>
            </w:pPr>
            <w:r>
              <w:t>551.11</w:t>
            </w:r>
          </w:p>
        </w:tc>
        <w:tc>
          <w:tcPr>
            <w:tcW w:w="1361" w:type="dxa"/>
            <w:vAlign w:val="center"/>
          </w:tcPr>
          <w:p>
            <w:pPr>
              <w:pStyle w:val="9"/>
            </w:pPr>
            <w:r>
              <w:t>122.06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20406</w:t>
            </w:r>
          </w:p>
        </w:tc>
        <w:tc>
          <w:tcPr>
            <w:tcW w:w="4535" w:type="dxa"/>
            <w:vAlign w:val="center"/>
          </w:tcPr>
          <w:p>
            <w:pPr>
              <w:pStyle w:val="10"/>
            </w:pPr>
            <w:r>
              <w:t>司法</w:t>
            </w:r>
          </w:p>
        </w:tc>
        <w:tc>
          <w:tcPr>
            <w:tcW w:w="1361" w:type="dxa"/>
            <w:vAlign w:val="center"/>
          </w:tcPr>
          <w:p>
            <w:pPr>
              <w:pStyle w:val="9"/>
            </w:pPr>
            <w:r>
              <w:t>673.17</w:t>
            </w:r>
          </w:p>
        </w:tc>
        <w:tc>
          <w:tcPr>
            <w:tcW w:w="1361" w:type="dxa"/>
            <w:vAlign w:val="center"/>
          </w:tcPr>
          <w:p>
            <w:pPr>
              <w:pStyle w:val="9"/>
            </w:pPr>
            <w:r>
              <w:t>551.11</w:t>
            </w:r>
          </w:p>
        </w:tc>
        <w:tc>
          <w:tcPr>
            <w:tcW w:w="1361" w:type="dxa"/>
            <w:vAlign w:val="center"/>
          </w:tcPr>
          <w:p>
            <w:pPr>
              <w:pStyle w:val="9"/>
            </w:pPr>
            <w:r>
              <w:t>122.06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2040601</w:t>
            </w:r>
          </w:p>
        </w:tc>
        <w:tc>
          <w:tcPr>
            <w:tcW w:w="4535" w:type="dxa"/>
            <w:vAlign w:val="center"/>
          </w:tcPr>
          <w:p>
            <w:pPr>
              <w:pStyle w:val="10"/>
            </w:pPr>
            <w:r>
              <w:t>行政运行</w:t>
            </w:r>
          </w:p>
        </w:tc>
        <w:tc>
          <w:tcPr>
            <w:tcW w:w="1361" w:type="dxa"/>
            <w:vAlign w:val="center"/>
          </w:tcPr>
          <w:p>
            <w:pPr>
              <w:pStyle w:val="9"/>
            </w:pPr>
            <w:r>
              <w:t>551.11</w:t>
            </w:r>
          </w:p>
        </w:tc>
        <w:tc>
          <w:tcPr>
            <w:tcW w:w="1361" w:type="dxa"/>
            <w:vAlign w:val="center"/>
          </w:tcPr>
          <w:p>
            <w:pPr>
              <w:pStyle w:val="9"/>
            </w:pPr>
            <w:r>
              <w:t>551.11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2040604</w:t>
            </w:r>
          </w:p>
        </w:tc>
        <w:tc>
          <w:tcPr>
            <w:tcW w:w="4535" w:type="dxa"/>
            <w:vAlign w:val="center"/>
          </w:tcPr>
          <w:p>
            <w:pPr>
              <w:pStyle w:val="10"/>
            </w:pPr>
            <w:r>
              <w:t>基层司法业务</w:t>
            </w:r>
          </w:p>
        </w:tc>
        <w:tc>
          <w:tcPr>
            <w:tcW w:w="1361" w:type="dxa"/>
            <w:vAlign w:val="center"/>
          </w:tcPr>
          <w:p>
            <w:pPr>
              <w:pStyle w:val="9"/>
            </w:pPr>
            <w:r>
              <w:t>29.50</w:t>
            </w:r>
          </w:p>
        </w:tc>
        <w:tc>
          <w:tcPr>
            <w:tcW w:w="1361" w:type="dxa"/>
            <w:vAlign w:val="center"/>
          </w:tcPr>
          <w:p>
            <w:pPr>
              <w:pStyle w:val="9"/>
            </w:pPr>
          </w:p>
        </w:tc>
        <w:tc>
          <w:tcPr>
            <w:tcW w:w="1361" w:type="dxa"/>
            <w:vAlign w:val="center"/>
          </w:tcPr>
          <w:p>
            <w:pPr>
              <w:pStyle w:val="9"/>
            </w:pPr>
            <w:r>
              <w:t>29.50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2040605</w:t>
            </w:r>
          </w:p>
        </w:tc>
        <w:tc>
          <w:tcPr>
            <w:tcW w:w="4535" w:type="dxa"/>
            <w:vAlign w:val="center"/>
          </w:tcPr>
          <w:p>
            <w:pPr>
              <w:pStyle w:val="10"/>
            </w:pPr>
            <w:r>
              <w:t>普法宣传</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2040607</w:t>
            </w:r>
          </w:p>
        </w:tc>
        <w:tc>
          <w:tcPr>
            <w:tcW w:w="4535" w:type="dxa"/>
            <w:vAlign w:val="center"/>
          </w:tcPr>
          <w:p>
            <w:pPr>
              <w:pStyle w:val="10"/>
            </w:pPr>
            <w:r>
              <w:t>法律援助</w:t>
            </w:r>
          </w:p>
        </w:tc>
        <w:tc>
          <w:tcPr>
            <w:tcW w:w="1361" w:type="dxa"/>
            <w:vAlign w:val="center"/>
          </w:tcPr>
          <w:p>
            <w:pPr>
              <w:pStyle w:val="9"/>
            </w:pPr>
            <w:r>
              <w:t>11.00</w:t>
            </w:r>
          </w:p>
        </w:tc>
        <w:tc>
          <w:tcPr>
            <w:tcW w:w="1361" w:type="dxa"/>
            <w:vAlign w:val="center"/>
          </w:tcPr>
          <w:p>
            <w:pPr>
              <w:pStyle w:val="9"/>
            </w:pPr>
          </w:p>
        </w:tc>
        <w:tc>
          <w:tcPr>
            <w:tcW w:w="1361" w:type="dxa"/>
            <w:vAlign w:val="center"/>
          </w:tcPr>
          <w:p>
            <w:pPr>
              <w:pStyle w:val="9"/>
            </w:pPr>
            <w:r>
              <w:t>11.00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2040610</w:t>
            </w:r>
          </w:p>
        </w:tc>
        <w:tc>
          <w:tcPr>
            <w:tcW w:w="4535" w:type="dxa"/>
            <w:vAlign w:val="center"/>
          </w:tcPr>
          <w:p>
            <w:pPr>
              <w:pStyle w:val="10"/>
            </w:pPr>
            <w:r>
              <w:t>社区矫正</w:t>
            </w:r>
          </w:p>
        </w:tc>
        <w:tc>
          <w:tcPr>
            <w:tcW w:w="1361" w:type="dxa"/>
            <w:vAlign w:val="center"/>
          </w:tcPr>
          <w:p>
            <w:pPr>
              <w:pStyle w:val="9"/>
            </w:pPr>
            <w:r>
              <w:t>8.56</w:t>
            </w:r>
          </w:p>
        </w:tc>
        <w:tc>
          <w:tcPr>
            <w:tcW w:w="1361" w:type="dxa"/>
            <w:vAlign w:val="center"/>
          </w:tcPr>
          <w:p>
            <w:pPr>
              <w:pStyle w:val="9"/>
            </w:pPr>
          </w:p>
        </w:tc>
        <w:tc>
          <w:tcPr>
            <w:tcW w:w="1361" w:type="dxa"/>
            <w:vAlign w:val="center"/>
          </w:tcPr>
          <w:p>
            <w:pPr>
              <w:pStyle w:val="9"/>
            </w:pPr>
            <w:r>
              <w:t>8.56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2040612</w:t>
            </w:r>
          </w:p>
        </w:tc>
        <w:tc>
          <w:tcPr>
            <w:tcW w:w="4535" w:type="dxa"/>
            <w:vAlign w:val="center"/>
          </w:tcPr>
          <w:p>
            <w:pPr>
              <w:pStyle w:val="10"/>
            </w:pPr>
            <w:r>
              <w:t>法治建设</w:t>
            </w: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2040699</w:t>
            </w:r>
          </w:p>
        </w:tc>
        <w:tc>
          <w:tcPr>
            <w:tcW w:w="4535" w:type="dxa"/>
            <w:vAlign w:val="center"/>
          </w:tcPr>
          <w:p>
            <w:pPr>
              <w:pStyle w:val="10"/>
            </w:pPr>
            <w:r>
              <w:t>其他司法支出</w:t>
            </w:r>
          </w:p>
        </w:tc>
        <w:tc>
          <w:tcPr>
            <w:tcW w:w="1361" w:type="dxa"/>
            <w:vAlign w:val="center"/>
          </w:tcPr>
          <w:p>
            <w:pPr>
              <w:pStyle w:val="9"/>
            </w:pPr>
            <w:r>
              <w:t>60.00</w:t>
            </w:r>
          </w:p>
        </w:tc>
        <w:tc>
          <w:tcPr>
            <w:tcW w:w="1361" w:type="dxa"/>
            <w:vAlign w:val="center"/>
          </w:tcPr>
          <w:p>
            <w:pPr>
              <w:pStyle w:val="9"/>
            </w:pPr>
          </w:p>
        </w:tc>
        <w:tc>
          <w:tcPr>
            <w:tcW w:w="1361" w:type="dxa"/>
            <w:vAlign w:val="center"/>
          </w:tcPr>
          <w:p>
            <w:pPr>
              <w:pStyle w:val="9"/>
            </w:pPr>
            <w:r>
              <w:t>60.00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84.00</w:t>
            </w:r>
          </w:p>
        </w:tc>
        <w:tc>
          <w:tcPr>
            <w:tcW w:w="1361" w:type="dxa"/>
            <w:vAlign w:val="center"/>
          </w:tcPr>
          <w:p>
            <w:pPr>
              <w:pStyle w:val="9"/>
            </w:pPr>
            <w:r>
              <w:t>84.00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84.00</w:t>
            </w:r>
          </w:p>
        </w:tc>
        <w:tc>
          <w:tcPr>
            <w:tcW w:w="1361" w:type="dxa"/>
            <w:vAlign w:val="center"/>
          </w:tcPr>
          <w:p>
            <w:pPr>
              <w:pStyle w:val="9"/>
            </w:pPr>
            <w:r>
              <w:t>84.00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74.00</w:t>
            </w:r>
          </w:p>
        </w:tc>
        <w:tc>
          <w:tcPr>
            <w:tcW w:w="1361" w:type="dxa"/>
            <w:vAlign w:val="center"/>
          </w:tcPr>
          <w:p>
            <w:pPr>
              <w:pStyle w:val="9"/>
            </w:pPr>
            <w:r>
              <w:t>74.00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10.00</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90.00</w:t>
            </w:r>
          </w:p>
        </w:tc>
        <w:tc>
          <w:tcPr>
            <w:tcW w:w="1361" w:type="dxa"/>
            <w:vAlign w:val="center"/>
          </w:tcPr>
          <w:p>
            <w:pPr>
              <w:pStyle w:val="9"/>
            </w:pPr>
            <w:r>
              <w:t>90.00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90.00</w:t>
            </w:r>
          </w:p>
        </w:tc>
        <w:tc>
          <w:tcPr>
            <w:tcW w:w="1361" w:type="dxa"/>
            <w:vAlign w:val="center"/>
          </w:tcPr>
          <w:p>
            <w:pPr>
              <w:pStyle w:val="9"/>
            </w:pPr>
            <w:r>
              <w:t>90.00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40.00</w:t>
            </w: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50.00</w:t>
            </w:r>
          </w:p>
        </w:tc>
        <w:tc>
          <w:tcPr>
            <w:tcW w:w="1361" w:type="dxa"/>
            <w:vAlign w:val="center"/>
          </w:tcPr>
          <w:p>
            <w:pPr>
              <w:pStyle w:val="9"/>
            </w:pPr>
            <w:r>
              <w:t>50.00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55.44</w:t>
            </w:r>
          </w:p>
        </w:tc>
        <w:tc>
          <w:tcPr>
            <w:tcW w:w="1361" w:type="dxa"/>
            <w:vAlign w:val="center"/>
          </w:tcPr>
          <w:p>
            <w:pPr>
              <w:pStyle w:val="9"/>
            </w:pPr>
            <w:r>
              <w:t>55.44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55.44</w:t>
            </w:r>
          </w:p>
        </w:tc>
        <w:tc>
          <w:tcPr>
            <w:tcW w:w="1361" w:type="dxa"/>
            <w:vAlign w:val="center"/>
          </w:tcPr>
          <w:p>
            <w:pPr>
              <w:pStyle w:val="9"/>
            </w:pPr>
            <w:r>
              <w:t>55.44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55.44</w:t>
            </w:r>
          </w:p>
        </w:tc>
        <w:tc>
          <w:tcPr>
            <w:tcW w:w="1361" w:type="dxa"/>
            <w:vAlign w:val="center"/>
          </w:tcPr>
          <w:p>
            <w:pPr>
              <w:pStyle w:val="9"/>
            </w:pPr>
            <w:r>
              <w:t>55.44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315司法</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902.61</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r>
              <w:t>673.17</w:t>
            </w:r>
          </w:p>
        </w:tc>
        <w:tc>
          <w:tcPr>
            <w:tcW w:w="1474" w:type="dxa"/>
            <w:vAlign w:val="center"/>
          </w:tcPr>
          <w:p>
            <w:pPr>
              <w:pStyle w:val="9"/>
            </w:pPr>
            <w:r>
              <w:t>673.17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84.00</w:t>
            </w:r>
          </w:p>
        </w:tc>
        <w:tc>
          <w:tcPr>
            <w:tcW w:w="1474" w:type="dxa"/>
            <w:vAlign w:val="center"/>
          </w:tcPr>
          <w:p>
            <w:pPr>
              <w:pStyle w:val="9"/>
            </w:pPr>
            <w:r>
              <w:t>84.00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90.00</w:t>
            </w:r>
          </w:p>
        </w:tc>
        <w:tc>
          <w:tcPr>
            <w:tcW w:w="1474" w:type="dxa"/>
            <w:vAlign w:val="center"/>
          </w:tcPr>
          <w:p>
            <w:pPr>
              <w:pStyle w:val="9"/>
            </w:pPr>
            <w:r>
              <w:t>90.00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55.44</w:t>
            </w:r>
          </w:p>
        </w:tc>
        <w:tc>
          <w:tcPr>
            <w:tcW w:w="1474" w:type="dxa"/>
            <w:vAlign w:val="center"/>
          </w:tcPr>
          <w:p>
            <w:pPr>
              <w:pStyle w:val="9"/>
            </w:pPr>
            <w:r>
              <w:t>55.44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902.61</w:t>
            </w:r>
          </w:p>
        </w:tc>
        <w:tc>
          <w:tcPr>
            <w:tcW w:w="3402" w:type="dxa"/>
            <w:vAlign w:val="center"/>
          </w:tcPr>
          <w:p>
            <w:pPr>
              <w:pStyle w:val="12"/>
            </w:pPr>
            <w:r>
              <w:t>本年支出合计</w:t>
            </w:r>
          </w:p>
        </w:tc>
        <w:tc>
          <w:tcPr>
            <w:tcW w:w="1474" w:type="dxa"/>
            <w:vAlign w:val="center"/>
          </w:tcPr>
          <w:p>
            <w:pPr>
              <w:pStyle w:val="13"/>
            </w:pPr>
            <w:r>
              <w:t>902.61</w:t>
            </w:r>
          </w:p>
        </w:tc>
        <w:tc>
          <w:tcPr>
            <w:tcW w:w="1474" w:type="dxa"/>
            <w:vAlign w:val="center"/>
          </w:tcPr>
          <w:p>
            <w:pPr>
              <w:pStyle w:val="13"/>
            </w:pPr>
            <w:r>
              <w:t>902.61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902.61</w:t>
            </w:r>
          </w:p>
        </w:tc>
        <w:tc>
          <w:tcPr>
            <w:tcW w:w="3402" w:type="dxa"/>
            <w:vAlign w:val="center"/>
          </w:tcPr>
          <w:p>
            <w:pPr>
              <w:pStyle w:val="12"/>
            </w:pPr>
            <w:r>
              <w:t>支出总计</w:t>
            </w:r>
          </w:p>
        </w:tc>
        <w:tc>
          <w:tcPr>
            <w:tcW w:w="1474" w:type="dxa"/>
            <w:vAlign w:val="center"/>
          </w:tcPr>
          <w:p>
            <w:pPr>
              <w:pStyle w:val="13"/>
            </w:pPr>
            <w:r>
              <w:t>902.61</w:t>
            </w:r>
          </w:p>
        </w:tc>
        <w:tc>
          <w:tcPr>
            <w:tcW w:w="1474" w:type="dxa"/>
            <w:vAlign w:val="center"/>
          </w:tcPr>
          <w:p>
            <w:pPr>
              <w:pStyle w:val="13"/>
            </w:pPr>
            <w:r>
              <w:t>902.61</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315司法</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902.61</w:t>
            </w:r>
          </w:p>
        </w:tc>
        <w:tc>
          <w:tcPr>
            <w:tcW w:w="2551" w:type="dxa"/>
            <w:vAlign w:val="center"/>
          </w:tcPr>
          <w:p>
            <w:pPr>
              <w:pStyle w:val="13"/>
            </w:pPr>
            <w:r>
              <w:t>780.55</w:t>
            </w:r>
          </w:p>
        </w:tc>
        <w:tc>
          <w:tcPr>
            <w:tcW w:w="2551" w:type="dxa"/>
            <w:vAlign w:val="center"/>
          </w:tcPr>
          <w:p>
            <w:pPr>
              <w:pStyle w:val="13"/>
            </w:pPr>
            <w:r>
              <w:t>122.06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9"/>
            </w:pPr>
            <w:r>
              <w:t>673.17</w:t>
            </w:r>
          </w:p>
        </w:tc>
        <w:tc>
          <w:tcPr>
            <w:tcW w:w="2551" w:type="dxa"/>
            <w:vAlign w:val="center"/>
          </w:tcPr>
          <w:p>
            <w:pPr>
              <w:pStyle w:val="9"/>
            </w:pPr>
            <w:r>
              <w:t>551.11</w:t>
            </w:r>
          </w:p>
        </w:tc>
        <w:tc>
          <w:tcPr>
            <w:tcW w:w="2551" w:type="dxa"/>
            <w:vAlign w:val="center"/>
          </w:tcPr>
          <w:p>
            <w:pPr>
              <w:pStyle w:val="9"/>
            </w:pPr>
            <w:r>
              <w:t>122.06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20406</w:t>
            </w:r>
          </w:p>
        </w:tc>
        <w:tc>
          <w:tcPr>
            <w:tcW w:w="4535" w:type="dxa"/>
            <w:vAlign w:val="center"/>
          </w:tcPr>
          <w:p>
            <w:pPr>
              <w:pStyle w:val="10"/>
            </w:pPr>
            <w:r>
              <w:t>司法</w:t>
            </w:r>
          </w:p>
        </w:tc>
        <w:tc>
          <w:tcPr>
            <w:tcW w:w="2551" w:type="dxa"/>
            <w:vAlign w:val="center"/>
          </w:tcPr>
          <w:p>
            <w:pPr>
              <w:pStyle w:val="9"/>
            </w:pPr>
            <w:r>
              <w:t>673.17</w:t>
            </w:r>
          </w:p>
        </w:tc>
        <w:tc>
          <w:tcPr>
            <w:tcW w:w="2551" w:type="dxa"/>
            <w:vAlign w:val="center"/>
          </w:tcPr>
          <w:p>
            <w:pPr>
              <w:pStyle w:val="9"/>
            </w:pPr>
            <w:r>
              <w:t>551.11</w:t>
            </w:r>
          </w:p>
        </w:tc>
        <w:tc>
          <w:tcPr>
            <w:tcW w:w="2551" w:type="dxa"/>
            <w:vAlign w:val="center"/>
          </w:tcPr>
          <w:p>
            <w:pPr>
              <w:pStyle w:val="9"/>
            </w:pPr>
            <w:r>
              <w:t>122.06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2040601</w:t>
            </w:r>
          </w:p>
        </w:tc>
        <w:tc>
          <w:tcPr>
            <w:tcW w:w="4535" w:type="dxa"/>
            <w:vAlign w:val="center"/>
          </w:tcPr>
          <w:p>
            <w:pPr>
              <w:pStyle w:val="10"/>
            </w:pPr>
            <w:r>
              <w:t>行政运行</w:t>
            </w:r>
          </w:p>
        </w:tc>
        <w:tc>
          <w:tcPr>
            <w:tcW w:w="2551" w:type="dxa"/>
            <w:vAlign w:val="center"/>
          </w:tcPr>
          <w:p>
            <w:pPr>
              <w:pStyle w:val="9"/>
            </w:pPr>
            <w:r>
              <w:t>551.11</w:t>
            </w:r>
          </w:p>
        </w:tc>
        <w:tc>
          <w:tcPr>
            <w:tcW w:w="2551" w:type="dxa"/>
            <w:vAlign w:val="center"/>
          </w:tcPr>
          <w:p>
            <w:pPr>
              <w:pStyle w:val="9"/>
            </w:pPr>
            <w:r>
              <w:t>551.11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2040604</w:t>
            </w:r>
          </w:p>
        </w:tc>
        <w:tc>
          <w:tcPr>
            <w:tcW w:w="4535" w:type="dxa"/>
            <w:vAlign w:val="center"/>
          </w:tcPr>
          <w:p>
            <w:pPr>
              <w:pStyle w:val="10"/>
            </w:pPr>
            <w:r>
              <w:t>基层司法业务</w:t>
            </w:r>
          </w:p>
        </w:tc>
        <w:tc>
          <w:tcPr>
            <w:tcW w:w="2551" w:type="dxa"/>
            <w:vAlign w:val="center"/>
          </w:tcPr>
          <w:p>
            <w:pPr>
              <w:pStyle w:val="9"/>
            </w:pPr>
            <w:r>
              <w:t>29.50</w:t>
            </w:r>
          </w:p>
        </w:tc>
        <w:tc>
          <w:tcPr>
            <w:tcW w:w="2551" w:type="dxa"/>
            <w:vAlign w:val="center"/>
          </w:tcPr>
          <w:p>
            <w:pPr>
              <w:pStyle w:val="9"/>
            </w:pPr>
          </w:p>
        </w:tc>
        <w:tc>
          <w:tcPr>
            <w:tcW w:w="2551" w:type="dxa"/>
            <w:vAlign w:val="center"/>
          </w:tcPr>
          <w:p>
            <w:pPr>
              <w:pStyle w:val="9"/>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2040605</w:t>
            </w:r>
          </w:p>
        </w:tc>
        <w:tc>
          <w:tcPr>
            <w:tcW w:w="4535" w:type="dxa"/>
            <w:vAlign w:val="center"/>
          </w:tcPr>
          <w:p>
            <w:pPr>
              <w:pStyle w:val="10"/>
            </w:pPr>
            <w:r>
              <w:t>普法宣传</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2040607</w:t>
            </w:r>
          </w:p>
        </w:tc>
        <w:tc>
          <w:tcPr>
            <w:tcW w:w="4535" w:type="dxa"/>
            <w:vAlign w:val="center"/>
          </w:tcPr>
          <w:p>
            <w:pPr>
              <w:pStyle w:val="10"/>
            </w:pPr>
            <w:r>
              <w:t>法律援助</w:t>
            </w:r>
          </w:p>
        </w:tc>
        <w:tc>
          <w:tcPr>
            <w:tcW w:w="2551" w:type="dxa"/>
            <w:vAlign w:val="center"/>
          </w:tcPr>
          <w:p>
            <w:pPr>
              <w:pStyle w:val="9"/>
            </w:pPr>
            <w:r>
              <w:t>11.00</w:t>
            </w:r>
          </w:p>
        </w:tc>
        <w:tc>
          <w:tcPr>
            <w:tcW w:w="2551" w:type="dxa"/>
            <w:vAlign w:val="center"/>
          </w:tcPr>
          <w:p>
            <w:pPr>
              <w:pStyle w:val="9"/>
            </w:pPr>
          </w:p>
        </w:tc>
        <w:tc>
          <w:tcPr>
            <w:tcW w:w="2551" w:type="dxa"/>
            <w:vAlign w:val="center"/>
          </w:tcPr>
          <w:p>
            <w:pPr>
              <w:pStyle w:val="9"/>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2040610</w:t>
            </w:r>
          </w:p>
        </w:tc>
        <w:tc>
          <w:tcPr>
            <w:tcW w:w="4535" w:type="dxa"/>
            <w:vAlign w:val="center"/>
          </w:tcPr>
          <w:p>
            <w:pPr>
              <w:pStyle w:val="10"/>
            </w:pPr>
            <w:r>
              <w:t>社区矫正</w:t>
            </w:r>
          </w:p>
        </w:tc>
        <w:tc>
          <w:tcPr>
            <w:tcW w:w="2551" w:type="dxa"/>
            <w:vAlign w:val="center"/>
          </w:tcPr>
          <w:p>
            <w:pPr>
              <w:pStyle w:val="9"/>
            </w:pPr>
            <w:r>
              <w:t>8.56</w:t>
            </w:r>
          </w:p>
        </w:tc>
        <w:tc>
          <w:tcPr>
            <w:tcW w:w="2551" w:type="dxa"/>
            <w:vAlign w:val="center"/>
          </w:tcPr>
          <w:p>
            <w:pPr>
              <w:pStyle w:val="9"/>
            </w:pPr>
          </w:p>
        </w:tc>
        <w:tc>
          <w:tcPr>
            <w:tcW w:w="2551" w:type="dxa"/>
            <w:vAlign w:val="center"/>
          </w:tcPr>
          <w:p>
            <w:pPr>
              <w:pStyle w:val="9"/>
            </w:pPr>
            <w:r>
              <w:t>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2040612</w:t>
            </w:r>
          </w:p>
        </w:tc>
        <w:tc>
          <w:tcPr>
            <w:tcW w:w="4535" w:type="dxa"/>
            <w:vAlign w:val="center"/>
          </w:tcPr>
          <w:p>
            <w:pPr>
              <w:pStyle w:val="10"/>
            </w:pPr>
            <w:r>
              <w:t>法治建设</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2040699</w:t>
            </w:r>
          </w:p>
        </w:tc>
        <w:tc>
          <w:tcPr>
            <w:tcW w:w="4535" w:type="dxa"/>
            <w:vAlign w:val="center"/>
          </w:tcPr>
          <w:p>
            <w:pPr>
              <w:pStyle w:val="10"/>
            </w:pPr>
            <w:r>
              <w:t>其他司法支出</w:t>
            </w:r>
          </w:p>
        </w:tc>
        <w:tc>
          <w:tcPr>
            <w:tcW w:w="2551" w:type="dxa"/>
            <w:vAlign w:val="center"/>
          </w:tcPr>
          <w:p>
            <w:pPr>
              <w:pStyle w:val="9"/>
            </w:pPr>
            <w:r>
              <w:t>60.00</w:t>
            </w:r>
          </w:p>
        </w:tc>
        <w:tc>
          <w:tcPr>
            <w:tcW w:w="2551" w:type="dxa"/>
            <w:vAlign w:val="center"/>
          </w:tcPr>
          <w:p>
            <w:pPr>
              <w:pStyle w:val="9"/>
            </w:pPr>
          </w:p>
        </w:tc>
        <w:tc>
          <w:tcPr>
            <w:tcW w:w="2551" w:type="dxa"/>
            <w:vAlign w:val="center"/>
          </w:tcPr>
          <w:p>
            <w:pPr>
              <w:pStyle w:val="9"/>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84.00</w:t>
            </w:r>
          </w:p>
        </w:tc>
        <w:tc>
          <w:tcPr>
            <w:tcW w:w="2551" w:type="dxa"/>
            <w:vAlign w:val="center"/>
          </w:tcPr>
          <w:p>
            <w:pPr>
              <w:pStyle w:val="9"/>
            </w:pPr>
            <w:r>
              <w:t>84.00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84.00</w:t>
            </w:r>
          </w:p>
        </w:tc>
        <w:tc>
          <w:tcPr>
            <w:tcW w:w="2551" w:type="dxa"/>
            <w:vAlign w:val="center"/>
          </w:tcPr>
          <w:p>
            <w:pPr>
              <w:pStyle w:val="9"/>
            </w:pPr>
            <w:r>
              <w:t>84.00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74.00</w:t>
            </w:r>
          </w:p>
        </w:tc>
        <w:tc>
          <w:tcPr>
            <w:tcW w:w="2551" w:type="dxa"/>
            <w:vAlign w:val="center"/>
          </w:tcPr>
          <w:p>
            <w:pPr>
              <w:pStyle w:val="9"/>
            </w:pPr>
            <w:r>
              <w:t>74.00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10.00</w:t>
            </w:r>
          </w:p>
        </w:tc>
        <w:tc>
          <w:tcPr>
            <w:tcW w:w="2551" w:type="dxa"/>
            <w:vAlign w:val="center"/>
          </w:tcPr>
          <w:p>
            <w:pPr>
              <w:pStyle w:val="9"/>
            </w:pPr>
            <w:r>
              <w:t>10.00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90.00</w:t>
            </w:r>
          </w:p>
        </w:tc>
        <w:tc>
          <w:tcPr>
            <w:tcW w:w="2551" w:type="dxa"/>
            <w:vAlign w:val="center"/>
          </w:tcPr>
          <w:p>
            <w:pPr>
              <w:pStyle w:val="9"/>
            </w:pPr>
            <w:r>
              <w:t>90.00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90.00</w:t>
            </w:r>
          </w:p>
        </w:tc>
        <w:tc>
          <w:tcPr>
            <w:tcW w:w="2551" w:type="dxa"/>
            <w:vAlign w:val="center"/>
          </w:tcPr>
          <w:p>
            <w:pPr>
              <w:pStyle w:val="9"/>
            </w:pPr>
            <w:r>
              <w:t>90.00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40.00</w:t>
            </w:r>
          </w:p>
        </w:tc>
        <w:tc>
          <w:tcPr>
            <w:tcW w:w="2551" w:type="dxa"/>
            <w:vAlign w:val="center"/>
          </w:tcPr>
          <w:p>
            <w:pPr>
              <w:pStyle w:val="9"/>
            </w:pPr>
            <w:r>
              <w:t>40.00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50.00</w:t>
            </w:r>
          </w:p>
        </w:tc>
        <w:tc>
          <w:tcPr>
            <w:tcW w:w="2551" w:type="dxa"/>
            <w:vAlign w:val="center"/>
          </w:tcPr>
          <w:p>
            <w:pPr>
              <w:pStyle w:val="9"/>
            </w:pPr>
            <w:r>
              <w:t>50.00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55.44</w:t>
            </w:r>
          </w:p>
        </w:tc>
        <w:tc>
          <w:tcPr>
            <w:tcW w:w="2551" w:type="dxa"/>
            <w:vAlign w:val="center"/>
          </w:tcPr>
          <w:p>
            <w:pPr>
              <w:pStyle w:val="9"/>
            </w:pPr>
            <w:r>
              <w:t>55.44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55.44</w:t>
            </w:r>
          </w:p>
        </w:tc>
        <w:tc>
          <w:tcPr>
            <w:tcW w:w="2551" w:type="dxa"/>
            <w:vAlign w:val="center"/>
          </w:tcPr>
          <w:p>
            <w:pPr>
              <w:pStyle w:val="9"/>
            </w:pPr>
            <w:r>
              <w:t>55.44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55.44</w:t>
            </w:r>
          </w:p>
        </w:tc>
        <w:tc>
          <w:tcPr>
            <w:tcW w:w="2551" w:type="dxa"/>
            <w:vAlign w:val="center"/>
          </w:tcPr>
          <w:p>
            <w:pPr>
              <w:pStyle w:val="9"/>
            </w:pPr>
            <w:r>
              <w:t>55.44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315司法</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780.55</w:t>
            </w:r>
          </w:p>
        </w:tc>
        <w:tc>
          <w:tcPr>
            <w:tcW w:w="2551" w:type="dxa"/>
            <w:vAlign w:val="center"/>
          </w:tcPr>
          <w:p>
            <w:pPr>
              <w:pStyle w:val="13"/>
            </w:pPr>
            <w:r>
              <w:t>722.95</w:t>
            </w:r>
          </w:p>
        </w:tc>
        <w:tc>
          <w:tcPr>
            <w:tcW w:w="2551" w:type="dxa"/>
            <w:vAlign w:val="center"/>
          </w:tcPr>
          <w:p>
            <w:pPr>
              <w:pStyle w:val="13"/>
            </w:pPr>
            <w:r>
              <w:t>57.60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722.35</w:t>
            </w:r>
          </w:p>
        </w:tc>
        <w:tc>
          <w:tcPr>
            <w:tcW w:w="2551" w:type="dxa"/>
            <w:vAlign w:val="center"/>
          </w:tcPr>
          <w:p>
            <w:pPr>
              <w:pStyle w:val="9"/>
            </w:pPr>
            <w:r>
              <w:t>722.35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220.00</w:t>
            </w:r>
          </w:p>
        </w:tc>
        <w:tc>
          <w:tcPr>
            <w:tcW w:w="2551" w:type="dxa"/>
            <w:vAlign w:val="center"/>
          </w:tcPr>
          <w:p>
            <w:pPr>
              <w:pStyle w:val="9"/>
            </w:pPr>
            <w:r>
              <w:t>220.00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213.00</w:t>
            </w:r>
          </w:p>
        </w:tc>
        <w:tc>
          <w:tcPr>
            <w:tcW w:w="2551" w:type="dxa"/>
            <w:vAlign w:val="center"/>
          </w:tcPr>
          <w:p>
            <w:pPr>
              <w:pStyle w:val="9"/>
            </w:pPr>
            <w:r>
              <w:t>213.00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20.10</w:t>
            </w:r>
          </w:p>
        </w:tc>
        <w:tc>
          <w:tcPr>
            <w:tcW w:w="2551" w:type="dxa"/>
            <w:vAlign w:val="center"/>
          </w:tcPr>
          <w:p>
            <w:pPr>
              <w:pStyle w:val="9"/>
            </w:pPr>
            <w:r>
              <w:t>20.10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23.00</w:t>
            </w:r>
          </w:p>
        </w:tc>
        <w:tc>
          <w:tcPr>
            <w:tcW w:w="2551" w:type="dxa"/>
            <w:vAlign w:val="center"/>
          </w:tcPr>
          <w:p>
            <w:pPr>
              <w:pStyle w:val="9"/>
            </w:pPr>
            <w:r>
              <w:t>23.00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74.00</w:t>
            </w:r>
          </w:p>
        </w:tc>
        <w:tc>
          <w:tcPr>
            <w:tcW w:w="2551" w:type="dxa"/>
            <w:vAlign w:val="center"/>
          </w:tcPr>
          <w:p>
            <w:pPr>
              <w:pStyle w:val="9"/>
            </w:pPr>
            <w:r>
              <w:t>74.00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10.00</w:t>
            </w:r>
          </w:p>
        </w:tc>
        <w:tc>
          <w:tcPr>
            <w:tcW w:w="2551" w:type="dxa"/>
            <w:vAlign w:val="center"/>
          </w:tcPr>
          <w:p>
            <w:pPr>
              <w:pStyle w:val="9"/>
            </w:pPr>
            <w:r>
              <w:t>10.00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40.00</w:t>
            </w:r>
          </w:p>
        </w:tc>
        <w:tc>
          <w:tcPr>
            <w:tcW w:w="2551" w:type="dxa"/>
            <w:vAlign w:val="center"/>
          </w:tcPr>
          <w:p>
            <w:pPr>
              <w:pStyle w:val="9"/>
            </w:pPr>
            <w:r>
              <w:t>40.00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50.00</w:t>
            </w:r>
          </w:p>
        </w:tc>
        <w:tc>
          <w:tcPr>
            <w:tcW w:w="2551" w:type="dxa"/>
            <w:vAlign w:val="center"/>
          </w:tcPr>
          <w:p>
            <w:pPr>
              <w:pStyle w:val="9"/>
            </w:pPr>
            <w:r>
              <w:t>50.00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4.31</w:t>
            </w:r>
          </w:p>
        </w:tc>
        <w:tc>
          <w:tcPr>
            <w:tcW w:w="2551" w:type="dxa"/>
            <w:vAlign w:val="center"/>
          </w:tcPr>
          <w:p>
            <w:pPr>
              <w:pStyle w:val="9"/>
            </w:pPr>
            <w:r>
              <w:t>4.31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55.44</w:t>
            </w:r>
          </w:p>
        </w:tc>
        <w:tc>
          <w:tcPr>
            <w:tcW w:w="2551" w:type="dxa"/>
            <w:vAlign w:val="center"/>
          </w:tcPr>
          <w:p>
            <w:pPr>
              <w:pStyle w:val="9"/>
            </w:pPr>
            <w:r>
              <w:t>55.44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12.50</w:t>
            </w:r>
          </w:p>
        </w:tc>
        <w:tc>
          <w:tcPr>
            <w:tcW w:w="2551" w:type="dxa"/>
            <w:vAlign w:val="center"/>
          </w:tcPr>
          <w:p>
            <w:pPr>
              <w:pStyle w:val="9"/>
            </w:pPr>
            <w:r>
              <w:t>12.50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57.60</w:t>
            </w:r>
          </w:p>
        </w:tc>
        <w:tc>
          <w:tcPr>
            <w:tcW w:w="2551" w:type="dxa"/>
            <w:vAlign w:val="center"/>
          </w:tcPr>
          <w:p>
            <w:pPr>
              <w:pStyle w:val="9"/>
            </w:pPr>
          </w:p>
        </w:tc>
        <w:tc>
          <w:tcPr>
            <w:tcW w:w="2551" w:type="dxa"/>
            <w:vAlign w:val="center"/>
          </w:tcPr>
          <w:p>
            <w:pPr>
              <w:pStyle w:val="9"/>
            </w:pPr>
            <w:r>
              <w:t>57.60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16.20</w:t>
            </w:r>
          </w:p>
        </w:tc>
        <w:tc>
          <w:tcPr>
            <w:tcW w:w="2551" w:type="dxa"/>
            <w:vAlign w:val="center"/>
          </w:tcPr>
          <w:p>
            <w:pPr>
              <w:pStyle w:val="9"/>
            </w:pPr>
          </w:p>
        </w:tc>
        <w:tc>
          <w:tcPr>
            <w:tcW w:w="2551" w:type="dxa"/>
            <w:vAlign w:val="center"/>
          </w:tcPr>
          <w:p>
            <w:pPr>
              <w:pStyle w:val="9"/>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0.16</w:t>
            </w:r>
          </w:p>
        </w:tc>
        <w:tc>
          <w:tcPr>
            <w:tcW w:w="2551" w:type="dxa"/>
            <w:vAlign w:val="center"/>
          </w:tcPr>
          <w:p>
            <w:pPr>
              <w:pStyle w:val="9"/>
            </w:pPr>
          </w:p>
        </w:tc>
        <w:tc>
          <w:tcPr>
            <w:tcW w:w="2551" w:type="dxa"/>
            <w:vAlign w:val="center"/>
          </w:tcPr>
          <w:p>
            <w:pPr>
              <w:pStyle w:val="9"/>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30204</w:t>
            </w:r>
          </w:p>
        </w:tc>
        <w:tc>
          <w:tcPr>
            <w:tcW w:w="4535" w:type="dxa"/>
            <w:vAlign w:val="center"/>
          </w:tcPr>
          <w:p>
            <w:pPr>
              <w:pStyle w:val="10"/>
            </w:pPr>
            <w:r>
              <w:t>手续费</w:t>
            </w:r>
          </w:p>
        </w:tc>
        <w:tc>
          <w:tcPr>
            <w:tcW w:w="2551" w:type="dxa"/>
            <w:vAlign w:val="center"/>
          </w:tcPr>
          <w:p>
            <w:pPr>
              <w:pStyle w:val="9"/>
            </w:pPr>
            <w:r>
              <w:t>0.02</w:t>
            </w:r>
          </w:p>
        </w:tc>
        <w:tc>
          <w:tcPr>
            <w:tcW w:w="2551" w:type="dxa"/>
            <w:vAlign w:val="center"/>
          </w:tcPr>
          <w:p>
            <w:pPr>
              <w:pStyle w:val="9"/>
            </w:pPr>
          </w:p>
        </w:tc>
        <w:tc>
          <w:tcPr>
            <w:tcW w:w="2551" w:type="dxa"/>
            <w:vAlign w:val="center"/>
          </w:tcPr>
          <w:p>
            <w:pPr>
              <w:pStyle w:val="9"/>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0.50</w:t>
            </w:r>
          </w:p>
        </w:tc>
        <w:tc>
          <w:tcPr>
            <w:tcW w:w="2551" w:type="dxa"/>
            <w:vAlign w:val="center"/>
          </w:tcPr>
          <w:p>
            <w:pPr>
              <w:pStyle w:val="9"/>
            </w:pPr>
          </w:p>
        </w:tc>
        <w:tc>
          <w:tcPr>
            <w:tcW w:w="2551" w:type="dxa"/>
            <w:vAlign w:val="center"/>
          </w:tcPr>
          <w:p>
            <w:pPr>
              <w:pStyle w:val="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3.60</w:t>
            </w:r>
          </w:p>
        </w:tc>
        <w:tc>
          <w:tcPr>
            <w:tcW w:w="2551" w:type="dxa"/>
            <w:vAlign w:val="center"/>
          </w:tcPr>
          <w:p>
            <w:pPr>
              <w:pStyle w:val="9"/>
            </w:pPr>
          </w:p>
        </w:tc>
        <w:tc>
          <w:tcPr>
            <w:tcW w:w="2551" w:type="dxa"/>
            <w:vAlign w:val="center"/>
          </w:tcPr>
          <w:p>
            <w:pPr>
              <w:pStyle w:val="9"/>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3.90</w:t>
            </w:r>
          </w:p>
        </w:tc>
        <w:tc>
          <w:tcPr>
            <w:tcW w:w="2551" w:type="dxa"/>
            <w:vAlign w:val="center"/>
          </w:tcPr>
          <w:p>
            <w:pPr>
              <w:pStyle w:val="9"/>
            </w:pPr>
          </w:p>
        </w:tc>
        <w:tc>
          <w:tcPr>
            <w:tcW w:w="2551" w:type="dxa"/>
            <w:vAlign w:val="center"/>
          </w:tcPr>
          <w:p>
            <w:pPr>
              <w:pStyle w:val="9"/>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1.50</w:t>
            </w:r>
          </w:p>
        </w:tc>
        <w:tc>
          <w:tcPr>
            <w:tcW w:w="2551" w:type="dxa"/>
            <w:vAlign w:val="center"/>
          </w:tcPr>
          <w:p>
            <w:pPr>
              <w:pStyle w:val="9"/>
            </w:pPr>
          </w:p>
        </w:tc>
        <w:tc>
          <w:tcPr>
            <w:tcW w:w="2551" w:type="dxa"/>
            <w:vAlign w:val="center"/>
          </w:tcPr>
          <w:p>
            <w:pPr>
              <w:pStyle w:val="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3.24</w:t>
            </w:r>
          </w:p>
        </w:tc>
        <w:tc>
          <w:tcPr>
            <w:tcW w:w="2551" w:type="dxa"/>
            <w:vAlign w:val="center"/>
          </w:tcPr>
          <w:p>
            <w:pPr>
              <w:pStyle w:val="9"/>
            </w:pPr>
          </w:p>
        </w:tc>
        <w:tc>
          <w:tcPr>
            <w:tcW w:w="2551" w:type="dxa"/>
            <w:vAlign w:val="center"/>
          </w:tcPr>
          <w:p>
            <w:pPr>
              <w:pStyle w:val="9"/>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24.48</w:t>
            </w:r>
          </w:p>
        </w:tc>
        <w:tc>
          <w:tcPr>
            <w:tcW w:w="2551" w:type="dxa"/>
            <w:vAlign w:val="center"/>
          </w:tcPr>
          <w:p>
            <w:pPr>
              <w:pStyle w:val="9"/>
            </w:pPr>
          </w:p>
        </w:tc>
        <w:tc>
          <w:tcPr>
            <w:tcW w:w="2551" w:type="dxa"/>
            <w:vAlign w:val="center"/>
          </w:tcPr>
          <w:p>
            <w:pPr>
              <w:pStyle w:val="9"/>
            </w:pPr>
            <w:r>
              <w:t>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0.60</w:t>
            </w:r>
          </w:p>
        </w:tc>
        <w:tc>
          <w:tcPr>
            <w:tcW w:w="2551" w:type="dxa"/>
            <w:vAlign w:val="center"/>
          </w:tcPr>
          <w:p>
            <w:pPr>
              <w:pStyle w:val="9"/>
            </w:pPr>
            <w:r>
              <w:t>0.60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0.60</w:t>
            </w:r>
          </w:p>
        </w:tc>
        <w:tc>
          <w:tcPr>
            <w:tcW w:w="2551" w:type="dxa"/>
            <w:vAlign w:val="center"/>
          </w:tcPr>
          <w:p>
            <w:pPr>
              <w:pStyle w:val="9"/>
            </w:pPr>
            <w:r>
              <w:t>0.60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315司法</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315司法</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315司法</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rPr>
                <w:rFonts w:hint="default" w:eastAsia="方正书宋_GBK"/>
                <w:lang w:val="en-US" w:eastAsia="zh-CN"/>
              </w:rPr>
            </w:pPr>
            <w:r>
              <w:rPr>
                <w:rFonts w:hint="eastAsia"/>
                <w:lang w:val="en-US" w:eastAsia="zh-CN"/>
              </w:rPr>
              <w:t>3.24</w:t>
            </w:r>
          </w:p>
        </w:tc>
        <w:tc>
          <w:tcPr>
            <w:tcW w:w="2381" w:type="dxa"/>
            <w:vAlign w:val="center"/>
          </w:tcPr>
          <w:p>
            <w:pPr>
              <w:pStyle w:val="13"/>
              <w:rPr>
                <w:rFonts w:hint="default" w:eastAsia="方正书宋_GBK"/>
                <w:lang w:val="en-US" w:eastAsia="zh-CN"/>
              </w:rPr>
            </w:pPr>
            <w:r>
              <w:rPr>
                <w:rFonts w:hint="eastAsia"/>
                <w:lang w:val="en-US" w:eastAsia="zh-CN"/>
              </w:rPr>
              <w:t>3.24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rPr>
                <w:rFonts w:hint="default" w:eastAsia="方正书宋_GBK"/>
                <w:lang w:val="en-US" w:eastAsia="zh-CN"/>
              </w:rPr>
            </w:pPr>
            <w:r>
              <w:rPr>
                <w:rFonts w:hint="eastAsia"/>
                <w:lang w:val="en-US" w:eastAsia="zh-CN"/>
              </w:rPr>
              <w:t>3.24</w:t>
            </w:r>
          </w:p>
        </w:tc>
        <w:tc>
          <w:tcPr>
            <w:tcW w:w="2381" w:type="dxa"/>
            <w:vAlign w:val="center"/>
          </w:tcPr>
          <w:p>
            <w:pPr>
              <w:pStyle w:val="9"/>
              <w:rPr>
                <w:rFonts w:hint="default" w:eastAsia="方正书宋_GBK"/>
                <w:lang w:val="en-US" w:eastAsia="zh-CN"/>
              </w:rPr>
            </w:pPr>
            <w:r>
              <w:rPr>
                <w:rFonts w:hint="eastAsia"/>
                <w:lang w:val="en-US" w:eastAsia="zh-CN"/>
              </w:rPr>
              <w:t>3.24</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rPr>
                <w:rFonts w:hint="default" w:eastAsia="方正书宋_GBK"/>
                <w:lang w:val="en-US" w:eastAsia="zh-CN"/>
              </w:rPr>
            </w:pPr>
            <w:r>
              <w:rPr>
                <w:rFonts w:hint="eastAsia"/>
                <w:lang w:val="en-US" w:eastAsia="zh-CN"/>
              </w:rPr>
              <w:t>3.24</w:t>
            </w:r>
          </w:p>
        </w:tc>
        <w:tc>
          <w:tcPr>
            <w:tcW w:w="2381" w:type="dxa"/>
            <w:vAlign w:val="center"/>
          </w:tcPr>
          <w:p>
            <w:pPr>
              <w:pStyle w:val="9"/>
              <w:rPr>
                <w:rFonts w:hint="default" w:eastAsia="方正书宋_GBK"/>
                <w:lang w:val="en-US" w:eastAsia="zh-CN"/>
              </w:rPr>
            </w:pPr>
            <w:r>
              <w:rPr>
                <w:rFonts w:hint="eastAsia"/>
                <w:lang w:val="en-US" w:eastAsia="zh-CN"/>
              </w:rPr>
              <w:t>3.24</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3.24</w:t>
            </w:r>
          </w:p>
        </w:tc>
        <w:tc>
          <w:tcPr>
            <w:tcW w:w="2381" w:type="dxa"/>
            <w:vAlign w:val="center"/>
          </w:tcPr>
          <w:p>
            <w:pPr>
              <w:pStyle w:val="9"/>
            </w:pPr>
            <w:r>
              <w:t>3.24</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司法2022年部门预算信息公开情况说明</w:t>
      </w:r>
    </w:p>
    <w:p>
      <w:pPr>
        <w:jc w:val="center"/>
      </w:pPr>
      <w:r>
        <w:rPr>
          <w:rFonts w:ascii="方正小标宋_GBK" w:hAnsi="方正小标宋_GBK" w:eastAsia="方正小标宋_GBK" w:cs="方正小标宋_GBK"/>
          <w:color w:val="000000"/>
          <w:sz w:val="44"/>
        </w:rPr>
        <w:t>司法2022年部门预算信息公开情况说明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预算法》、《地方预决算公开操作规程》和《关于进一步推进预算公开工作的实施意见》规定，现将司法2022年部门预算公开如下：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1、贯彻落实国家司法行政工作方针政策，编制全县司法行政工作和年度工作要点，并监督实施。</w:t>
      </w:r>
    </w:p>
    <w:p>
      <w:pPr>
        <w:pStyle w:val="15"/>
      </w:pPr>
      <w:r>
        <w:t>2、制定全县普法宣传规划并组织实施；指导全县法治宣传工作。</w:t>
      </w:r>
    </w:p>
    <w:p>
      <w:pPr>
        <w:pStyle w:val="15"/>
      </w:pPr>
      <w:r>
        <w:t>3、指导和管理全县律师、、法律顾问、法律援助工作；指导和管理基层法律服务工作；指导和管理公证业务活动。</w:t>
      </w:r>
    </w:p>
    <w:p>
      <w:pPr>
        <w:pStyle w:val="15"/>
      </w:pPr>
      <w:r>
        <w:t>4、指导和管理全县人民调解工作、加强基层司法所建设工作。</w:t>
      </w:r>
    </w:p>
    <w:p>
      <w:pPr>
        <w:pStyle w:val="15"/>
      </w:pPr>
      <w:r>
        <w:t>5、牵头组织、指导、管理全县社区矫正工作；组织指导对刑释、解教人员的安置帮教工作。</w:t>
      </w:r>
    </w:p>
    <w:p>
      <w:pPr>
        <w:pStyle w:val="15"/>
      </w:pPr>
      <w:r>
        <w:t>6、指导全县司法行政系统队伍建设和思想政治工作；负责管理局机关和基层司法行政干警人事工作。</w:t>
      </w:r>
    </w:p>
    <w:p>
      <w:pPr>
        <w:pStyle w:val="15"/>
      </w:pPr>
      <w:r>
        <w:t>7、承担全面依法治县重大问题的政策研究，协调督促有关方面落实县委全面依法治县委员会工作部署。承办由县政府各部门行政行为引起的行政复议案件；受县政府委托，代理以县政府为被告的行政诉讼案件应诉工作；指导、监督全县各部门行政执法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乐亭县司法局</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按照预算管理有关规定，目前我省部门预算的编制实行综合预算管理，即全部收入和支出都反映在预算中。司法机关及所属事业单位的收支包含在部门预算中。</w:t>
      </w:r>
    </w:p>
    <w:p>
      <w:pPr>
        <w:pStyle w:val="16"/>
      </w:pPr>
      <w:r>
        <w:rPr>
          <w:rFonts w:hint="eastAsia"/>
          <w:lang w:val="en-US" w:eastAsia="zh-CN"/>
        </w:rPr>
        <w:t>1、</w:t>
      </w:r>
      <w:r>
        <w:t>本年</w:t>
      </w:r>
      <w:r>
        <w:rPr>
          <w:rFonts w:hint="eastAsia"/>
          <w:lang w:eastAsia="zh-CN"/>
        </w:rPr>
        <w:t>度预算</w:t>
      </w:r>
      <w:r>
        <w:t>收入902.61万元，其中：财政拨款收入902.61万元，其他收入0万元。</w:t>
      </w:r>
    </w:p>
    <w:p>
      <w:pPr>
        <w:pStyle w:val="16"/>
      </w:pPr>
      <w:r>
        <w:rPr>
          <w:rFonts w:hint="eastAsia"/>
          <w:lang w:val="en-US" w:eastAsia="zh-CN"/>
        </w:rPr>
        <w:t>2、</w:t>
      </w:r>
      <w:r>
        <w:t>本年</w:t>
      </w:r>
      <w:r>
        <w:rPr>
          <w:rFonts w:hint="eastAsia"/>
          <w:lang w:eastAsia="zh-CN"/>
        </w:rPr>
        <w:t>度预算</w:t>
      </w:r>
      <w:r>
        <w:t>支出：902.61万元，</w:t>
      </w:r>
      <w:r>
        <w:rPr>
          <w:rFonts w:hint="eastAsia"/>
          <w:lang w:eastAsia="zh-CN"/>
        </w:rPr>
        <w:t>包括</w:t>
      </w:r>
      <w:r>
        <w:t>人员经费722.95万元，日常公用57.6万元，项目支出122.06万元。</w:t>
      </w:r>
    </w:p>
    <w:p>
      <w:pPr>
        <w:pStyle w:val="16"/>
      </w:pPr>
      <w:r>
        <w:rPr>
          <w:rFonts w:hint="eastAsia"/>
          <w:lang w:val="en-US" w:eastAsia="zh-CN"/>
        </w:rPr>
        <w:t>3、与上年比较情况：</w:t>
      </w:r>
      <w:r>
        <w:t>总</w:t>
      </w:r>
      <w:r>
        <w:rPr>
          <w:rFonts w:hint="eastAsia"/>
          <w:lang w:eastAsia="zh-CN"/>
        </w:rPr>
        <w:t>支出</w:t>
      </w:r>
      <w:r>
        <w:t>较去年增加61.9万元，主要是2021下半年新招录公务员4名，调入1名，工资及保险金额增加，人员经费上涨。</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本年度机关运行经费共计安排57.6万元，主要用于办公费、水费、电费、邮电费、取暖费、差旅费、会议费、培训费、公务用车运行维护费、公务用车补贴等。去年预算安排51.2万元。比去年增加6.4万元，主要是因招录公务员4名，调入1名，增加了日常办公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ind w:left="0" w:leftChars="0" w:firstLine="560" w:firstLineChars="200"/>
      </w:pPr>
      <w:r>
        <w:t>2022年我部门“三公”经费预算安排3.24万元，较上年预算金额减省。具体安排情况为：</w:t>
      </w:r>
    </w:p>
    <w:p>
      <w:pPr>
        <w:pStyle w:val="18"/>
      </w:pPr>
      <w:r>
        <w:t>1、公务用车购置及运行费。共计安排3.24万元，与上年持平。主要原因是车辆无增减变化。</w:t>
      </w:r>
    </w:p>
    <w:p>
      <w:pPr>
        <w:pStyle w:val="18"/>
      </w:pPr>
      <w:r>
        <w:t>（1）公务用车购置安排0万元。与上年持平。主要原因是无公务用车购置预算安排。</w:t>
      </w:r>
    </w:p>
    <w:p>
      <w:pPr>
        <w:pStyle w:val="18"/>
      </w:pPr>
      <w:r>
        <w:t>（2）公车运行维护经费安排3.24万元，与上年持平。主要原因是车辆无增减变化。</w:t>
      </w:r>
    </w:p>
    <w:p>
      <w:pPr>
        <w:pStyle w:val="18"/>
      </w:pPr>
      <w:r>
        <w:t>2、公务接待费。安排0万元，与上年减少。主要原因是今年无招待费用预算。</w:t>
      </w:r>
    </w:p>
    <w:p>
      <w:pPr>
        <w:pStyle w:val="18"/>
      </w:pPr>
      <w:r>
        <w:t>3、因公出国（境）费安排0万元，与上年持平。主要原因是无出国（境）预算安排。</w:t>
      </w:r>
    </w:p>
    <w:p>
      <w:pPr>
        <w:pStyle w:val="18"/>
        <w:ind w:left="0" w:leftChars="0" w:firstLine="0" w:firstLineChars="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贯彻落实国家司法行政工作方针政策，提升全县司法行政管理水平。</w:t>
      </w:r>
    </w:p>
    <w:p>
      <w:pPr>
        <w:pStyle w:val="19"/>
      </w:pPr>
      <w:r>
        <w:t>(1).积极推进社区矫正管理体系建设：加强社区矫正中心规范化建设，严格执行社区矫正人员监管制度，细化、量化社区矫正管理考核，落实应急措施，做好重点人员、重点时段管理工作。加强与公安、法院、检察院配合，开展联合执法，发挥社会各界齐抓共管的作用。做好刑满释放人员安置帮教工作，力争使他们顺利回归社会。</w:t>
      </w:r>
    </w:p>
    <w:p>
      <w:pPr>
        <w:pStyle w:val="19"/>
      </w:pPr>
      <w:r>
        <w:t>(2).深入推进普法工作，开展“法律九进”，完善规章制度和机制，着力加强普法阵地和普法平台建设，加强法治文化建设，注重普法的针对性和实效性，重点加强青少年法治宣传教育，建设高水平的法治宣传教育基地。</w:t>
      </w:r>
    </w:p>
    <w:p>
      <w:pPr>
        <w:pStyle w:val="19"/>
      </w:pPr>
      <w:r>
        <w:t>(3).大力开展矛盾纠纷化解工作。完成人民调解委员会换届工作，加强人民调解员培训工作，提升调解员政治素质、调解技巧。开展矛盾纠纷调解工作，确保矛盾纠纷化解在基层，消除在萌芽状态。</w:t>
      </w:r>
    </w:p>
    <w:p>
      <w:pPr>
        <w:pStyle w:val="19"/>
      </w:pPr>
      <w:r>
        <w:t>(4).扩大法律援助覆盖面：加强法援工作站建设，拓宽法律援助惠民之路，充分发挥社区法律宣传大屏机作用，加强对农民工、下岗职工、农村留守人员等贫困人口法律援助的力度，实现应援尽援，提升服务效果。</w:t>
      </w:r>
    </w:p>
    <w:p>
      <w:pPr>
        <w:pStyle w:val="19"/>
      </w:pPr>
      <w:r>
        <w:t>(5).其他司法业务工作：司法行政机关担负着普法依法治理、人民调解、安置帮教、社区矫正、法律服务等职能，在推进民主法治进程，维护公平正义，化解矛盾纠纷，构建和谐社会具有不可替代的作用。</w:t>
      </w:r>
    </w:p>
    <w:p>
      <w:pPr>
        <w:pStyle w:val="19"/>
      </w:pPr>
      <w:r>
        <w:t>(6).法治建设工作：扎实推进严格执法、公正司法、全民守法，不断加快全面依法治县进程。全面推行行政执法三项制度工作,规范执法行为，提升法治政府建设水平。</w:t>
      </w:r>
    </w:p>
    <w:p>
      <w:pPr>
        <w:spacing w:line="500" w:lineRule="exact"/>
        <w:ind w:firstLine="560" w:firstLineChars="200"/>
      </w:pPr>
      <w:r>
        <w:rPr>
          <w:rFonts w:eastAsia="方正仿宋_GBK"/>
          <w:color w:val="000000"/>
          <w:sz w:val="28"/>
        </w:rPr>
        <w:t>（二）分项绩效目标</w:t>
      </w:r>
    </w:p>
    <w:p>
      <w:pPr>
        <w:pStyle w:val="20"/>
      </w:pPr>
      <w:r>
        <w:t>(1).普法宣传：进一步推进普法，巩固大普法格局。深化“法律九进”，加强农村法治公园建设，提高普法力度。进一步完善民主法治示范村建设，广泛开展普法宣传教育活动，充分发挥法治宣传“指向标”作用，引导全社会树立法治思想和法治理念。加强青少年法治宣传教育，建立青少年法治宣传教育基地；编印群众法律知识手册，设立法律咨询窗口，为群众提供优质、便捷的法律咨询服务。</w:t>
      </w:r>
    </w:p>
    <w:p>
      <w:pPr>
        <w:pStyle w:val="20"/>
      </w:pPr>
      <w:r>
        <w:t>(2).基层司法业务指导：监督县级人民调解、安置帮教、基层法律服务和基层司法所工作，负责县级基层法律工作者执业核准，规范全县法律服务市场秩序，维护当事人合法权益。会同人民法院人民检察院指导人民陪审员、人民监督员工作；指导专业性、行业性人民调解组织规范化建设，重点抓好医患纠纷、交通事故轻伤害案件的纠纷调处。按照分级培训的要求，对全县人民调解员集中培训，增强其业务调解能力，尽力把问题解决在基层。</w:t>
      </w:r>
    </w:p>
    <w:p>
      <w:pPr>
        <w:pStyle w:val="20"/>
      </w:pPr>
      <w:r>
        <w:t>(3). 法律援助：检查法律援助的法律法规和政策执行；规划法律援助事业发展布局；监督管理县级法律援助机构和各法律援助工作站和法律援助从业人员；组织指导县级社会组织和志愿者开展法律援助工作；按照全省要求，使低保人群享受法律援助服务。按照“应援尽援”的要求，进一步降低法律服务门槛，优化法律服务，办理好法律援助案件的回访工作。确保法律服务案件无投诉、无错案。</w:t>
      </w:r>
    </w:p>
    <w:p>
      <w:pPr>
        <w:pStyle w:val="20"/>
      </w:pPr>
      <w:r>
        <w:t>(4). 社区矫正：牵头指导社区矫正工作实施，落实各项管控措施，确保不脱漏管。严格落实24小时动态人员网上定位监管和“零报告”制度。建立县社区矫正微信群，通过“微学堂”、“微讲堂”进行心理疏导，推送道德法律学习内容，助力社矫人员自省自强，帮助他们顺利回归社会。加强与公安、法院、检察院衔接配合，年内开展联合执法检查。严格落实刑罚执行的各项规定，对社区矫正执法各风险点不定期进行检查，年内社区服刑人员重新犯罪率低于2%，安置帮教率达90%以上。</w:t>
      </w:r>
    </w:p>
    <w:p>
      <w:pPr>
        <w:pStyle w:val="20"/>
      </w:pPr>
      <w:r>
        <w:t>(5). 其他司法业务工作：深化“法律九进”，大力开展人民调解员岗位练兵，“调解能手”评比、调解典型案例的案卷评选活动。按照“应援尽援”的要求，进一步降低法律服务门槛，优化法律服务，办理好法律援助案件的回访工作。确保法律服务案件无投诉、无错案。建立县社区矫正微信群，通过“微学堂”、“微讲堂”进行心理疏导，推送道德法律学习内容，助力社矫人员自省自强，帮助他们顺利回归社会。</w:t>
      </w:r>
    </w:p>
    <w:p>
      <w:pPr>
        <w:pStyle w:val="20"/>
      </w:pPr>
      <w:r>
        <w:t>(6).法治建设工作：制定全面依法治县的政策，督促有关方面落实县委全面依法治县委员会工作部署，为建成全国百强美丽乐亭提供强有力法治保障。承办由县政府各部门行政行为引起的行政复议案件完成率100%；承办县政府交办的涉法事务完成率100%。</w:t>
      </w:r>
    </w:p>
    <w:p>
      <w:pPr>
        <w:spacing w:line="500" w:lineRule="exact"/>
        <w:ind w:firstLine="560"/>
      </w:pPr>
      <w:r>
        <w:rPr>
          <w:rFonts w:eastAsia="方正仿宋_GBK"/>
          <w:color w:val="000000"/>
          <w:sz w:val="28"/>
        </w:rPr>
        <w:t>（三）工作保障措施</w:t>
      </w:r>
    </w:p>
    <w:p>
      <w:pPr>
        <w:pStyle w:val="21"/>
      </w:pPr>
      <w:r>
        <w:t>(1).普法宣传：落实普法责任制，按照谁执法、谁普法的要求，在强化公共法律普及的同时，加大力度督促检查部门专业法律宣传工作的落实。持续开展好疫情防控常态化宣传及《</w:t>
      </w:r>
      <w:r>
        <w:rPr>
          <w:rFonts w:hint="eastAsia"/>
        </w:rPr>
        <w:t>中华人民共和国</w:t>
      </w:r>
      <w:r>
        <w:t>民法典》、《</w:t>
      </w:r>
      <w:r>
        <w:rPr>
          <w:rFonts w:hint="eastAsia"/>
        </w:rPr>
        <w:t>中华人民共和国</w:t>
      </w:r>
      <w:bookmarkStart w:id="18" w:name="_GoBack"/>
      <w:bookmarkEnd w:id="18"/>
      <w:r>
        <w:t>宪法》等各类主题普法，制定、落实《2022年度政府系统领导干部学法计划》，深入推进青少年普法教育，持续开展“民主法治示范村（社区）”创建工作，抓好新媒体专项专题普法。</w:t>
      </w:r>
    </w:p>
    <w:p>
      <w:pPr>
        <w:pStyle w:val="21"/>
      </w:pPr>
      <w:r>
        <w:t>(2). 基层司法业务：深化人民调解工作，根据不同时段和敏感期，抓好集中排查和专项排查化解工作。通过开展人民调解优秀案例评比等不同形式，最大限度调动人民调解员的积极性，最大限度降低重新违法犯罪和社会不稳定因素发生率。</w:t>
      </w:r>
    </w:p>
    <w:p>
      <w:pPr>
        <w:pStyle w:val="21"/>
      </w:pPr>
      <w:r>
        <w:t>(3). 法律援助：加强“12348”法律服务热线平台建设。进一步加强“148”法律服务热线的宣传力度。加强法律宣传，扩大群众对法律援助的知晓率，降槛扩面，扩大援助范围，充分发挥其他法律援助站的作用，提高非诉讼案件调解力度，确保完成办案量增长10%以上的年度目标。</w:t>
      </w:r>
    </w:p>
    <w:p>
      <w:pPr>
        <w:pStyle w:val="21"/>
      </w:pPr>
      <w:r>
        <w:t>(4). 社区矫正：落实社区矫正工作各项制度，完善各项管控措施，特别是做好重大节日、敏感期等特殊节点的管控工作，最大限度杜绝脱漏管事件发生。抓好审前社会调查、异地迁居、请假外出、违规处理等环节，严格刑罚执行。落实好案件评查和上级专项检查各项工作，使信息收集、报送、运用、奖励考核等量化管理达到规范化、制度化。</w:t>
      </w:r>
    </w:p>
    <w:p>
      <w:pPr>
        <w:pStyle w:val="21"/>
      </w:pPr>
      <w:r>
        <w:t>(5). 其他司法业务工作：落实普法责任制，按照谁执法、谁普法的要求，在强化公共法律普及的同时，加大力度督促检查部门专业法律宣传工作的落实。通过开展人民调解优秀案例评比、金牌调解员评比等不同形式，最大限度调动人民调解员的积极性，最大限度降低重新违法犯罪和社会不稳定因素发生率。严格法律援助办案质量，扩大法律援助覆盖面，推动全县法律援助工作长足发展。降低收援门槛，实现“应援尽援”。 落实好案件评查和上级专项检查各项工作，使信息收集、报送、运用、奖励考核等量化管理达到规范化、制度化。</w:t>
      </w:r>
    </w:p>
    <w:p>
      <w:pPr>
        <w:pStyle w:val="21"/>
      </w:pPr>
      <w:r>
        <w:t xml:space="preserve">(6).法治建设工作：制定印发2022年法治政府建设工作要点，开展法治政府示范创建活动；组织全县依法行政考核，按照省市及县委县政府安排部署，制定依法行政单项考核方案，组织考核工作；开展规范性文件清理和备案审查工作；强化行政执法监督检查，对全县各级各部门落实行政执法三项制度情况进行抽查和督导，制定进一步规范行政裁量权基准制度的实施意见，明确执法裁量基准；继续推进乡镇综合执法改革，强化组织培训，规范基层行政执法；推行证明事项告知承诺制；  推进行政复议体制改革，强化行政机关自我纠错的层级监督。     </w:t>
      </w:r>
    </w:p>
    <w:p>
      <w:pPr>
        <w:pStyle w:val="21"/>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rPr>
          <w:rFonts w:ascii="方正楷体_GBK" w:hAnsi="方正楷体_GBK" w:eastAsia="方正楷体_GBK" w:cs="方正楷体_GBK"/>
          <w:b/>
          <w:color w:val="000000"/>
          <w:sz w:val="32"/>
        </w:rPr>
      </w:pPr>
    </w:p>
    <w:p>
      <w:pPr>
        <w:numPr>
          <w:ilvl w:val="0"/>
          <w:numId w:val="0"/>
        </w:numPr>
        <w:rPr>
          <w:rFonts w:hint="eastAsia" w:ascii="Times New Roman" w:hAnsi="Times New Roman" w:eastAsia="方正仿宋_GBK" w:cs="Times New Roman"/>
          <w:sz w:val="28"/>
          <w:szCs w:val="24"/>
          <w:lang w:val="en-US" w:eastAsia="zh-CN" w:bidi="ar-SA"/>
        </w:rPr>
      </w:pPr>
      <w:r>
        <w:rPr>
          <w:rFonts w:hint="eastAsia" w:ascii="方正楷体_GBK" w:hAnsi="方正楷体_GBK" w:eastAsia="方正楷体_GBK" w:cs="方正楷体_GBK"/>
          <w:b/>
          <w:color w:val="000000"/>
          <w:sz w:val="32"/>
          <w:lang w:val="en-US" w:eastAsia="zh-CN"/>
        </w:rPr>
        <w:t xml:space="preserve">       </w:t>
      </w:r>
      <w:r>
        <w:rPr>
          <w:rFonts w:hint="eastAsia" w:ascii="Times New Roman" w:hAnsi="Times New Roman" w:eastAsia="方正仿宋_GBK" w:cs="Times New Roman"/>
          <w:sz w:val="28"/>
          <w:szCs w:val="24"/>
          <w:lang w:val="en-US" w:eastAsia="zh-CN" w:bidi="ar-SA"/>
        </w:rPr>
        <w:t>无</w:t>
      </w:r>
    </w:p>
    <w:p>
      <w:pPr>
        <w:numPr>
          <w:ilvl w:val="0"/>
          <w:numId w:val="0"/>
        </w:numPr>
        <w:rPr>
          <w:rFonts w:hint="eastAsia" w:ascii="Times New Roman" w:hAnsi="Times New Roman" w:eastAsia="方正仿宋_GBK" w:cs="Times New Roman"/>
          <w:sz w:val="28"/>
          <w:szCs w:val="24"/>
          <w:lang w:val="en-US" w:eastAsia="zh-CN" w:bidi="ar-SA"/>
        </w:rPr>
      </w:pPr>
    </w:p>
    <w:p>
      <w:pPr>
        <w:numPr>
          <w:ilvl w:val="0"/>
          <w:numId w:val="0"/>
        </w:numPr>
        <w:rPr>
          <w:rFonts w:hint="eastAsia" w:ascii="方正楷体_GBK" w:hAnsi="方正楷体_GBK" w:eastAsia="方正楷体_GBK" w:cs="方正楷体_GBK"/>
          <w:b/>
          <w:color w:val="000000"/>
          <w:sz w:val="32"/>
          <w:lang w:val="en-US" w:eastAsia="zh-CN"/>
        </w:rPr>
      </w:pPr>
      <w:r>
        <w:rPr>
          <w:rFonts w:hint="eastAsia" w:eastAsia="方正仿宋_GBK" w:cs="Times New Roman"/>
          <w:sz w:val="28"/>
          <w:szCs w:val="24"/>
          <w:lang w:val="en-US" w:eastAsia="zh-CN" w:bidi="ar-SA"/>
        </w:rPr>
        <w:t xml:space="preserve">     </w:t>
      </w:r>
      <w:r>
        <w:rPr>
          <w:rFonts w:hint="eastAsia" w:ascii="方正楷体_GBK" w:hAnsi="方正楷体_GBK" w:eastAsia="方正楷体_GBK" w:cs="方正楷体_GBK"/>
          <w:b/>
          <w:color w:val="000000"/>
          <w:sz w:val="32"/>
          <w:lang w:val="en-US" w:eastAsia="zh-CN"/>
        </w:rPr>
        <w:t xml:space="preserve"> </w:t>
      </w:r>
    </w:p>
    <w:p>
      <w:pPr>
        <w:numPr>
          <w:ilvl w:val="0"/>
          <w:numId w:val="0"/>
        </w:numPr>
        <w:rPr>
          <w:rFonts w:hint="eastAsia" w:ascii="方正楷体_GBK" w:hAnsi="方正楷体_GBK" w:eastAsia="方正楷体_GBK" w:cs="方正楷体_GBK"/>
          <w:b/>
          <w:color w:val="000000"/>
          <w:sz w:val="32"/>
          <w:lang w:val="en-US" w:eastAsia="zh-CN"/>
        </w:rPr>
      </w:pPr>
    </w:p>
    <w:p>
      <w:pPr>
        <w:numPr>
          <w:ilvl w:val="0"/>
          <w:numId w:val="0"/>
        </w:numPr>
        <w:rPr>
          <w:rFonts w:hint="default" w:ascii="Times New Roman" w:hAnsi="Times New Roman" w:eastAsia="方正仿宋_GBK" w:cs="Times New Roman"/>
          <w:sz w:val="28"/>
          <w:szCs w:val="24"/>
          <w:lang w:val="en-US" w:eastAsia="zh-CN" w:bidi="ar-SA"/>
        </w:rPr>
      </w:pPr>
      <w:r>
        <w:rPr>
          <w:rFonts w:hint="eastAsia" w:ascii="方正楷体_GBK" w:hAnsi="方正楷体_GBK" w:eastAsia="方正楷体_GBK" w:cs="方正楷体_GBK"/>
          <w:b/>
          <w:color w:val="000000"/>
          <w:sz w:val="32"/>
          <w:lang w:val="en-US" w:eastAsia="zh-CN"/>
        </w:rPr>
        <w:t xml:space="preserve"> 第三部分  预算项目绩效目标</w:t>
      </w:r>
    </w:p>
    <w:p>
      <w:pPr>
        <w:numPr>
          <w:ilvl w:val="0"/>
          <w:numId w:val="0"/>
        </w:numPr>
        <w:rPr>
          <w:rFonts w:ascii="方正楷体_GBK" w:hAnsi="方正楷体_GBK" w:eastAsia="方正楷体_GBK" w:cs="方正楷体_GBK"/>
          <w:b/>
          <w:color w:val="000000"/>
          <w:sz w:val="32"/>
        </w:rPr>
      </w:pPr>
    </w:p>
    <w:p>
      <w:pPr>
        <w:numPr>
          <w:ilvl w:val="0"/>
          <w:numId w:val="0"/>
        </w:numPr>
        <w:rPr>
          <w:rFonts w:ascii="方正楷体_GBK" w:hAnsi="方正楷体_GBK" w:eastAsia="方正楷体_GBK" w:cs="方正楷体_GBK"/>
          <w:b/>
          <w:color w:val="000000"/>
          <w:sz w:val="32"/>
        </w:rPr>
      </w:pPr>
    </w:p>
    <w:p>
      <w:pPr>
        <w:ind w:firstLine="560"/>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、办案业务费基层公检法司转移支付省级配套资金[2021]63号绩效目标表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1.加强对全县人民调解工作的指导，大力排查化解社区矛盾。</w:t>
            </w:r>
          </w:p>
          <w:p>
            <w:pPr>
              <w:pStyle w:val="10"/>
            </w:pPr>
            <w:r>
              <w:t>2.加强人民调解室建设及基层公共法律服务站建设，加强人民调解员培训。</w:t>
            </w:r>
          </w:p>
          <w:p>
            <w:pPr>
              <w:pStyle w:val="10"/>
            </w:pPr>
            <w:r>
              <w:t>3.做好基层法律服务工作，加强法制宣传力度，让人人学法各法懂法用法，降低再犯罪率。</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人民调解案件数</w:t>
            </w:r>
          </w:p>
        </w:tc>
        <w:tc>
          <w:tcPr>
            <w:tcW w:w="2835" w:type="dxa"/>
            <w:vAlign w:val="center"/>
          </w:tcPr>
          <w:p>
            <w:pPr>
              <w:pStyle w:val="10"/>
            </w:pPr>
            <w:r>
              <w:t>人民调解案件数</w:t>
            </w:r>
          </w:p>
        </w:tc>
        <w:tc>
          <w:tcPr>
            <w:tcW w:w="2551" w:type="dxa"/>
            <w:vAlign w:val="center"/>
          </w:tcPr>
          <w:p>
            <w:pPr>
              <w:pStyle w:val="10"/>
            </w:pPr>
            <w:r>
              <w:t>≥2300件</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基层法律服务工作者执业核准率(</w:t>
            </w:r>
          </w:p>
        </w:tc>
        <w:tc>
          <w:tcPr>
            <w:tcW w:w="2835" w:type="dxa"/>
            <w:vAlign w:val="center"/>
          </w:tcPr>
          <w:p>
            <w:pPr>
              <w:pStyle w:val="10"/>
            </w:pPr>
            <w:r>
              <w:t>基层法律服务工作者执业核准率(%)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、办案业务费基层公检法司转移支付省级配套资金[2021]63号绩效目标表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1.通过协调县直法律服务机构和社会志愿者办理法律援助案件，爱理公民法律咨询。</w:t>
            </w:r>
          </w:p>
          <w:p>
            <w:pPr>
              <w:pStyle w:val="10"/>
            </w:pPr>
            <w:r>
              <w:t>2.通过法律援助工作，帮助社会弱势群体应用法律切实维护自身合法权益。</w:t>
            </w:r>
          </w:p>
          <w:p>
            <w:pPr>
              <w:pStyle w:val="10"/>
            </w:pPr>
            <w:r>
              <w:t>3.加强法律援助宣传力度，加强基层公共法律服务质量。</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法律援助案件受理数（件)</w:t>
            </w:r>
          </w:p>
        </w:tc>
        <w:tc>
          <w:tcPr>
            <w:tcW w:w="2835" w:type="dxa"/>
            <w:vAlign w:val="center"/>
          </w:tcPr>
          <w:p>
            <w:pPr>
              <w:pStyle w:val="10"/>
            </w:pPr>
            <w:r>
              <w:t>法律援助案件受理数（件)</w:t>
            </w:r>
          </w:p>
        </w:tc>
        <w:tc>
          <w:tcPr>
            <w:tcW w:w="2551" w:type="dxa"/>
            <w:vAlign w:val="center"/>
          </w:tcPr>
          <w:p>
            <w:pPr>
              <w:pStyle w:val="10"/>
            </w:pPr>
            <w:r>
              <w:t>≥396件</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法律援助案件办结率</w:t>
            </w:r>
          </w:p>
        </w:tc>
        <w:tc>
          <w:tcPr>
            <w:tcW w:w="2835" w:type="dxa"/>
            <w:vAlign w:val="center"/>
          </w:tcPr>
          <w:p>
            <w:pPr>
              <w:pStyle w:val="10"/>
            </w:pPr>
            <w:r>
              <w:t>法律援助案件办结率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、办案业务费中央纪检监察转移支付资金冀财政法[2021]62号绩效目标表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1.开展普法工作，集中</w:t>
            </w:r>
            <w:r>
              <w:rPr>
                <w:rFonts w:hint="eastAsia"/>
                <w:lang w:eastAsia="zh-CN"/>
              </w:rPr>
              <w:t>《中华人民共和国宪法》</w:t>
            </w:r>
            <w:r>
              <w:t>宣传。</w:t>
            </w:r>
          </w:p>
          <w:p>
            <w:pPr>
              <w:pStyle w:val="10"/>
            </w:pPr>
            <w:r>
              <w:t>2.加强人民调解、安置帮教工作，降低再犯罪率</w:t>
            </w:r>
          </w:p>
          <w:p>
            <w:pPr>
              <w:pStyle w:val="10"/>
            </w:pPr>
            <w:r>
              <w:t>3.加大基层司法工作，加强公共法律服务宣传</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组织主题宣传活动场次</w:t>
            </w:r>
          </w:p>
        </w:tc>
        <w:tc>
          <w:tcPr>
            <w:tcW w:w="2835" w:type="dxa"/>
            <w:vAlign w:val="center"/>
          </w:tcPr>
          <w:p>
            <w:pPr>
              <w:pStyle w:val="10"/>
            </w:pPr>
            <w:r>
              <w:t>组织主题宣传活动场次</w:t>
            </w:r>
          </w:p>
        </w:tc>
        <w:tc>
          <w:tcPr>
            <w:tcW w:w="2551" w:type="dxa"/>
            <w:vAlign w:val="center"/>
          </w:tcPr>
          <w:p>
            <w:pPr>
              <w:pStyle w:val="10"/>
            </w:pPr>
            <w:r>
              <w:t>≥50场</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法律援助案件办结率</w:t>
            </w:r>
          </w:p>
        </w:tc>
        <w:tc>
          <w:tcPr>
            <w:tcW w:w="2835" w:type="dxa"/>
            <w:vAlign w:val="center"/>
          </w:tcPr>
          <w:p>
            <w:pPr>
              <w:pStyle w:val="10"/>
            </w:pPr>
            <w:r>
              <w:t>法律援助案件办结率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、社区矫正专项经费[2021]70号绩效目标表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1.提高社区矫正工作质量，组织社区矫正人员学习教育培训。</w:t>
            </w:r>
          </w:p>
          <w:p>
            <w:pPr>
              <w:pStyle w:val="10"/>
            </w:pPr>
            <w:r>
              <w:t>2.加强对社区服刑对象、刑满释放人员的监管。</w:t>
            </w:r>
          </w:p>
          <w:p>
            <w:pPr>
              <w:pStyle w:val="10"/>
            </w:pPr>
            <w:r>
              <w:t>3.加强对社区矫正人员的管理，确保不脱管不漏管和再犯罪现象的发生。</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社区矫正人数</w:t>
            </w:r>
          </w:p>
        </w:tc>
        <w:tc>
          <w:tcPr>
            <w:tcW w:w="2835" w:type="dxa"/>
            <w:vAlign w:val="center"/>
          </w:tcPr>
          <w:p>
            <w:pPr>
              <w:pStyle w:val="10"/>
            </w:pPr>
            <w:r>
              <w:t>社区矫正人数</w:t>
            </w:r>
          </w:p>
        </w:tc>
        <w:tc>
          <w:tcPr>
            <w:tcW w:w="2551" w:type="dxa"/>
            <w:vAlign w:val="center"/>
          </w:tcPr>
          <w:p>
            <w:pPr>
              <w:pStyle w:val="10"/>
            </w:pPr>
            <w:r>
              <w:t>≥155人</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社区矫正执法人员学习时间达标率</w:t>
            </w:r>
          </w:p>
        </w:tc>
        <w:tc>
          <w:tcPr>
            <w:tcW w:w="2835" w:type="dxa"/>
            <w:vAlign w:val="center"/>
          </w:tcPr>
          <w:p>
            <w:pPr>
              <w:pStyle w:val="10"/>
            </w:pPr>
            <w:r>
              <w:t>社区矫正执法人员学习时间达标率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控制在预算资金内</w:t>
            </w:r>
          </w:p>
        </w:tc>
        <w:tc>
          <w:tcPr>
            <w:tcW w:w="2835" w:type="dxa"/>
            <w:vAlign w:val="center"/>
          </w:tcPr>
          <w:p>
            <w:pPr>
              <w:pStyle w:val="10"/>
            </w:pPr>
            <w:r>
              <w:t>控制在预算资金内</w:t>
            </w:r>
          </w:p>
        </w:tc>
        <w:tc>
          <w:tcPr>
            <w:tcW w:w="2551" w:type="dxa"/>
            <w:vAlign w:val="center"/>
          </w:tcPr>
          <w:p>
            <w:pPr>
              <w:pStyle w:val="10"/>
            </w:pPr>
            <w:r>
              <w:t>严格控制在预算内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社会稳定水平</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、业务装备费基层公检法司转移支付省级配套资金[2021]63号绩效目标表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1.加强全县人民调解工作的指导，大力排查化解社会矛盾纠纷。</w:t>
            </w:r>
          </w:p>
          <w:p>
            <w:pPr>
              <w:pStyle w:val="10"/>
            </w:pPr>
            <w:r>
              <w:t>2.加强基层人民调解员培训，提高人民调解质量</w:t>
            </w:r>
          </w:p>
          <w:p>
            <w:pPr>
              <w:pStyle w:val="10"/>
            </w:pPr>
            <w:r>
              <w:t>3.做好基层法律服务工作，加大法制宣传力度，让人人学法知法懂法用法。</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办公家具和办公设备购置数量（台</w:t>
            </w:r>
          </w:p>
        </w:tc>
        <w:tc>
          <w:tcPr>
            <w:tcW w:w="2835" w:type="dxa"/>
            <w:vAlign w:val="center"/>
          </w:tcPr>
          <w:p>
            <w:pPr>
              <w:pStyle w:val="10"/>
            </w:pPr>
            <w:r>
              <w:t>办公家具和办公设备购置数量（台/件/辆/套）</w:t>
            </w:r>
          </w:p>
        </w:tc>
        <w:tc>
          <w:tcPr>
            <w:tcW w:w="2551" w:type="dxa"/>
            <w:vAlign w:val="center"/>
          </w:tcPr>
          <w:p>
            <w:pPr>
              <w:pStyle w:val="10"/>
            </w:pPr>
            <w:r>
              <w:t>满足基层工作需要</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购置设备合格率</w:t>
            </w:r>
          </w:p>
        </w:tc>
        <w:tc>
          <w:tcPr>
            <w:tcW w:w="2835" w:type="dxa"/>
            <w:vAlign w:val="center"/>
          </w:tcPr>
          <w:p>
            <w:pPr>
              <w:pStyle w:val="10"/>
            </w:pPr>
            <w:r>
              <w:t>购置设备合格率</w:t>
            </w:r>
          </w:p>
        </w:tc>
        <w:tc>
          <w:tcPr>
            <w:tcW w:w="2551" w:type="dxa"/>
            <w:vAlign w:val="center"/>
          </w:tcPr>
          <w:p>
            <w:pPr>
              <w:pStyle w:val="10"/>
            </w:pPr>
            <w:r>
              <w:t>100百分比</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及时购置</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严格控制在预算内</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年初工作任务</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、业务装备费中央政法纪检监察转移支付资金[2021]62号绩效目标表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1.加强是对全县人民调解工作的指导及法制宣传工作</w:t>
            </w:r>
          </w:p>
          <w:p>
            <w:pPr>
              <w:pStyle w:val="10"/>
            </w:pPr>
            <w:r>
              <w:t>2.加强基层人民调解室建设及公共法律服务站建设。</w:t>
            </w:r>
          </w:p>
          <w:p>
            <w:pPr>
              <w:pStyle w:val="10"/>
            </w:pPr>
            <w:r>
              <w:t>3.做好基层法律服务工作，加强法制宣传力度。</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办公家具和办公设备购置数量（台</w:t>
            </w:r>
          </w:p>
        </w:tc>
        <w:tc>
          <w:tcPr>
            <w:tcW w:w="2835" w:type="dxa"/>
            <w:vAlign w:val="center"/>
          </w:tcPr>
          <w:p>
            <w:pPr>
              <w:pStyle w:val="10"/>
            </w:pPr>
            <w:r>
              <w:t>办公家具和办公设备购置数量（台/件/辆/套）</w:t>
            </w:r>
          </w:p>
        </w:tc>
        <w:tc>
          <w:tcPr>
            <w:tcW w:w="2551" w:type="dxa"/>
            <w:vAlign w:val="center"/>
          </w:tcPr>
          <w:p>
            <w:pPr>
              <w:pStyle w:val="10"/>
            </w:pPr>
            <w:r>
              <w:t>满足基层工作需要</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设备购置合格率</w:t>
            </w:r>
          </w:p>
        </w:tc>
        <w:tc>
          <w:tcPr>
            <w:tcW w:w="2835" w:type="dxa"/>
            <w:vAlign w:val="center"/>
          </w:tcPr>
          <w:p>
            <w:pPr>
              <w:pStyle w:val="10"/>
            </w:pPr>
            <w:r>
              <w:t>设备购置合格率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及时购置</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
    <w:p/>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、法律援助绩效目标表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1.完善三级公共法律服务阵地建设，提高公共法律服务水平，百分百接待来人来电咨询，安排律师及法律服务工作者在服务中心、看守所、法院值班。</w:t>
            </w:r>
          </w:p>
          <w:p>
            <w:pPr>
              <w:pStyle w:val="10"/>
            </w:pPr>
            <w:r>
              <w:t>2.完成法律援助案件，实现逐年递增的目标，做到应援尽援，让法律援助惠及弱势群体。</w:t>
            </w:r>
          </w:p>
          <w:p>
            <w:pPr>
              <w:pStyle w:val="10"/>
            </w:pPr>
            <w:r>
              <w:t>3.开展法律援助及公共法律服务知识宣传，提高群众知晓率。</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法律援助案件受理数（件)</w:t>
            </w:r>
          </w:p>
        </w:tc>
        <w:tc>
          <w:tcPr>
            <w:tcW w:w="2835" w:type="dxa"/>
            <w:vAlign w:val="center"/>
          </w:tcPr>
          <w:p>
            <w:pPr>
              <w:pStyle w:val="10"/>
            </w:pPr>
            <w:r>
              <w:t>法律援助案件受理数（件)</w:t>
            </w:r>
          </w:p>
        </w:tc>
        <w:tc>
          <w:tcPr>
            <w:tcW w:w="2551" w:type="dxa"/>
            <w:vAlign w:val="center"/>
          </w:tcPr>
          <w:p>
            <w:pPr>
              <w:pStyle w:val="10"/>
            </w:pPr>
            <w:r>
              <w:t>≥396件</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救助案例办结率（%）</w:t>
            </w:r>
          </w:p>
        </w:tc>
        <w:tc>
          <w:tcPr>
            <w:tcW w:w="2835" w:type="dxa"/>
            <w:vAlign w:val="center"/>
          </w:tcPr>
          <w:p>
            <w:pPr>
              <w:pStyle w:val="10"/>
            </w:pPr>
            <w:r>
              <w:t>救助案例办结率（%）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及时完成</w:t>
            </w:r>
          </w:p>
        </w:tc>
        <w:tc>
          <w:tcPr>
            <w:tcW w:w="2268" w:type="dxa"/>
            <w:vAlign w:val="center"/>
          </w:tcPr>
          <w:p>
            <w:pPr>
              <w:pStyle w:val="10"/>
            </w:pPr>
            <w:r>
              <w:t>年初工作</w:t>
            </w:r>
            <w:r>
              <w:rPr>
                <w:rFonts w:hint="eastAsia"/>
                <w:lang w:eastAsia="zh-CN"/>
              </w:rPr>
              <w:t>安</w:t>
            </w:r>
            <w:r>
              <w:t>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项目预算控制数</w:t>
            </w:r>
          </w:p>
        </w:tc>
        <w:tc>
          <w:tcPr>
            <w:tcW w:w="2551" w:type="dxa"/>
            <w:vAlign w:val="center"/>
          </w:tcPr>
          <w:p>
            <w:pPr>
              <w:pStyle w:val="10"/>
            </w:pPr>
            <w:r>
              <w:t>严格控制在预算资金内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、法制建设绩效目标表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1.全力推进依法治县工作，协调督促有关方面落实县委全面依法治县工作部署。</w:t>
            </w:r>
          </w:p>
          <w:p>
            <w:pPr>
              <w:pStyle w:val="10"/>
            </w:pPr>
            <w:r>
              <w:t>2.积极参加省市组织法治政府建设培训学习活动，提高我县法治政府建设水平，</w:t>
            </w:r>
            <w:r>
              <w:rPr>
                <w:rFonts w:hint="eastAsia"/>
                <w:lang w:eastAsia="zh-CN"/>
              </w:rPr>
              <w:t>促</w:t>
            </w:r>
            <w:r>
              <w:t>进依法</w:t>
            </w:r>
            <w:r>
              <w:rPr>
                <w:rFonts w:hint="eastAsia"/>
                <w:lang w:eastAsia="zh-CN"/>
              </w:rPr>
              <w:t>行政</w:t>
            </w:r>
            <w:r>
              <w:t>。</w:t>
            </w:r>
          </w:p>
          <w:p>
            <w:pPr>
              <w:pStyle w:val="10"/>
            </w:pPr>
            <w:r>
              <w:t>3.加强全县执法人员培训，全面推行行政执法三项制度。</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文件印刷数量</w:t>
            </w:r>
          </w:p>
        </w:tc>
        <w:tc>
          <w:tcPr>
            <w:tcW w:w="2835" w:type="dxa"/>
            <w:vAlign w:val="center"/>
          </w:tcPr>
          <w:p>
            <w:pPr>
              <w:pStyle w:val="10"/>
            </w:pPr>
            <w:r>
              <w:t>文件印刷数量</w:t>
            </w:r>
          </w:p>
        </w:tc>
        <w:tc>
          <w:tcPr>
            <w:tcW w:w="2551" w:type="dxa"/>
            <w:vAlign w:val="center"/>
          </w:tcPr>
          <w:p>
            <w:pPr>
              <w:pStyle w:val="10"/>
            </w:pPr>
            <w:r>
              <w:t>≥400份</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行政案件处理率</w:t>
            </w:r>
          </w:p>
        </w:tc>
        <w:tc>
          <w:tcPr>
            <w:tcW w:w="2835" w:type="dxa"/>
            <w:vAlign w:val="center"/>
          </w:tcPr>
          <w:p>
            <w:pPr>
              <w:pStyle w:val="10"/>
            </w:pPr>
            <w:r>
              <w:t>行政案件处理率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及时受理及时回复</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控制在预算资金内</w:t>
            </w:r>
          </w:p>
        </w:tc>
        <w:tc>
          <w:tcPr>
            <w:tcW w:w="2835" w:type="dxa"/>
            <w:vAlign w:val="center"/>
          </w:tcPr>
          <w:p>
            <w:pPr>
              <w:pStyle w:val="10"/>
            </w:pPr>
            <w:r>
              <w:t>控制在预算资金内</w:t>
            </w:r>
          </w:p>
        </w:tc>
        <w:tc>
          <w:tcPr>
            <w:tcW w:w="2551" w:type="dxa"/>
            <w:vAlign w:val="center"/>
          </w:tcPr>
          <w:p>
            <w:pPr>
              <w:pStyle w:val="10"/>
            </w:pPr>
            <w:r>
              <w:t>严格按制在预算内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、基层司法绩效目标表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1.加强对人民调解工作的指导，大办排查化解社会矛盾纠纷。</w:t>
            </w:r>
          </w:p>
          <w:p>
            <w:pPr>
              <w:pStyle w:val="10"/>
            </w:pPr>
            <w:r>
              <w:t>2.做好基层法律服务工作，加强法治宣传力度，让人人知法学法用法懂法，再犯罪率降低。</w:t>
            </w:r>
          </w:p>
          <w:p>
            <w:pPr>
              <w:pStyle w:val="10"/>
            </w:pPr>
            <w:r>
              <w:t>3.在全县加大品牌调解室建设。</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人民调解案件数</w:t>
            </w:r>
          </w:p>
        </w:tc>
        <w:tc>
          <w:tcPr>
            <w:tcW w:w="2835" w:type="dxa"/>
            <w:vAlign w:val="center"/>
          </w:tcPr>
          <w:p>
            <w:pPr>
              <w:pStyle w:val="10"/>
            </w:pPr>
            <w:r>
              <w:t>人民调解案件数</w:t>
            </w:r>
          </w:p>
        </w:tc>
        <w:tc>
          <w:tcPr>
            <w:tcW w:w="2551" w:type="dxa"/>
            <w:vAlign w:val="center"/>
          </w:tcPr>
          <w:p>
            <w:pPr>
              <w:pStyle w:val="10"/>
            </w:pPr>
            <w:r>
              <w:t>≥2300件</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基层法律服务工作者执业核准率(</w:t>
            </w:r>
          </w:p>
        </w:tc>
        <w:tc>
          <w:tcPr>
            <w:tcW w:w="2835" w:type="dxa"/>
            <w:vAlign w:val="center"/>
          </w:tcPr>
          <w:p>
            <w:pPr>
              <w:pStyle w:val="10"/>
            </w:pPr>
            <w:r>
              <w:t>基层法律服务工作者执业核准率(%)</w:t>
            </w:r>
          </w:p>
        </w:tc>
        <w:tc>
          <w:tcPr>
            <w:tcW w:w="2551" w:type="dxa"/>
            <w:vAlign w:val="center"/>
          </w:tcPr>
          <w:p>
            <w:pPr>
              <w:pStyle w:val="10"/>
            </w:pPr>
            <w:r>
              <w:t>≥90百分比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按时保证基层业务工作开展</w:t>
            </w:r>
          </w:p>
        </w:tc>
        <w:tc>
          <w:tcPr>
            <w:tcW w:w="2835" w:type="dxa"/>
            <w:vAlign w:val="center"/>
          </w:tcPr>
          <w:p>
            <w:pPr>
              <w:pStyle w:val="10"/>
            </w:pPr>
            <w:r>
              <w:t>按时保证基层业务工作开展</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严格控制在预算内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、普法宣传绩效目标表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1.加强法治宣传教育阵地建设，在全县营造宪法至上、人人学法知法懂法用法的法治氛围。</w:t>
            </w:r>
          </w:p>
          <w:p>
            <w:pPr>
              <w:pStyle w:val="10"/>
            </w:pPr>
            <w:r>
              <w:t>2.加强对全县各部门谁执法谁普法的督导，推进全民法治。</w:t>
            </w:r>
          </w:p>
          <w:p>
            <w:pPr>
              <w:pStyle w:val="10"/>
            </w:pPr>
            <w:r>
              <w:t>3.指导监督全县国家工作人员学法用法懂法，加强青少年普法。</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组织主题宣传活动场次</w:t>
            </w:r>
          </w:p>
        </w:tc>
        <w:tc>
          <w:tcPr>
            <w:tcW w:w="2835" w:type="dxa"/>
            <w:vAlign w:val="center"/>
          </w:tcPr>
          <w:p>
            <w:pPr>
              <w:pStyle w:val="10"/>
            </w:pPr>
            <w:r>
              <w:t>普法宣传活动次数</w:t>
            </w:r>
          </w:p>
        </w:tc>
        <w:tc>
          <w:tcPr>
            <w:tcW w:w="2551" w:type="dxa"/>
            <w:vAlign w:val="center"/>
          </w:tcPr>
          <w:p>
            <w:pPr>
              <w:pStyle w:val="10"/>
            </w:pPr>
            <w:r>
              <w:t>≥50次</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普法覆盖率</w:t>
            </w:r>
          </w:p>
        </w:tc>
        <w:tc>
          <w:tcPr>
            <w:tcW w:w="2835" w:type="dxa"/>
            <w:vAlign w:val="center"/>
          </w:tcPr>
          <w:p>
            <w:pPr>
              <w:pStyle w:val="10"/>
            </w:pPr>
            <w:r>
              <w:t>普法覆盖面积</w:t>
            </w:r>
          </w:p>
        </w:tc>
        <w:tc>
          <w:tcPr>
            <w:tcW w:w="2551" w:type="dxa"/>
            <w:vAlign w:val="center"/>
          </w:tcPr>
          <w:p>
            <w:pPr>
              <w:pStyle w:val="10"/>
            </w:pPr>
            <w:r>
              <w:t>≥95百分比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及时完成目标i</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严格按制在预算内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、其他司法支出绩效目标表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1.保障各职能科室设备正常运行</w:t>
            </w:r>
          </w:p>
          <w:p>
            <w:pPr>
              <w:pStyle w:val="10"/>
            </w:pPr>
            <w:r>
              <w:t>2.指导本单位系统网络信息化建设，提升各职能科室办公效率</w:t>
            </w:r>
          </w:p>
          <w:p>
            <w:pPr>
              <w:pStyle w:val="10"/>
            </w:pPr>
            <w:r>
              <w:t>3.各职能科室办公设备合格。</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办公家具和办公设备购置数量（台</w:t>
            </w:r>
          </w:p>
        </w:tc>
        <w:tc>
          <w:tcPr>
            <w:tcW w:w="2835" w:type="dxa"/>
            <w:vAlign w:val="center"/>
          </w:tcPr>
          <w:p>
            <w:pPr>
              <w:pStyle w:val="10"/>
            </w:pPr>
            <w:r>
              <w:t>办公家具和办公设备购置数量（台/件/辆/套）</w:t>
            </w:r>
          </w:p>
        </w:tc>
        <w:tc>
          <w:tcPr>
            <w:tcW w:w="2551" w:type="dxa"/>
            <w:vAlign w:val="center"/>
          </w:tcPr>
          <w:p>
            <w:pPr>
              <w:pStyle w:val="10"/>
            </w:pPr>
            <w:r>
              <w:t>≥50台</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购置质量合格率（%）</w:t>
            </w:r>
          </w:p>
        </w:tc>
        <w:tc>
          <w:tcPr>
            <w:tcW w:w="2835" w:type="dxa"/>
            <w:vAlign w:val="center"/>
          </w:tcPr>
          <w:p>
            <w:pPr>
              <w:pStyle w:val="10"/>
            </w:pPr>
            <w:r>
              <w:t>购置质量合格率（%）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购置计划执行率</w:t>
            </w:r>
          </w:p>
        </w:tc>
        <w:tc>
          <w:tcPr>
            <w:tcW w:w="2835" w:type="dxa"/>
            <w:vAlign w:val="center"/>
          </w:tcPr>
          <w:p>
            <w:pPr>
              <w:pStyle w:val="10"/>
            </w:pPr>
            <w:r>
              <w:t>购置计划执行率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严格按制在预算内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业务保障能力持续提升</w:t>
            </w:r>
          </w:p>
        </w:tc>
        <w:tc>
          <w:tcPr>
            <w:tcW w:w="2835" w:type="dxa"/>
            <w:vAlign w:val="center"/>
          </w:tcPr>
          <w:p>
            <w:pPr>
              <w:pStyle w:val="10"/>
            </w:pPr>
            <w:r>
              <w:t>为工作人员提供良好的办公环境，保障业务开展</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设备使用率</w:t>
            </w:r>
          </w:p>
        </w:tc>
        <w:tc>
          <w:tcPr>
            <w:tcW w:w="2835" w:type="dxa"/>
            <w:vAlign w:val="center"/>
          </w:tcPr>
          <w:p>
            <w:pPr>
              <w:pStyle w:val="10"/>
            </w:pPr>
            <w:r>
              <w:t>设备使用率</w:t>
            </w:r>
          </w:p>
        </w:tc>
        <w:tc>
          <w:tcPr>
            <w:tcW w:w="2551" w:type="dxa"/>
            <w:vAlign w:val="center"/>
          </w:tcPr>
          <w:p>
            <w:pPr>
              <w:pStyle w:val="10"/>
            </w:pPr>
            <w:r>
              <w:t>100百分比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、社区矫正 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1.提高教育矫正工作质量，组织社区矫正和安置帮教工作人员培训。</w:t>
            </w:r>
          </w:p>
          <w:p>
            <w:pPr>
              <w:pStyle w:val="10"/>
            </w:pPr>
            <w:r>
              <w:t>2.加强对社区服刑对象、刑释人员的监督管理，组织社区服刑对象学习教育和刑释人员帮教工作。</w:t>
            </w:r>
          </w:p>
          <w:p>
            <w:pPr>
              <w:pStyle w:val="10"/>
            </w:pPr>
            <w:r>
              <w:t>3.提高社区矫正人员法治意识，降低再犯罪率，维护社会和谐稳定。</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社区矫正人数(人）</w:t>
            </w:r>
          </w:p>
        </w:tc>
        <w:tc>
          <w:tcPr>
            <w:tcW w:w="2835" w:type="dxa"/>
            <w:vAlign w:val="center"/>
          </w:tcPr>
          <w:p>
            <w:pPr>
              <w:pStyle w:val="10"/>
            </w:pPr>
            <w:r>
              <w:t>社区矫正人数(人）</w:t>
            </w:r>
          </w:p>
        </w:tc>
        <w:tc>
          <w:tcPr>
            <w:tcW w:w="2551" w:type="dxa"/>
            <w:vAlign w:val="center"/>
          </w:tcPr>
          <w:p>
            <w:pPr>
              <w:pStyle w:val="10"/>
            </w:pPr>
            <w:r>
              <w:t>≥155人</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社区矫正执法人员学习时间达标率</w:t>
            </w:r>
          </w:p>
        </w:tc>
        <w:tc>
          <w:tcPr>
            <w:tcW w:w="2835" w:type="dxa"/>
            <w:vAlign w:val="center"/>
          </w:tcPr>
          <w:p>
            <w:pPr>
              <w:pStyle w:val="10"/>
            </w:pPr>
            <w:r>
              <w:t>社区矫正执法人员学习时间达标率</w:t>
            </w:r>
          </w:p>
        </w:tc>
        <w:tc>
          <w:tcPr>
            <w:tcW w:w="2551" w:type="dxa"/>
            <w:vAlign w:val="center"/>
          </w:tcPr>
          <w:p>
            <w:pPr>
              <w:pStyle w:val="10"/>
            </w:pPr>
            <w:r>
              <w:t>≥95百分比</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及时性</w:t>
            </w:r>
          </w:p>
        </w:tc>
        <w:tc>
          <w:tcPr>
            <w:tcW w:w="2551" w:type="dxa"/>
            <w:vAlign w:val="center"/>
          </w:tcPr>
          <w:p>
            <w:pPr>
              <w:pStyle w:val="10"/>
            </w:pPr>
            <w:r>
              <w:t>及时完成</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2835" w:type="dxa"/>
            <w:vAlign w:val="center"/>
          </w:tcPr>
          <w:p>
            <w:pPr>
              <w:pStyle w:val="10"/>
            </w:pPr>
            <w:r>
              <w:t>控制在预算内</w:t>
            </w:r>
          </w:p>
        </w:tc>
        <w:tc>
          <w:tcPr>
            <w:tcW w:w="2551" w:type="dxa"/>
            <w:vAlign w:val="center"/>
          </w:tcPr>
          <w:p>
            <w:pPr>
              <w:pStyle w:val="10"/>
            </w:pPr>
            <w:r>
              <w:t>严格按制在预算内</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无</w:t>
            </w:r>
          </w:p>
        </w:tc>
        <w:tc>
          <w:tcPr>
            <w:tcW w:w="2835" w:type="dxa"/>
            <w:vAlign w:val="center"/>
          </w:tcPr>
          <w:p>
            <w:pPr>
              <w:pStyle w:val="10"/>
            </w:pPr>
            <w:r>
              <w:t>无</w:t>
            </w:r>
          </w:p>
        </w:tc>
        <w:tc>
          <w:tcPr>
            <w:tcW w:w="2551" w:type="dxa"/>
            <w:vAlign w:val="center"/>
          </w:tcPr>
          <w:p>
            <w:pPr>
              <w:pStyle w:val="10"/>
            </w:pPr>
            <w:r>
              <w:t>无</w:t>
            </w:r>
          </w:p>
        </w:tc>
        <w:tc>
          <w:tcPr>
            <w:tcW w:w="2268" w:type="dxa"/>
            <w:vAlign w:val="center"/>
          </w:tcPr>
          <w:p>
            <w:pPr>
              <w:pStyle w:val="10"/>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明显提升</w:t>
            </w:r>
          </w:p>
        </w:tc>
        <w:tc>
          <w:tcPr>
            <w:tcW w:w="2268"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年初工作安排</w:t>
            </w:r>
          </w:p>
        </w:tc>
      </w:tr>
    </w:tbl>
    <w:p>
      <w:pPr>
        <w:sectPr>
          <w:pgSz w:w="16840" w:h="11900" w:orient="landscape"/>
          <w:pgMar w:top="1361" w:right="1020" w:bottom="1134" w:left="1020" w:header="720" w:footer="720" w:gutter="0"/>
          <w:cols w:space="720" w:num="1"/>
        </w:sectPr>
      </w:pPr>
    </w:p>
    <w:p>
      <w:pPr>
        <w:spacing w:before="10" w:after="10"/>
        <w:ind w:firstLine="640" w:firstLineChars="20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2022年，司法安排政府采购预算</w:t>
      </w:r>
      <w:r>
        <w:rPr>
          <w:rFonts w:hint="eastAsia" w:eastAsia="方正仿宋_GBK"/>
          <w:color w:val="000000"/>
          <w:sz w:val="28"/>
          <w:lang w:val="en-US" w:eastAsia="zh-CN"/>
        </w:rPr>
        <w:t>27.6</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315司法</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2" w:hRule="atLeast"/>
          <w:jc w:val="center"/>
        </w:trPr>
        <w:tc>
          <w:tcPr>
            <w:tcW w:w="1701" w:type="dxa"/>
            <w:vAlign w:val="center"/>
          </w:tcPr>
          <w:p>
            <w:pPr>
              <w:pStyle w:val="10"/>
              <w:ind w:firstLine="210" w:firstLineChars="100"/>
              <w:rPr>
                <w:rFonts w:hint="eastAsia"/>
                <w:lang w:eastAsia="zh-CN"/>
              </w:rPr>
            </w:pPr>
            <w:r>
              <w:rPr>
                <w:rFonts w:hint="eastAsia"/>
                <w:lang w:eastAsia="zh-CN"/>
              </w:rPr>
              <w:t>基层司法</w:t>
            </w:r>
          </w:p>
        </w:tc>
        <w:tc>
          <w:tcPr>
            <w:tcW w:w="964" w:type="dxa"/>
            <w:vAlign w:val="center"/>
          </w:tcPr>
          <w:p>
            <w:pPr>
              <w:pStyle w:val="9"/>
              <w:jc w:val="center"/>
              <w:rPr>
                <w:rFonts w:hint="default"/>
                <w:lang w:val="en-US" w:eastAsia="zh-CN"/>
              </w:rPr>
            </w:pPr>
            <w:r>
              <w:rPr>
                <w:rFonts w:hint="eastAsia"/>
                <w:lang w:val="en-US" w:eastAsia="zh-CN"/>
              </w:rPr>
              <w:t>8.1</w:t>
            </w:r>
          </w:p>
        </w:tc>
        <w:tc>
          <w:tcPr>
            <w:tcW w:w="1134" w:type="dxa"/>
            <w:vAlign w:val="center"/>
          </w:tcPr>
          <w:p>
            <w:pPr>
              <w:pStyle w:val="10"/>
              <w:rPr>
                <w:rFonts w:hint="eastAsia"/>
                <w:lang w:eastAsia="zh-CN"/>
              </w:rPr>
            </w:pPr>
            <w:r>
              <w:rPr>
                <w:rFonts w:hint="eastAsia"/>
                <w:lang w:eastAsia="zh-CN"/>
              </w:rPr>
              <w:t>办公设备购置</w:t>
            </w:r>
          </w:p>
        </w:tc>
        <w:tc>
          <w:tcPr>
            <w:tcW w:w="1134" w:type="dxa"/>
            <w:vAlign w:val="center"/>
          </w:tcPr>
          <w:p>
            <w:pPr>
              <w:pStyle w:val="10"/>
            </w:pPr>
          </w:p>
        </w:tc>
        <w:tc>
          <w:tcPr>
            <w:tcW w:w="709" w:type="dxa"/>
            <w:vAlign w:val="center"/>
          </w:tcPr>
          <w:p>
            <w:pPr>
              <w:pStyle w:val="11"/>
              <w:rPr>
                <w:rFonts w:hint="eastAsia"/>
                <w:lang w:eastAsia="zh-CN"/>
              </w:rPr>
            </w:pPr>
            <w:r>
              <w:rPr>
                <w:rFonts w:hint="eastAsia"/>
                <w:lang w:eastAsia="zh-CN"/>
              </w:rPr>
              <w:t>台</w:t>
            </w:r>
          </w:p>
        </w:tc>
        <w:tc>
          <w:tcPr>
            <w:tcW w:w="850" w:type="dxa"/>
            <w:vAlign w:val="center"/>
          </w:tcPr>
          <w:p>
            <w:pPr>
              <w:pStyle w:val="9"/>
              <w:rPr>
                <w:rFonts w:hint="default"/>
                <w:lang w:val="en-US" w:eastAsia="zh-CN"/>
              </w:rPr>
            </w:pPr>
            <w:r>
              <w:rPr>
                <w:rFonts w:hint="eastAsia"/>
                <w:lang w:val="en-US" w:eastAsia="zh-CN"/>
              </w:rPr>
              <w:t>20</w:t>
            </w:r>
          </w:p>
        </w:tc>
        <w:tc>
          <w:tcPr>
            <w:tcW w:w="850" w:type="dxa"/>
            <w:vAlign w:val="center"/>
          </w:tcPr>
          <w:p>
            <w:pPr>
              <w:pStyle w:val="9"/>
              <w:rPr>
                <w:rFonts w:hint="default"/>
                <w:lang w:val="en-US" w:eastAsia="zh-CN"/>
              </w:rPr>
            </w:pPr>
            <w:r>
              <w:rPr>
                <w:rFonts w:hint="eastAsia"/>
                <w:lang w:val="en-US" w:eastAsia="zh-CN"/>
              </w:rPr>
              <w:t>0.41</w:t>
            </w:r>
          </w:p>
        </w:tc>
        <w:tc>
          <w:tcPr>
            <w:tcW w:w="964" w:type="dxa"/>
            <w:vAlign w:val="center"/>
          </w:tcPr>
          <w:p>
            <w:pPr>
              <w:pStyle w:val="9"/>
              <w:rPr>
                <w:rFonts w:hint="default"/>
                <w:lang w:val="en-US" w:eastAsia="zh-CN"/>
              </w:rPr>
            </w:pPr>
            <w:r>
              <w:rPr>
                <w:rFonts w:hint="eastAsia"/>
                <w:lang w:val="en-US" w:eastAsia="zh-CN"/>
              </w:rPr>
              <w:t>8.1</w:t>
            </w:r>
          </w:p>
        </w:tc>
        <w:tc>
          <w:tcPr>
            <w:tcW w:w="964" w:type="dxa"/>
            <w:vAlign w:val="center"/>
          </w:tcPr>
          <w:p>
            <w:pPr>
              <w:pStyle w:val="9"/>
              <w:rPr>
                <w:rFonts w:hint="default"/>
                <w:lang w:val="en-US" w:eastAsia="zh-CN"/>
              </w:rPr>
            </w:pPr>
            <w:r>
              <w:rPr>
                <w:rFonts w:hint="eastAsia"/>
                <w:lang w:val="en-US" w:eastAsia="zh-CN"/>
              </w:rPr>
              <w:t>8.1</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rPr>
                <w:rFonts w:hint="default"/>
                <w:lang w:val="en-US" w:eastAsia="zh-CN"/>
              </w:rPr>
            </w:pPr>
            <w:r>
              <w:rPr>
                <w:rFonts w:hint="eastAsia"/>
                <w:lang w:val="en-US" w:eastAsia="zh-CN"/>
              </w:rPr>
              <w:t>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2" w:hRule="atLeast"/>
          <w:jc w:val="center"/>
        </w:trPr>
        <w:tc>
          <w:tcPr>
            <w:tcW w:w="1701" w:type="dxa"/>
            <w:vAlign w:val="center"/>
          </w:tcPr>
          <w:p>
            <w:pPr>
              <w:pStyle w:val="10"/>
              <w:ind w:firstLine="210" w:firstLineChars="100"/>
              <w:rPr>
                <w:rFonts w:hint="eastAsia" w:eastAsia="方正书宋_GBK"/>
                <w:lang w:eastAsia="zh-CN"/>
              </w:rPr>
            </w:pPr>
            <w:r>
              <w:rPr>
                <w:rFonts w:hint="eastAsia"/>
                <w:lang w:eastAsia="zh-CN"/>
              </w:rPr>
              <w:t>其他司法支出</w:t>
            </w:r>
          </w:p>
        </w:tc>
        <w:tc>
          <w:tcPr>
            <w:tcW w:w="964" w:type="dxa"/>
            <w:vAlign w:val="center"/>
          </w:tcPr>
          <w:p>
            <w:pPr>
              <w:pStyle w:val="9"/>
              <w:jc w:val="center"/>
              <w:rPr>
                <w:rFonts w:hint="default" w:eastAsia="方正书宋_GBK"/>
                <w:lang w:val="en-US" w:eastAsia="zh-CN"/>
              </w:rPr>
            </w:pPr>
            <w:r>
              <w:rPr>
                <w:rFonts w:hint="eastAsia"/>
                <w:lang w:val="en-US" w:eastAsia="zh-CN"/>
              </w:rPr>
              <w:t>19.5</w:t>
            </w:r>
          </w:p>
        </w:tc>
        <w:tc>
          <w:tcPr>
            <w:tcW w:w="1134" w:type="dxa"/>
            <w:vAlign w:val="center"/>
          </w:tcPr>
          <w:p>
            <w:pPr>
              <w:pStyle w:val="10"/>
              <w:rPr>
                <w:rFonts w:hint="eastAsia" w:eastAsia="方正书宋_GBK"/>
                <w:lang w:eastAsia="zh-CN"/>
              </w:rPr>
            </w:pPr>
            <w:r>
              <w:rPr>
                <w:rFonts w:hint="eastAsia"/>
                <w:lang w:eastAsia="zh-CN"/>
              </w:rPr>
              <w:t>办公设备购置</w:t>
            </w:r>
          </w:p>
        </w:tc>
        <w:tc>
          <w:tcPr>
            <w:tcW w:w="1134" w:type="dxa"/>
            <w:vAlign w:val="center"/>
          </w:tcPr>
          <w:p>
            <w:pPr>
              <w:pStyle w:val="10"/>
            </w:pPr>
          </w:p>
        </w:tc>
        <w:tc>
          <w:tcPr>
            <w:tcW w:w="709" w:type="dxa"/>
            <w:vAlign w:val="center"/>
          </w:tcPr>
          <w:p>
            <w:pPr>
              <w:pStyle w:val="11"/>
              <w:rPr>
                <w:rFonts w:hint="eastAsia" w:eastAsia="方正书宋_GBK"/>
                <w:lang w:eastAsia="zh-CN"/>
              </w:rPr>
            </w:pPr>
            <w:r>
              <w:rPr>
                <w:rFonts w:hint="eastAsia"/>
                <w:lang w:eastAsia="zh-CN"/>
              </w:rPr>
              <w:t>台</w:t>
            </w:r>
          </w:p>
        </w:tc>
        <w:tc>
          <w:tcPr>
            <w:tcW w:w="850" w:type="dxa"/>
            <w:vAlign w:val="center"/>
          </w:tcPr>
          <w:p>
            <w:pPr>
              <w:pStyle w:val="9"/>
              <w:rPr>
                <w:rFonts w:hint="default" w:eastAsia="方正书宋_GBK"/>
                <w:lang w:val="en-US" w:eastAsia="zh-CN"/>
              </w:rPr>
            </w:pPr>
            <w:r>
              <w:rPr>
                <w:rFonts w:hint="eastAsia"/>
                <w:lang w:val="en-US" w:eastAsia="zh-CN"/>
              </w:rPr>
              <w:t>55</w:t>
            </w:r>
          </w:p>
        </w:tc>
        <w:tc>
          <w:tcPr>
            <w:tcW w:w="850" w:type="dxa"/>
            <w:vAlign w:val="center"/>
          </w:tcPr>
          <w:p>
            <w:pPr>
              <w:pStyle w:val="9"/>
              <w:rPr>
                <w:rFonts w:hint="default" w:eastAsia="方正书宋_GBK"/>
                <w:lang w:val="en-US" w:eastAsia="zh-CN"/>
              </w:rPr>
            </w:pPr>
            <w:r>
              <w:rPr>
                <w:rFonts w:hint="eastAsia"/>
                <w:lang w:val="en-US" w:eastAsia="zh-CN"/>
              </w:rPr>
              <w:t>0.39</w:t>
            </w:r>
          </w:p>
        </w:tc>
        <w:tc>
          <w:tcPr>
            <w:tcW w:w="964" w:type="dxa"/>
            <w:vAlign w:val="center"/>
          </w:tcPr>
          <w:p>
            <w:pPr>
              <w:pStyle w:val="9"/>
              <w:rPr>
                <w:rFonts w:hint="default" w:eastAsia="方正书宋_GBK"/>
                <w:lang w:val="en-US" w:eastAsia="zh-CN"/>
              </w:rPr>
            </w:pPr>
            <w:r>
              <w:rPr>
                <w:rFonts w:hint="eastAsia"/>
                <w:lang w:val="en-US" w:eastAsia="zh-CN"/>
              </w:rPr>
              <w:t>19.5</w:t>
            </w:r>
          </w:p>
        </w:tc>
        <w:tc>
          <w:tcPr>
            <w:tcW w:w="964" w:type="dxa"/>
            <w:vAlign w:val="center"/>
          </w:tcPr>
          <w:p>
            <w:pPr>
              <w:pStyle w:val="9"/>
              <w:rPr>
                <w:rFonts w:hint="default" w:eastAsia="方正书宋_GBK"/>
                <w:lang w:val="en-US" w:eastAsia="zh-CN"/>
              </w:rPr>
            </w:pPr>
            <w:r>
              <w:rPr>
                <w:rFonts w:hint="eastAsia"/>
                <w:lang w:val="en-US" w:eastAsia="zh-CN"/>
              </w:rPr>
              <w:t>19.5</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rPr>
                <w:rFonts w:hint="default" w:eastAsia="方正书宋_GBK"/>
                <w:lang w:val="en-US" w:eastAsia="zh-CN"/>
              </w:rPr>
            </w:pPr>
            <w:r>
              <w:rPr>
                <w:rFonts w:hint="eastAsia"/>
                <w:lang w:val="en-US" w:eastAsia="zh-CN"/>
              </w:rP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2" w:hRule="atLeast"/>
          <w:jc w:val="center"/>
        </w:trPr>
        <w:tc>
          <w:tcPr>
            <w:tcW w:w="1701" w:type="dxa"/>
            <w:vAlign w:val="center"/>
          </w:tcPr>
          <w:p>
            <w:pPr>
              <w:pStyle w:val="10"/>
              <w:ind w:firstLine="210" w:firstLineChars="100"/>
              <w:rPr>
                <w:rFonts w:hint="eastAsia"/>
                <w:lang w:eastAsia="zh-CN"/>
              </w:rPr>
            </w:pPr>
            <w:r>
              <w:rPr>
                <w:rFonts w:hint="eastAsia"/>
                <w:lang w:eastAsia="zh-CN"/>
              </w:rPr>
              <w:t>合计：</w:t>
            </w:r>
          </w:p>
        </w:tc>
        <w:tc>
          <w:tcPr>
            <w:tcW w:w="964" w:type="dxa"/>
            <w:vAlign w:val="center"/>
          </w:tcPr>
          <w:p>
            <w:pPr>
              <w:pStyle w:val="9"/>
              <w:jc w:val="center"/>
              <w:rPr>
                <w:rFonts w:hint="default"/>
                <w:lang w:val="en-US" w:eastAsia="zh-CN"/>
              </w:rPr>
            </w:pPr>
            <w:r>
              <w:rPr>
                <w:rFonts w:hint="eastAsia"/>
                <w:lang w:val="en-US" w:eastAsia="zh-CN"/>
              </w:rPr>
              <w:t>27.6</w:t>
            </w:r>
          </w:p>
        </w:tc>
        <w:tc>
          <w:tcPr>
            <w:tcW w:w="1134" w:type="dxa"/>
            <w:vAlign w:val="center"/>
          </w:tcPr>
          <w:p>
            <w:pPr>
              <w:pStyle w:val="10"/>
              <w:rPr>
                <w:rFonts w:hint="eastAsia"/>
                <w:lang w:eastAsia="zh-CN"/>
              </w:rPr>
            </w:pPr>
          </w:p>
        </w:tc>
        <w:tc>
          <w:tcPr>
            <w:tcW w:w="1134" w:type="dxa"/>
            <w:vAlign w:val="center"/>
          </w:tcPr>
          <w:p>
            <w:pPr>
              <w:pStyle w:val="10"/>
            </w:pPr>
          </w:p>
        </w:tc>
        <w:tc>
          <w:tcPr>
            <w:tcW w:w="709" w:type="dxa"/>
            <w:vAlign w:val="center"/>
          </w:tcPr>
          <w:p>
            <w:pPr>
              <w:pStyle w:val="11"/>
              <w:rPr>
                <w:rFonts w:hint="eastAsia"/>
                <w:lang w:eastAsia="zh-CN"/>
              </w:rPr>
            </w:pPr>
            <w:r>
              <w:rPr>
                <w:rFonts w:hint="eastAsia"/>
                <w:lang w:eastAsia="zh-CN"/>
              </w:rPr>
              <w:t>台</w:t>
            </w:r>
          </w:p>
        </w:tc>
        <w:tc>
          <w:tcPr>
            <w:tcW w:w="850" w:type="dxa"/>
            <w:vAlign w:val="center"/>
          </w:tcPr>
          <w:p>
            <w:pPr>
              <w:pStyle w:val="9"/>
              <w:rPr>
                <w:rFonts w:hint="default"/>
                <w:lang w:val="en-US" w:eastAsia="zh-CN"/>
              </w:rPr>
            </w:pPr>
            <w:r>
              <w:rPr>
                <w:rFonts w:hint="eastAsia"/>
                <w:lang w:val="en-US" w:eastAsia="zh-CN"/>
              </w:rPr>
              <w:t>75</w:t>
            </w:r>
          </w:p>
        </w:tc>
        <w:tc>
          <w:tcPr>
            <w:tcW w:w="850" w:type="dxa"/>
            <w:vAlign w:val="center"/>
          </w:tcPr>
          <w:p>
            <w:pPr>
              <w:pStyle w:val="9"/>
              <w:rPr>
                <w:rFonts w:hint="default"/>
                <w:lang w:val="en-US" w:eastAsia="zh-CN"/>
              </w:rPr>
            </w:pPr>
            <w:r>
              <w:rPr>
                <w:rFonts w:hint="eastAsia"/>
                <w:lang w:val="en-US" w:eastAsia="zh-CN"/>
              </w:rPr>
              <w:t>0.8</w:t>
            </w:r>
          </w:p>
        </w:tc>
        <w:tc>
          <w:tcPr>
            <w:tcW w:w="964" w:type="dxa"/>
            <w:vAlign w:val="center"/>
          </w:tcPr>
          <w:p>
            <w:pPr>
              <w:pStyle w:val="9"/>
              <w:rPr>
                <w:rFonts w:hint="default"/>
                <w:lang w:val="en-US" w:eastAsia="zh-CN"/>
              </w:rPr>
            </w:pPr>
            <w:r>
              <w:rPr>
                <w:rFonts w:hint="eastAsia"/>
                <w:lang w:val="en-US" w:eastAsia="zh-CN"/>
              </w:rPr>
              <w:t>27.6</w:t>
            </w:r>
          </w:p>
        </w:tc>
        <w:tc>
          <w:tcPr>
            <w:tcW w:w="964" w:type="dxa"/>
            <w:vAlign w:val="center"/>
          </w:tcPr>
          <w:p>
            <w:pPr>
              <w:pStyle w:val="9"/>
              <w:rPr>
                <w:rFonts w:hint="default"/>
                <w:lang w:val="en-US" w:eastAsia="zh-CN"/>
              </w:rPr>
            </w:pPr>
            <w:r>
              <w:rPr>
                <w:rFonts w:hint="eastAsia"/>
                <w:lang w:val="en-US" w:eastAsia="zh-CN"/>
              </w:rPr>
              <w:t>27.6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rPr>
                <w:rFonts w:hint="default"/>
                <w:lang w:val="en-US" w:eastAsia="zh-CN"/>
              </w:rPr>
            </w:pPr>
            <w:r>
              <w:rPr>
                <w:rFonts w:hint="eastAsia"/>
                <w:lang w:val="en-US" w:eastAsia="zh-CN"/>
              </w:rPr>
              <w:t>27.6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rPr>
          <w:rFonts w:ascii="黑体" w:hAnsi="黑体" w:eastAsia="黑体" w:cs="黑体"/>
          <w:color w:val="000000"/>
          <w:sz w:val="32"/>
        </w:rPr>
      </w:pPr>
      <w:bookmarkStart w:id="15" w:name="_Toc_3_3_0000000016"/>
    </w:p>
    <w:p>
      <w:pPr>
        <w:spacing w:before="10" w:after="10"/>
        <w:ind w:firstLine="640"/>
        <w:outlineLvl w:val="2"/>
      </w:pPr>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司法（含所属单位）上年末固定资产金额为391.99万元（详见下表）。本年度拟购置固定资产总额为27.60万元，已按要求列入政府采购预算，详见政府采购预算表。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315司法</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391.99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1440</w:t>
            </w:r>
          </w:p>
        </w:tc>
        <w:tc>
          <w:tcPr>
            <w:tcW w:w="2835" w:type="dxa"/>
            <w:vAlign w:val="center"/>
          </w:tcPr>
          <w:p>
            <w:pPr>
              <w:pStyle w:val="9"/>
            </w:pPr>
            <w:r>
              <w:t>77.60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1440</w:t>
            </w:r>
          </w:p>
        </w:tc>
        <w:tc>
          <w:tcPr>
            <w:tcW w:w="2835" w:type="dxa"/>
            <w:vAlign w:val="center"/>
          </w:tcPr>
          <w:p>
            <w:pPr>
              <w:pStyle w:val="9"/>
            </w:pPr>
            <w:r>
              <w:t>77.60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6</w:t>
            </w:r>
          </w:p>
        </w:tc>
        <w:tc>
          <w:tcPr>
            <w:tcW w:w="2835" w:type="dxa"/>
            <w:vAlign w:val="center"/>
          </w:tcPr>
          <w:p>
            <w:pPr>
              <w:pStyle w:val="9"/>
            </w:pPr>
            <w:r>
              <w:t>87.43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rPr>
                <w:rFonts w:hint="default" w:eastAsia="方正书宋_GBK"/>
                <w:lang w:val="en-US" w:eastAsia="zh-CN"/>
              </w:rPr>
            </w:pPr>
            <w:r>
              <w:rPr>
                <w:rFonts w:hint="eastAsia"/>
                <w:lang w:val="en-US" w:eastAsia="zh-CN"/>
              </w:rPr>
              <w:t>226.96</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bookmarkStart w:id="17" w:name="_Toc_3_3_0000000018"/>
    </w:p>
    <w:p>
      <w:pPr>
        <w:spacing w:before="10" w:after="10"/>
        <w:ind w:firstLine="640"/>
        <w:outlineLvl w:val="2"/>
      </w:pPr>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39188"/>
    <w:multiLevelType w:val="singleLevel"/>
    <w:tmpl w:val="4A439188"/>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UwMTdiM2IxY2ExMTc1YjA0NTBiZTA4MjEwOWNjMmEifQ=="/>
  </w:docVars>
  <w:rsids>
    <w:rsidRoot w:val="00DE2744"/>
    <w:rsid w:val="00882F98"/>
    <w:rsid w:val="00DE2744"/>
    <w:rsid w:val="00F80234"/>
    <w:rsid w:val="04237F9E"/>
    <w:rsid w:val="04A40838"/>
    <w:rsid w:val="088D43C5"/>
    <w:rsid w:val="0B3E4EFF"/>
    <w:rsid w:val="0C025376"/>
    <w:rsid w:val="0D432DF4"/>
    <w:rsid w:val="0F7C4359"/>
    <w:rsid w:val="10E45239"/>
    <w:rsid w:val="164B6F7F"/>
    <w:rsid w:val="20026B37"/>
    <w:rsid w:val="207E2F66"/>
    <w:rsid w:val="25BB709C"/>
    <w:rsid w:val="27002AD9"/>
    <w:rsid w:val="2D6974A3"/>
    <w:rsid w:val="302B1234"/>
    <w:rsid w:val="35557A7F"/>
    <w:rsid w:val="35D6396C"/>
    <w:rsid w:val="38313B13"/>
    <w:rsid w:val="3ABA62A6"/>
    <w:rsid w:val="3D2F6FB0"/>
    <w:rsid w:val="3D955E4E"/>
    <w:rsid w:val="3F961B2E"/>
    <w:rsid w:val="49202861"/>
    <w:rsid w:val="56EA2400"/>
    <w:rsid w:val="579D0138"/>
    <w:rsid w:val="584C5952"/>
    <w:rsid w:val="5E3D0C0C"/>
    <w:rsid w:val="5FBD6A34"/>
    <w:rsid w:val="5FDA6248"/>
    <w:rsid w:val="629D58C1"/>
    <w:rsid w:val="643419E7"/>
    <w:rsid w:val="65D45231"/>
    <w:rsid w:val="66011F9B"/>
    <w:rsid w:val="689A5514"/>
    <w:rsid w:val="699A04C3"/>
    <w:rsid w:val="6A451EBD"/>
    <w:rsid w:val="71952B08"/>
    <w:rsid w:val="73BE1CB4"/>
    <w:rsid w:val="77E74B21"/>
    <w:rsid w:val="7B7F123F"/>
    <w:rsid w:val="7C196859"/>
    <w:rsid w:val="7C534352"/>
    <w:rsid w:val="7EAA2930"/>
    <w:rsid w:val="7F32230E"/>
    <w:rsid w:val="7F630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6" Type="http://schemas.openxmlformats.org/officeDocument/2006/relationships/fontTable" Target="fontTable.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2022-02-28T09:54:15Z</dcterms:created>
  <dcterms:modified xsi:type="dcterms:W3CDTF">2022-02-28T01:54:15Z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2022-02-28T09:54:20Z</dcterms:created>
  <dcterms:modified xsi:type="dcterms:W3CDTF">2022-02-28T01:54:20Z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2022-02-28T09:54:18Z</dcterms:created>
  <dcterms:modified xsi:type="dcterms:W3CDTF">2022-02-28T01:54:18Z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2022-02-28T09:54:20Z</dcterms:created>
  <dcterms:modified xsi:type="dcterms:W3CDTF">2022-02-28T01:54:20Z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2022-02-28T09:54:15Z</dcterms:created>
  <dcterms:modified xsi:type="dcterms:W3CDTF">2022-02-28T01:54:15Z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2022-02-28T09:54:16Z</dcterms:created>
  <dcterms:modified xsi:type="dcterms:W3CDTF">2022-02-28T01:54:16Z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2022-02-28T09:54:19Z</dcterms:created>
  <dcterms:modified xsi:type="dcterms:W3CDTF">2022-02-28T01:54:19Z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2022-02-28T09:54:17Z</dcterms:created>
  <dcterms:modified xsi:type="dcterms:W3CDTF">2022-02-28T01:54:17Z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7FEBC5F-4DDD-416D-A1C7-C71A79FC6C56}">
  <ds:schemaRefs/>
</ds:datastoreItem>
</file>

<file path=customXml/itemProps11.xml><?xml version="1.0" encoding="utf-8"?>
<ds:datastoreItem xmlns:ds="http://schemas.openxmlformats.org/officeDocument/2006/customXml" ds:itemID="{096EC9A6-65D3-4CE4-9DA7-BB068B00FE32}">
  <ds:schemaRefs/>
</ds:datastoreItem>
</file>

<file path=customXml/itemProps12.xml><?xml version="1.0" encoding="utf-8"?>
<ds:datastoreItem xmlns:ds="http://schemas.openxmlformats.org/officeDocument/2006/customXml" ds:itemID="{62E162B0-8E7F-470A-9C55-54D93DFCC6A8}">
  <ds:schemaRefs/>
</ds:datastoreItem>
</file>

<file path=customXml/itemProps13.xml><?xml version="1.0" encoding="utf-8"?>
<ds:datastoreItem xmlns:ds="http://schemas.openxmlformats.org/officeDocument/2006/customXml" ds:itemID="{80BBBF20-3330-4B40-9EE1-927845E2532E}">
  <ds:schemaRefs/>
</ds:datastoreItem>
</file>

<file path=customXml/itemProps14.xml><?xml version="1.0" encoding="utf-8"?>
<ds:datastoreItem xmlns:ds="http://schemas.openxmlformats.org/officeDocument/2006/customXml" ds:itemID="{E6633A87-1061-423D-9D21-6EFDF7EA7E94}">
  <ds:schemaRefs/>
</ds:datastoreItem>
</file>

<file path=customXml/itemProps15.xml><?xml version="1.0" encoding="utf-8"?>
<ds:datastoreItem xmlns:ds="http://schemas.openxmlformats.org/officeDocument/2006/customXml" ds:itemID="{81CC20FD-C963-4ED3-BB1C-B6A80D5FBEDB}">
  <ds:schemaRefs/>
</ds:datastoreItem>
</file>

<file path=customXml/itemProps16.xml><?xml version="1.0" encoding="utf-8"?>
<ds:datastoreItem xmlns:ds="http://schemas.openxmlformats.org/officeDocument/2006/customXml" ds:itemID="{801B7D3F-1D0E-402F-8C29-0DF42EBAFB8C}">
  <ds:schemaRefs/>
</ds:datastoreItem>
</file>

<file path=customXml/itemProps17.xml><?xml version="1.0" encoding="utf-8"?>
<ds:datastoreItem xmlns:ds="http://schemas.openxmlformats.org/officeDocument/2006/customXml" ds:itemID="{1982AC58-EE9B-48C3-A317-885001906F8F}">
  <ds:schemaRefs/>
</ds:datastoreItem>
</file>

<file path=customXml/itemProps18.xml><?xml version="1.0" encoding="utf-8"?>
<ds:datastoreItem xmlns:ds="http://schemas.openxmlformats.org/officeDocument/2006/customXml" ds:itemID="{BC1B1542-F922-4A21-B888-E45227907000}">
  <ds:schemaRefs/>
</ds:datastoreItem>
</file>

<file path=customXml/itemProps19.xml><?xml version="1.0" encoding="utf-8"?>
<ds:datastoreItem xmlns:ds="http://schemas.openxmlformats.org/officeDocument/2006/customXml" ds:itemID="{8EBAAB9C-A32D-41B6-84A8-CA8AC340D741}">
  <ds:schemaRefs/>
</ds:datastoreItem>
</file>

<file path=customXml/itemProps2.xml><?xml version="1.0" encoding="utf-8"?>
<ds:datastoreItem xmlns:ds="http://schemas.openxmlformats.org/officeDocument/2006/customXml" ds:itemID="{F9D60ABB-EEAB-4203-B7B4-706B537500D8}">
  <ds:schemaRefs/>
</ds:datastoreItem>
</file>

<file path=customXml/itemProps20.xml><?xml version="1.0" encoding="utf-8"?>
<ds:datastoreItem xmlns:ds="http://schemas.openxmlformats.org/officeDocument/2006/customXml" ds:itemID="{021FA00C-C27E-4896-B382-A99321342F42}">
  <ds:schemaRefs/>
</ds:datastoreItem>
</file>

<file path=customXml/itemProps21.xml><?xml version="1.0" encoding="utf-8"?>
<ds:datastoreItem xmlns:ds="http://schemas.openxmlformats.org/officeDocument/2006/customXml" ds:itemID="{FF4E85D7-31C4-45D9-A102-740BAF2054D1}">
  <ds:schemaRefs/>
</ds:datastoreItem>
</file>

<file path=customXml/itemProps22.xml><?xml version="1.0" encoding="utf-8"?>
<ds:datastoreItem xmlns:ds="http://schemas.openxmlformats.org/officeDocument/2006/customXml" ds:itemID="{C9BCC928-A8C5-4DCC-8090-FA7E6DEC0B37}">
  <ds:schemaRefs/>
</ds:datastoreItem>
</file>

<file path=customXml/itemProps23.xml><?xml version="1.0" encoding="utf-8"?>
<ds:datastoreItem xmlns:ds="http://schemas.openxmlformats.org/officeDocument/2006/customXml" ds:itemID="{FC622887-8B7E-4E89-B17A-957EFCD6B655}">
  <ds:schemaRefs/>
</ds:datastoreItem>
</file>

<file path=customXml/itemProps24.xml><?xml version="1.0" encoding="utf-8"?>
<ds:datastoreItem xmlns:ds="http://schemas.openxmlformats.org/officeDocument/2006/customXml" ds:itemID="{35CC153A-6486-4204-B37C-AA5A4ECCDF29}">
  <ds:schemaRefs/>
</ds:datastoreItem>
</file>

<file path=customXml/itemProps25.xml><?xml version="1.0" encoding="utf-8"?>
<ds:datastoreItem xmlns:ds="http://schemas.openxmlformats.org/officeDocument/2006/customXml" ds:itemID="{BA208812-4F0D-4E24-8BC6-58D449188DDD}">
  <ds:schemaRefs/>
</ds:datastoreItem>
</file>

<file path=customXml/itemProps26.xml><?xml version="1.0" encoding="utf-8"?>
<ds:datastoreItem xmlns:ds="http://schemas.openxmlformats.org/officeDocument/2006/customXml" ds:itemID="{8E361B29-7815-49B3-B25C-79B7C2871B72}">
  <ds:schemaRefs/>
</ds:datastoreItem>
</file>

<file path=customXml/itemProps27.xml><?xml version="1.0" encoding="utf-8"?>
<ds:datastoreItem xmlns:ds="http://schemas.openxmlformats.org/officeDocument/2006/customXml" ds:itemID="{FB95BDE5-23E3-4050-A0DA-DB736E1612AE}">
  <ds:schemaRefs/>
</ds:datastoreItem>
</file>

<file path=customXml/itemProps28.xml><?xml version="1.0" encoding="utf-8"?>
<ds:datastoreItem xmlns:ds="http://schemas.openxmlformats.org/officeDocument/2006/customXml" ds:itemID="{866DC7F1-829C-4DB4-AB7D-45CC99ED64EE}">
  <ds:schemaRefs/>
</ds:datastoreItem>
</file>

<file path=customXml/itemProps29.xml><?xml version="1.0" encoding="utf-8"?>
<ds:datastoreItem xmlns:ds="http://schemas.openxmlformats.org/officeDocument/2006/customXml" ds:itemID="{E8FA3521-75C9-4013-8510-85D37A5B4924}">
  <ds:schemaRefs/>
</ds:datastoreItem>
</file>

<file path=customXml/itemProps3.xml><?xml version="1.0" encoding="utf-8"?>
<ds:datastoreItem xmlns:ds="http://schemas.openxmlformats.org/officeDocument/2006/customXml" ds:itemID="{72651D49-FE3A-4E88-B0DC-0714FB8AD660}">
  <ds:schemaRefs/>
</ds:datastoreItem>
</file>

<file path=customXml/itemProps30.xml><?xml version="1.0" encoding="utf-8"?>
<ds:datastoreItem xmlns:ds="http://schemas.openxmlformats.org/officeDocument/2006/customXml" ds:itemID="{5234F382-CDAD-4EED-88EA-09278A290706}">
  <ds:schemaRefs/>
</ds:datastoreItem>
</file>

<file path=customXml/itemProps31.xml><?xml version="1.0" encoding="utf-8"?>
<ds:datastoreItem xmlns:ds="http://schemas.openxmlformats.org/officeDocument/2006/customXml" ds:itemID="{F9D0E2E8-505A-49D0-8304-58973B425BC2}">
  <ds:schemaRefs/>
</ds:datastoreItem>
</file>

<file path=customXml/itemProps32.xml><?xml version="1.0" encoding="utf-8"?>
<ds:datastoreItem xmlns:ds="http://schemas.openxmlformats.org/officeDocument/2006/customXml" ds:itemID="{099E333B-789A-44E3-8958-58948FA7ED6C}">
  <ds:schemaRefs/>
</ds:datastoreItem>
</file>

<file path=customXml/itemProps33.xml><?xml version="1.0" encoding="utf-8"?>
<ds:datastoreItem xmlns:ds="http://schemas.openxmlformats.org/officeDocument/2006/customXml" ds:itemID="{76DBCD99-B09F-4A16-9EDD-F1B29E3017D1}">
  <ds:schemaRefs/>
</ds:datastoreItem>
</file>

<file path=customXml/itemProps34.xml><?xml version="1.0" encoding="utf-8"?>
<ds:datastoreItem xmlns:ds="http://schemas.openxmlformats.org/officeDocument/2006/customXml" ds:itemID="{5032F7D1-9F80-4DA7-AD38-F1C8198CA83A}">
  <ds:schemaRefs/>
</ds:datastoreItem>
</file>

<file path=customXml/itemProps35.xml><?xml version="1.0" encoding="utf-8"?>
<ds:datastoreItem xmlns:ds="http://schemas.openxmlformats.org/officeDocument/2006/customXml" ds:itemID="{73A52EEB-8D3A-470F-B2B2-634B1292AA01}">
  <ds:schemaRefs/>
</ds:datastoreItem>
</file>

<file path=customXml/itemProps36.xml><?xml version="1.0" encoding="utf-8"?>
<ds:datastoreItem xmlns:ds="http://schemas.openxmlformats.org/officeDocument/2006/customXml" ds:itemID="{570AF85A-19B2-4BE0-87BC-338DAC30991D}">
  <ds:schemaRefs/>
</ds:datastoreItem>
</file>

<file path=customXml/itemProps37.xml><?xml version="1.0" encoding="utf-8"?>
<ds:datastoreItem xmlns:ds="http://schemas.openxmlformats.org/officeDocument/2006/customXml" ds:itemID="{7B877467-0260-4598-BC6E-C1DE726F9B9C}">
  <ds:schemaRefs/>
</ds:datastoreItem>
</file>

<file path=customXml/itemProps38.xml><?xml version="1.0" encoding="utf-8"?>
<ds:datastoreItem xmlns:ds="http://schemas.openxmlformats.org/officeDocument/2006/customXml" ds:itemID="{C26FA4D0-7C1F-440F-B230-7888CC3F20C4}">
  <ds:schemaRefs/>
</ds:datastoreItem>
</file>

<file path=customXml/itemProps39.xml><?xml version="1.0" encoding="utf-8"?>
<ds:datastoreItem xmlns:ds="http://schemas.openxmlformats.org/officeDocument/2006/customXml" ds:itemID="{3CE82807-72FB-46ED-A238-F83AC17956EE}">
  <ds:schemaRefs/>
</ds:datastoreItem>
</file>

<file path=customXml/itemProps4.xml><?xml version="1.0" encoding="utf-8"?>
<ds:datastoreItem xmlns:ds="http://schemas.openxmlformats.org/officeDocument/2006/customXml" ds:itemID="{57D28FE0-74C3-43F2-BC40-95918EBC1A84}">
  <ds:schemaRefs/>
</ds:datastoreItem>
</file>

<file path=customXml/itemProps40.xml><?xml version="1.0" encoding="utf-8"?>
<ds:datastoreItem xmlns:ds="http://schemas.openxmlformats.org/officeDocument/2006/customXml" ds:itemID="{E59F7382-2B2A-4963-A2D5-A29A61DBBB3E}">
  <ds:schemaRefs/>
</ds:datastoreItem>
</file>

<file path=customXml/itemProps41.xml><?xml version="1.0" encoding="utf-8"?>
<ds:datastoreItem xmlns:ds="http://schemas.openxmlformats.org/officeDocument/2006/customXml" ds:itemID="{AD92A0F9-1AFD-4B4E-8609-620C332D6C1E}">
  <ds:schemaRefs/>
</ds:datastoreItem>
</file>

<file path=customXml/itemProps42.xml><?xml version="1.0" encoding="utf-8"?>
<ds:datastoreItem xmlns:ds="http://schemas.openxmlformats.org/officeDocument/2006/customXml" ds:itemID="{CA411E7B-1030-48B5-8CD0-755874CAAD14}">
  <ds:schemaRefs/>
</ds:datastoreItem>
</file>

<file path=customXml/itemProps43.xml><?xml version="1.0" encoding="utf-8"?>
<ds:datastoreItem xmlns:ds="http://schemas.openxmlformats.org/officeDocument/2006/customXml" ds:itemID="{99631281-E5FE-4372-ACA9-98E84D6FE693}">
  <ds:schemaRefs/>
</ds:datastoreItem>
</file>

<file path=customXml/itemProps44.xml><?xml version="1.0" encoding="utf-8"?>
<ds:datastoreItem xmlns:ds="http://schemas.openxmlformats.org/officeDocument/2006/customXml" ds:itemID="{F50100B5-3885-4726-8E6A-1131D96D1D65}">
  <ds:schemaRefs/>
</ds:datastoreItem>
</file>

<file path=customXml/itemProps45.xml><?xml version="1.0" encoding="utf-8"?>
<ds:datastoreItem xmlns:ds="http://schemas.openxmlformats.org/officeDocument/2006/customXml" ds:itemID="{C9719CC3-6E34-4A33-AF75-26DFCEBC1CB7}">
  <ds:schemaRefs/>
</ds:datastoreItem>
</file>

<file path=customXml/itemProps46.xml><?xml version="1.0" encoding="utf-8"?>
<ds:datastoreItem xmlns:ds="http://schemas.openxmlformats.org/officeDocument/2006/customXml" ds:itemID="{36A54A75-EF54-435D-93D4-7043C440163C}">
  <ds:schemaRefs/>
</ds:datastoreItem>
</file>

<file path=customXml/itemProps47.xml><?xml version="1.0" encoding="utf-8"?>
<ds:datastoreItem xmlns:ds="http://schemas.openxmlformats.org/officeDocument/2006/customXml" ds:itemID="{15E488FE-001B-4D90-9A5B-08C0D92A834B}">
  <ds:schemaRefs/>
</ds:datastoreItem>
</file>

<file path=customXml/itemProps48.xml><?xml version="1.0" encoding="utf-8"?>
<ds:datastoreItem xmlns:ds="http://schemas.openxmlformats.org/officeDocument/2006/customXml" ds:itemID="{D684D9D6-98FB-4D7F-A138-36A380647BD2}">
  <ds:schemaRefs/>
</ds:datastoreItem>
</file>

<file path=customXml/itemProps49.xml><?xml version="1.0" encoding="utf-8"?>
<ds:datastoreItem xmlns:ds="http://schemas.openxmlformats.org/officeDocument/2006/customXml" ds:itemID="{532451F7-BEF8-4A90-8B8C-1224131AF31A}">
  <ds:schemaRefs/>
</ds:datastoreItem>
</file>

<file path=customXml/itemProps5.xml><?xml version="1.0" encoding="utf-8"?>
<ds:datastoreItem xmlns:ds="http://schemas.openxmlformats.org/officeDocument/2006/customXml" ds:itemID="{19AF5E85-5646-4495-A16E-0E25FFA75960}">
  <ds:schemaRefs/>
</ds:datastoreItem>
</file>

<file path=customXml/itemProps50.xml><?xml version="1.0" encoding="utf-8"?>
<ds:datastoreItem xmlns:ds="http://schemas.openxmlformats.org/officeDocument/2006/customXml" ds:itemID="{3F4AB6E3-249F-4E1F-8580-5654C471D413}">
  <ds:schemaRefs/>
</ds:datastoreItem>
</file>

<file path=customXml/itemProps51.xml><?xml version="1.0" encoding="utf-8"?>
<ds:datastoreItem xmlns:ds="http://schemas.openxmlformats.org/officeDocument/2006/customXml" ds:itemID="{558F4F68-208E-4FD1-9A8D-15EF8ADEEF8A}">
  <ds:schemaRefs/>
</ds:datastoreItem>
</file>

<file path=customXml/itemProps52.xml><?xml version="1.0" encoding="utf-8"?>
<ds:datastoreItem xmlns:ds="http://schemas.openxmlformats.org/officeDocument/2006/customXml" ds:itemID="{57491729-76CF-4286-A928-0A3A2F6A0374}">
  <ds:schemaRefs/>
</ds:datastoreItem>
</file>

<file path=customXml/itemProps53.xml><?xml version="1.0" encoding="utf-8"?>
<ds:datastoreItem xmlns:ds="http://schemas.openxmlformats.org/officeDocument/2006/customXml" ds:itemID="{93537695-4666-4377-88A3-A6F66908F5C7}">
  <ds:schemaRefs/>
</ds:datastoreItem>
</file>

<file path=customXml/itemProps54.xml><?xml version="1.0" encoding="utf-8"?>
<ds:datastoreItem xmlns:ds="http://schemas.openxmlformats.org/officeDocument/2006/customXml" ds:itemID="{1E32D44A-AAC9-47D9-BA9F-C4A5156E81A2}">
  <ds:schemaRefs/>
</ds:datastoreItem>
</file>

<file path=customXml/itemProps55.xml><?xml version="1.0" encoding="utf-8"?>
<ds:datastoreItem xmlns:ds="http://schemas.openxmlformats.org/officeDocument/2006/customXml" ds:itemID="{9FD6E664-99C0-4105-BF61-6A9C2BA7401D}">
  <ds:schemaRefs/>
</ds:datastoreItem>
</file>

<file path=customXml/itemProps56.xml><?xml version="1.0" encoding="utf-8"?>
<ds:datastoreItem xmlns:ds="http://schemas.openxmlformats.org/officeDocument/2006/customXml" ds:itemID="{5B5D53D4-DE59-4F31-9F85-28324C032F52}">
  <ds:schemaRefs/>
</ds:datastoreItem>
</file>

<file path=customXml/itemProps57.xml><?xml version="1.0" encoding="utf-8"?>
<ds:datastoreItem xmlns:ds="http://schemas.openxmlformats.org/officeDocument/2006/customXml" ds:itemID="{4F07D599-96D2-4365-99D3-97816F2FB3EB}">
  <ds:schemaRefs/>
</ds:datastoreItem>
</file>

<file path=customXml/itemProps58.xml><?xml version="1.0" encoding="utf-8"?>
<ds:datastoreItem xmlns:ds="http://schemas.openxmlformats.org/officeDocument/2006/customXml" ds:itemID="{F2795A36-0739-4D54-A2E5-DE098837B259}">
  <ds:schemaRefs/>
</ds:datastoreItem>
</file>

<file path=customXml/itemProps59.xml><?xml version="1.0" encoding="utf-8"?>
<ds:datastoreItem xmlns:ds="http://schemas.openxmlformats.org/officeDocument/2006/customXml" ds:itemID="{9ED059B2-A739-4BCA-AFF3-F3AB4824AFF8}">
  <ds:schemaRefs/>
</ds:datastoreItem>
</file>

<file path=customXml/itemProps6.xml><?xml version="1.0" encoding="utf-8"?>
<ds:datastoreItem xmlns:ds="http://schemas.openxmlformats.org/officeDocument/2006/customXml" ds:itemID="{2438EB38-F291-46C4-96D7-3DB1B8D8F164}">
  <ds:schemaRefs/>
</ds:datastoreItem>
</file>

<file path=customXml/itemProps7.xml><?xml version="1.0" encoding="utf-8"?>
<ds:datastoreItem xmlns:ds="http://schemas.openxmlformats.org/officeDocument/2006/customXml" ds:itemID="{99862643-44DA-4D0E-B1D0-8D361B69879A}">
  <ds:schemaRefs/>
</ds:datastoreItem>
</file>

<file path=customXml/itemProps8.xml><?xml version="1.0" encoding="utf-8"?>
<ds:datastoreItem xmlns:ds="http://schemas.openxmlformats.org/officeDocument/2006/customXml" ds:itemID="{E77D9D3F-4A4C-4122-B85C-FC21FB4EF6CA}">
  <ds:schemaRefs/>
</ds:datastoreItem>
</file>

<file path=customXml/itemProps9.xml><?xml version="1.0" encoding="utf-8"?>
<ds:datastoreItem xmlns:ds="http://schemas.openxmlformats.org/officeDocument/2006/customXml" ds:itemID="{EDDD3B8C-80F5-42BD-A0F4-DBC1B7D4CBA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72</Pages>
  <Words>4967</Words>
  <Characters>28314</Characters>
  <Lines>235</Lines>
  <Paragraphs>66</Paragraphs>
  <TotalTime>22</TotalTime>
  <ScaleCrop>false</ScaleCrop>
  <LinksUpToDate>false</LinksUpToDate>
  <CharactersWithSpaces>33215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2022-02-28T02:12:00Z</dcterms:created>
  <dc:creator>Administrator</dc:creator>
  <cp:lastModifiedBy>Administrator</cp:lastModifiedBy>
  <dcterms:modified xsi:type="dcterms:W3CDTF">2025-01-02T02:00:22Z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34366B9F9D594DB1B1D8B98DF9819974_12</vt:lpwstr>
  </property>
</Properties>
</file>