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4"/>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5"/>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6"/>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762001</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：乐亭县残疾人联合会(本级)</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lang w:eastAsia="zh-CN"/>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eastAsia="zh-CN"/>
        </w:rPr>
        <w:t>十二月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spacing w:line="600" w:lineRule="auto"/>
        <w:jc w:val="center"/>
        <w:rPr>
          <w:rFonts w:hint="eastAsia" w:ascii="楷体_GB2312" w:hAnsi="楷体_GB2312" w:eastAsia="楷体_GB2312" w:cs="楷体_GB2312"/>
          <w:color w:val="000000"/>
          <w:sz w:val="40"/>
          <w:szCs w:val="40"/>
        </w:rPr>
      </w:pPr>
    </w:p>
    <w:p>
      <w:pPr>
        <w:rPr>
          <w:rFonts w:hint="eastAsia" w:ascii="黑体" w:hAnsi="黑体" w:eastAsia="黑体" w:cs="黑体"/>
          <w:b/>
          <w:bCs/>
          <w:sz w:val="32"/>
          <w:szCs w:val="36"/>
          <w:highlight w:val="yellow"/>
        </w:rPr>
      </w:pPr>
    </w:p>
    <w:p>
      <w:pPr>
        <w:rPr>
          <w:rFonts w:ascii="黑体" w:hAnsi="黑体" w:eastAsia="黑体" w:cs="黑体"/>
          <w:b/>
          <w:bCs/>
          <w:sz w:val="72"/>
          <w:szCs w:val="96"/>
        </w:rPr>
      </w:pPr>
    </w:p>
    <w:p>
      <w:pPr>
        <w:rPr>
          <w:rFonts w:ascii="黑体" w:hAnsi="黑体" w:eastAsia="黑体" w:cs="黑体"/>
          <w:b/>
          <w:bCs/>
          <w:sz w:val="72"/>
          <w:szCs w:val="96"/>
        </w:rPr>
      </w:pPr>
    </w:p>
    <w:p>
      <w:pPr>
        <w:rPr>
          <w:rFonts w:ascii="黑体" w:hAnsi="黑体" w:eastAsia="黑体" w:cs="黑体"/>
          <w:b/>
          <w:bCs/>
          <w:sz w:val="72"/>
          <w:szCs w:val="96"/>
        </w:rPr>
      </w:pPr>
      <w:r>
        <w:rPr>
          <w:rFonts w:hint="eastAsia" w:ascii="黑体" w:hAnsi="黑体" w:eastAsia="黑体" w:cs="黑体"/>
          <w:b/>
          <w:bCs/>
          <w:sz w:val="72"/>
          <w:szCs w:val="96"/>
        </w:rPr>
        <w:t>2023年度部门决算公开文本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乐亭县残疾人联合会</w:t>
      </w:r>
    </w:p>
    <w:p>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w:t>
      </w:r>
      <w: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十二</w:t>
      </w: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widowControl/>
        <w:spacing w:line="600" w:lineRule="exact"/>
        <w:jc w:val="left"/>
        <w:rPr>
          <w:rFonts w:ascii="黑体" w:hAnsi="黑体" w:eastAsia="黑体" w:cs="黑体"/>
          <w:bCs/>
          <w:sz w:val="32"/>
          <w:szCs w:val="32"/>
        </w:rPr>
      </w:pPr>
    </w:p>
    <w:p>
      <w:pPr>
        <w:widowControl/>
        <w:spacing w:line="600" w:lineRule="exact"/>
        <w:jc w:val="left"/>
        <w:rPr>
          <w:rFonts w:ascii="黑体" w:hAnsi="黑体" w:eastAsia="黑体" w:cs="黑体"/>
          <w:bCs/>
          <w:sz w:val="32"/>
          <w:szCs w:val="32"/>
          <w:highlight w:val="yellow"/>
        </w:rPr>
      </w:pPr>
      <w:r>
        <w:rPr>
          <w:rFonts w:hint="eastAsia" w:ascii="黑体" w:hAnsi="黑体" w:eastAsia="黑体" w:cs="黑体"/>
          <w:bCs/>
          <w:sz w:val="32"/>
          <w:szCs w:val="32"/>
          <w:highlight w:val="yellow"/>
        </w:rPr>
        <w:t>注：</w:t>
      </w:r>
    </w:p>
    <w:p>
      <w:pPr>
        <w:widowControl/>
        <w:spacing w:line="600" w:lineRule="exact"/>
        <w:ind w:firstLine="640" w:firstLineChars="200"/>
        <w:jc w:val="left"/>
        <w:rPr>
          <w:rFonts w:ascii="黑体" w:hAnsi="黑体" w:eastAsia="黑体" w:cs="黑体"/>
          <w:bCs/>
          <w:sz w:val="32"/>
          <w:szCs w:val="32"/>
          <w:highlight w:val="yellow"/>
        </w:rPr>
      </w:pPr>
      <w:r>
        <w:rPr>
          <w:rFonts w:hint="eastAsia" w:ascii="黑体" w:hAnsi="黑体" w:eastAsia="黑体" w:cs="黑体"/>
          <w:bCs/>
          <w:sz w:val="32"/>
          <w:szCs w:val="32"/>
          <w:highlight w:val="yellow"/>
        </w:rPr>
        <w:t>一、本模板所有标黄部分需要在正式文本中予以删除。</w:t>
      </w:r>
    </w:p>
    <w:p>
      <w:pPr>
        <w:widowControl/>
        <w:spacing w:line="600" w:lineRule="exact"/>
        <w:ind w:firstLine="640" w:firstLineChars="200"/>
        <w:jc w:val="left"/>
        <w:rPr>
          <w:rFonts w:ascii="黑体" w:hAnsi="黑体" w:eastAsia="黑体" w:cs="黑体"/>
          <w:bCs/>
          <w:sz w:val="32"/>
          <w:szCs w:val="32"/>
          <w:highlight w:val="yellow"/>
        </w:rPr>
      </w:pPr>
      <w:r>
        <w:rPr>
          <w:rFonts w:hint="eastAsia" w:ascii="黑体" w:hAnsi="黑体" w:eastAsia="黑体" w:cs="黑体"/>
          <w:bCs/>
          <w:sz w:val="32"/>
          <w:szCs w:val="32"/>
          <w:highlight w:val="yellow"/>
        </w:rPr>
        <w:t>二、情况说明</w:t>
      </w:r>
    </w:p>
    <w:p>
      <w:pPr>
        <w:keepNext/>
        <w:keepLines/>
        <w:spacing w:line="600" w:lineRule="exact"/>
        <w:ind w:firstLine="640" w:firstLineChars="200"/>
        <w:outlineLvl w:val="1"/>
        <w:rPr>
          <w:rFonts w:ascii="楷体" w:hAnsi="楷体" w:eastAsia="楷体" w:cs="楷体"/>
          <w:sz w:val="32"/>
          <w:szCs w:val="32"/>
          <w:highlight w:val="yellow"/>
        </w:rPr>
      </w:pPr>
      <w:r>
        <w:rPr>
          <w:rFonts w:hint="eastAsia" w:ascii="楷体" w:hAnsi="楷体" w:eastAsia="楷体" w:cs="楷体"/>
          <w:sz w:val="32"/>
          <w:szCs w:val="32"/>
          <w:highlight w:val="yellow"/>
        </w:rPr>
        <w:t>1. 情况说明公开格式供大家参考，各部门在撰写公开情况说明时，应</w:t>
      </w:r>
      <w:r>
        <w:rPr>
          <w:rFonts w:hint="eastAsia" w:ascii="楷体" w:hAnsi="楷体" w:eastAsia="楷体" w:cs="楷体"/>
          <w:b/>
          <w:bCs/>
          <w:sz w:val="32"/>
          <w:szCs w:val="32"/>
          <w:highlight w:val="yellow"/>
        </w:rPr>
        <w:t>至少包括</w:t>
      </w:r>
      <w:r>
        <w:rPr>
          <w:rFonts w:hint="eastAsia" w:ascii="楷体" w:hAnsi="楷体" w:eastAsia="楷体" w:cs="楷体"/>
          <w:sz w:val="32"/>
          <w:szCs w:val="32"/>
          <w:highlight w:val="yellow"/>
        </w:rPr>
        <w:t>但不限于模板中的公开说明内容。</w:t>
      </w:r>
    </w:p>
    <w:p>
      <w:pPr>
        <w:keepNext/>
        <w:keepLines/>
        <w:spacing w:line="600" w:lineRule="exact"/>
        <w:ind w:firstLine="640" w:firstLineChars="200"/>
        <w:outlineLvl w:val="1"/>
        <w:rPr>
          <w:rFonts w:ascii="楷体" w:hAnsi="楷体" w:eastAsia="楷体" w:cs="楷体"/>
          <w:sz w:val="32"/>
          <w:szCs w:val="32"/>
          <w:highlight w:val="yellow"/>
        </w:rPr>
      </w:pPr>
      <w:r>
        <w:rPr>
          <w:rFonts w:hint="eastAsia" w:ascii="楷体" w:hAnsi="楷体" w:eastAsia="楷体" w:cs="楷体"/>
          <w:sz w:val="32"/>
          <w:szCs w:val="32"/>
          <w:highlight w:val="yellow"/>
        </w:rPr>
        <w:t>2. 说明中出现增加（减少）、增长（降低）、情况一/二等需要部门进行选择使用情况的，根据实际情况选择，</w:t>
      </w:r>
      <w:r>
        <w:rPr>
          <w:rFonts w:hint="eastAsia" w:ascii="楷体" w:hAnsi="楷体" w:eastAsia="楷体" w:cs="楷体"/>
          <w:b/>
          <w:bCs/>
          <w:sz w:val="32"/>
          <w:szCs w:val="32"/>
          <w:highlight w:val="yellow"/>
        </w:rPr>
        <w:t>不可再保留“增加（减少），增长（降低）”等字样；</w:t>
      </w:r>
    </w:p>
    <w:p>
      <w:pPr>
        <w:widowControl/>
        <w:spacing w:line="600" w:lineRule="exact"/>
        <w:ind w:firstLine="640" w:firstLineChars="200"/>
        <w:jc w:val="left"/>
        <w:rPr>
          <w:rFonts w:ascii="黑体" w:hAnsi="黑体" w:eastAsia="黑体" w:cs="黑体"/>
          <w:sz w:val="32"/>
          <w:szCs w:val="32"/>
          <w:highlight w:val="yellow"/>
        </w:rPr>
      </w:pPr>
      <w:r>
        <w:rPr>
          <w:rFonts w:hint="eastAsia" w:ascii="黑体" w:hAnsi="黑体" w:eastAsia="黑体" w:cs="黑体"/>
          <w:sz w:val="32"/>
          <w:szCs w:val="32"/>
          <w:highlight w:val="yellow"/>
        </w:rPr>
        <w:t>三、公开表样</w:t>
      </w:r>
    </w:p>
    <w:p>
      <w:pPr>
        <w:spacing w:after="160" w:line="600" w:lineRule="exact"/>
        <w:ind w:firstLine="640" w:firstLineChars="200"/>
        <w:rPr>
          <w:rFonts w:ascii="楷体" w:hAnsi="楷体" w:eastAsia="楷体" w:cs="楷体"/>
          <w:sz w:val="32"/>
          <w:szCs w:val="32"/>
          <w:highlight w:val="yellow"/>
        </w:rPr>
      </w:pPr>
      <w:r>
        <w:rPr>
          <w:rFonts w:hint="eastAsia" w:ascii="楷体" w:hAnsi="楷体" w:eastAsia="楷体" w:cs="楷体"/>
          <w:sz w:val="32"/>
          <w:szCs w:val="32"/>
          <w:highlight w:val="yellow"/>
        </w:rPr>
        <w:t>1. 公开表样所有9张表格均应公开列示，单位万元，保留两位小数。</w:t>
      </w:r>
    </w:p>
    <w:p>
      <w:pPr>
        <w:widowControl/>
        <w:spacing w:line="600" w:lineRule="exact"/>
        <w:ind w:firstLine="640" w:firstLineChars="200"/>
        <w:rPr>
          <w:rFonts w:ascii="楷体" w:hAnsi="楷体" w:eastAsia="楷体" w:cs="楷体"/>
          <w:sz w:val="32"/>
          <w:szCs w:val="32"/>
          <w:highlight w:val="yellow"/>
        </w:rPr>
      </w:pPr>
      <w:r>
        <w:rPr>
          <w:rFonts w:hint="eastAsia" w:ascii="楷体" w:hAnsi="楷体" w:eastAsia="楷体" w:cs="楷体"/>
          <w:sz w:val="32"/>
          <w:szCs w:val="32"/>
          <w:highlight w:val="yellow"/>
        </w:rPr>
        <w:t>2. 支出功能分类细化到项级，经济分类细化到款级。</w:t>
      </w:r>
    </w:p>
    <w:p>
      <w:pPr>
        <w:widowControl/>
        <w:spacing w:line="600" w:lineRule="exact"/>
        <w:ind w:firstLine="640" w:firstLineChars="200"/>
        <w:rPr>
          <w:rFonts w:ascii="楷体" w:hAnsi="楷体" w:eastAsia="楷体" w:cs="楷体"/>
          <w:sz w:val="32"/>
          <w:szCs w:val="32"/>
          <w:highlight w:val="yellow"/>
        </w:rPr>
      </w:pPr>
      <w:r>
        <w:rPr>
          <w:rFonts w:hint="eastAsia" w:ascii="楷体" w:hAnsi="楷体" w:eastAsia="楷体" w:cs="楷体"/>
          <w:sz w:val="32"/>
          <w:szCs w:val="32"/>
          <w:highlight w:val="yellow"/>
        </w:rPr>
        <w:t>3. 零值指标不列示数值0。</w:t>
      </w:r>
    </w:p>
    <w:p>
      <w:pPr>
        <w:widowControl/>
        <w:spacing w:line="600" w:lineRule="exact"/>
        <w:ind w:firstLine="640" w:firstLineChars="200"/>
        <w:jc w:val="left"/>
        <w:rPr>
          <w:rFonts w:ascii="楷体" w:hAnsi="楷体" w:eastAsia="楷体" w:cs="楷体"/>
          <w:sz w:val="40"/>
          <w:szCs w:val="40"/>
          <w:highlight w:val="yellow"/>
        </w:rPr>
      </w:pPr>
      <w:r>
        <w:rPr>
          <w:rFonts w:hint="eastAsia" w:ascii="楷体" w:hAnsi="楷体" w:eastAsia="楷体" w:cs="楷体"/>
          <w:sz w:val="32"/>
          <w:szCs w:val="32"/>
          <w:highlight w:val="yellow"/>
        </w:rPr>
        <w:t>4. 如遇空表，表下方需明确标注“本部门本年度无相关收入（或支出、收支及结转结余等）情况，按要求空表列示。”字样。</w:t>
      </w:r>
    </w:p>
    <w:p>
      <w:pPr>
        <w:jc w:val="center"/>
        <w:rPr>
          <w:rFonts w:ascii="黑体" w:hAnsi="黑体" w:eastAsia="黑体" w:cs="黑体"/>
          <w:sz w:val="56"/>
          <w:szCs w:val="72"/>
        </w:rPr>
        <w:sectPr>
          <w:headerReference r:id="rId5" w:type="first"/>
          <w:footerReference r:id="rId7" w:type="first"/>
          <w:headerReference r:id="rId4" w:type="default"/>
          <w:footerReference r:id="rId6" w:type="default"/>
          <w:pgSz w:w="11906" w:h="16838"/>
          <w:pgMar w:top="2041" w:right="1531" w:bottom="2041" w:left="1531" w:header="851" w:footer="992" w:gutter="0"/>
          <w:pgBorders>
            <w:top w:val="none" w:sz="0" w:space="0"/>
            <w:left w:val="none" w:sz="0" w:space="0"/>
            <w:bottom w:val="none" w:sz="0" w:space="0"/>
            <w:right w:val="none" w:sz="0" w:space="0"/>
          </w:pgBorders>
          <w:cols w:space="0" w:num="1"/>
          <w:titlePg/>
          <w:docGrid w:type="lines" w:linePitch="312" w:charSpace="0"/>
        </w:sectPr>
      </w:pPr>
    </w:p>
    <w:p>
      <w:pPr>
        <w:tabs>
          <w:tab w:val="left" w:pos="2728"/>
        </w:tabs>
        <w:jc w:val="center"/>
        <w:rPr>
          <w:rFonts w:ascii="黑体" w:hAnsi="Times New Roman" w:eastAsia="黑体" w:cs="Times New Roman"/>
          <w:sz w:val="48"/>
          <w:szCs w:val="48"/>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9" w:type="first"/>
          <w:footerReference r:id="rId11" w:type="first"/>
          <w:headerReference r:id="rId8" w:type="default"/>
          <w:footerReference r:id="rId10"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eastAsia" w:ascii="仿宋_GB2312" w:hAnsi="仿宋_GB2312" w:eastAsia="仿宋_GB2312" w:cs="仿宋_GB2312"/>
          <w:i w:val="0"/>
          <w:iCs w:val="0"/>
          <w:caps w:val="0"/>
          <w:color w:val="auto"/>
          <w:spacing w:val="0"/>
          <w:sz w:val="32"/>
          <w:szCs w:val="32"/>
          <w:highlight w:val="none"/>
          <w:shd w:val="clear" w:fill="FFFFFF"/>
        </w:rPr>
      </w:pPr>
      <w:r>
        <w:rPr>
          <w:rFonts w:hint="eastAsia" w:ascii="仿宋_GB2312" w:hAnsi="仿宋_GB2312" w:eastAsia="仿宋_GB2312" w:cs="仿宋_GB2312"/>
          <w:i w:val="0"/>
          <w:iCs w:val="0"/>
          <w:caps w:val="0"/>
          <w:color w:val="auto"/>
          <w:spacing w:val="0"/>
          <w:sz w:val="32"/>
          <w:szCs w:val="32"/>
          <w:highlight w:val="none"/>
          <w:shd w:val="clear" w:fill="FFFFFF"/>
        </w:rPr>
        <w:t>县残联是县政府领导下的全县残疾人的群众团体。其机关主要职责是：</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eastAsia" w:ascii="仿宋_GB2312" w:hAnsi="仿宋_GB2312" w:eastAsia="仿宋_GB2312" w:cs="仿宋_GB2312"/>
          <w:i w:val="0"/>
          <w:iCs w:val="0"/>
          <w:caps w:val="0"/>
          <w:color w:val="auto"/>
          <w:spacing w:val="0"/>
          <w:sz w:val="32"/>
          <w:szCs w:val="32"/>
          <w:highlight w:val="none"/>
          <w:shd w:val="clear" w:fill="FFFFFF"/>
        </w:rPr>
      </w:pPr>
      <w:r>
        <w:rPr>
          <w:rFonts w:hint="eastAsia" w:ascii="仿宋_GB2312" w:hAnsi="仿宋_GB2312" w:eastAsia="仿宋_GB2312" w:cs="仿宋_GB2312"/>
          <w:i w:val="0"/>
          <w:iCs w:val="0"/>
          <w:caps w:val="0"/>
          <w:color w:val="auto"/>
          <w:spacing w:val="0"/>
          <w:sz w:val="32"/>
          <w:szCs w:val="32"/>
          <w:highlight w:val="none"/>
          <w:shd w:val="clear" w:fill="FFFFFF"/>
        </w:rPr>
        <w:t>听取残疾人意见，反映残疾人需求，维护残疾人权益，为残疾人服务；协助政府制定和实施残疾人事业的政策和计划，对有关业务领域进行指导和管理。</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eastAsia" w:ascii="仿宋_GB2312" w:hAnsi="仿宋_GB2312" w:eastAsia="仿宋_GB2312" w:cs="仿宋_GB2312"/>
          <w:i w:val="0"/>
          <w:iCs w:val="0"/>
          <w:caps w:val="0"/>
          <w:color w:val="auto"/>
          <w:spacing w:val="0"/>
          <w:sz w:val="32"/>
          <w:szCs w:val="32"/>
          <w:highlight w:val="none"/>
          <w:shd w:val="clear" w:fill="FFFFFF"/>
        </w:rPr>
      </w:pPr>
      <w:r>
        <w:rPr>
          <w:rFonts w:hint="eastAsia" w:ascii="仿宋_GB2312" w:hAnsi="仿宋_GB2312" w:eastAsia="仿宋_GB2312" w:cs="仿宋_GB2312"/>
          <w:i w:val="0"/>
          <w:iCs w:val="0"/>
          <w:caps w:val="0"/>
          <w:color w:val="auto"/>
          <w:spacing w:val="0"/>
          <w:sz w:val="32"/>
          <w:szCs w:val="32"/>
          <w:highlight w:val="none"/>
          <w:shd w:val="clear" w:fill="FFFFFF"/>
        </w:rPr>
        <w:t>团结、教育残疾人，遵守法律，履行应尽的义务，发扬乐观进取精神，自尊、自信、自强、自立，为社会主义建设贡献力量。</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eastAsia" w:ascii="仿宋_GB2312" w:hAnsi="仿宋_GB2312" w:eastAsia="仿宋_GB2312" w:cs="仿宋_GB2312"/>
          <w:i w:val="0"/>
          <w:iCs w:val="0"/>
          <w:caps w:val="0"/>
          <w:color w:val="auto"/>
          <w:spacing w:val="0"/>
          <w:sz w:val="32"/>
          <w:szCs w:val="32"/>
          <w:highlight w:val="none"/>
          <w:shd w:val="clear" w:fill="FFFFFF"/>
        </w:rPr>
      </w:pPr>
      <w:r>
        <w:rPr>
          <w:rFonts w:hint="eastAsia" w:ascii="仿宋_GB2312" w:hAnsi="仿宋_GB2312" w:eastAsia="仿宋_GB2312" w:cs="仿宋_GB2312"/>
          <w:i w:val="0"/>
          <w:iCs w:val="0"/>
          <w:caps w:val="0"/>
          <w:color w:val="auto"/>
          <w:spacing w:val="0"/>
          <w:sz w:val="32"/>
          <w:szCs w:val="32"/>
          <w:highlight w:val="none"/>
          <w:shd w:val="clear" w:fill="FFFFFF"/>
        </w:rPr>
        <w:t>弘扬人道主义，宣传残疾人事业，沟通政府、社会与残疾人之间的联系，动员社会理解、尊重、关心、帮助残疾人。</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eastAsia" w:ascii="仿宋_GB2312" w:hAnsi="仿宋_GB2312" w:eastAsia="仿宋_GB2312" w:cs="仿宋_GB2312"/>
          <w:i w:val="0"/>
          <w:iCs w:val="0"/>
          <w:caps w:val="0"/>
          <w:color w:val="auto"/>
          <w:spacing w:val="0"/>
          <w:sz w:val="32"/>
          <w:szCs w:val="32"/>
          <w:highlight w:val="none"/>
          <w:shd w:val="clear" w:fill="FFFFFF"/>
        </w:rPr>
      </w:pPr>
      <w:r>
        <w:rPr>
          <w:rFonts w:hint="eastAsia" w:ascii="仿宋_GB2312" w:hAnsi="仿宋_GB2312" w:eastAsia="仿宋_GB2312" w:cs="仿宋_GB2312"/>
          <w:i w:val="0"/>
          <w:iCs w:val="0"/>
          <w:caps w:val="0"/>
          <w:color w:val="auto"/>
          <w:spacing w:val="0"/>
          <w:sz w:val="32"/>
          <w:szCs w:val="32"/>
          <w:highlight w:val="none"/>
          <w:shd w:val="clear" w:fill="FFFFFF"/>
        </w:rPr>
        <w:t>开展残疾人康复、教育、劳动就业、文化、体育、用品供应、福利、社会服务和残疾预防工作，创造良好的环境和条件，抚助残疾人平等参与社会生活。</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eastAsia" w:ascii="仿宋_GB2312" w:hAnsi="仿宋_GB2312" w:eastAsia="仿宋_GB2312" w:cs="仿宋_GB2312"/>
          <w:i w:val="0"/>
          <w:iCs w:val="0"/>
          <w:caps w:val="0"/>
          <w:color w:val="auto"/>
          <w:spacing w:val="0"/>
          <w:sz w:val="32"/>
          <w:szCs w:val="32"/>
          <w:highlight w:val="none"/>
          <w:shd w:val="clear" w:fill="FFFFFF"/>
        </w:rPr>
      </w:pPr>
      <w:r>
        <w:rPr>
          <w:rFonts w:hint="eastAsia" w:ascii="仿宋_GB2312" w:hAnsi="仿宋_GB2312" w:eastAsia="仿宋_GB2312" w:cs="仿宋_GB2312"/>
          <w:i w:val="0"/>
          <w:iCs w:val="0"/>
          <w:caps w:val="0"/>
          <w:color w:val="auto"/>
          <w:spacing w:val="0"/>
          <w:sz w:val="32"/>
          <w:szCs w:val="32"/>
          <w:highlight w:val="none"/>
          <w:shd w:val="clear" w:fill="FFFFFF"/>
        </w:rPr>
        <w:t>承担“残疾人工作协调委员会”的日常工作，做好综合、组织、协调和服务。</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eastAsia" w:ascii="仿宋_GB2312" w:hAnsi="仿宋_GB2312" w:eastAsia="仿宋_GB2312" w:cs="仿宋_GB2312"/>
          <w:i w:val="0"/>
          <w:iCs w:val="0"/>
          <w:caps w:val="0"/>
          <w:color w:val="auto"/>
          <w:spacing w:val="0"/>
          <w:sz w:val="32"/>
          <w:szCs w:val="32"/>
          <w:highlight w:val="none"/>
          <w:shd w:val="clear" w:fill="FFFFFF"/>
        </w:rPr>
      </w:pPr>
      <w:r>
        <w:rPr>
          <w:rFonts w:hint="eastAsia" w:ascii="仿宋_GB2312" w:hAnsi="仿宋_GB2312" w:eastAsia="仿宋_GB2312" w:cs="仿宋_GB2312"/>
          <w:i w:val="0"/>
          <w:iCs w:val="0"/>
          <w:caps w:val="0"/>
          <w:color w:val="auto"/>
          <w:spacing w:val="0"/>
          <w:sz w:val="32"/>
          <w:szCs w:val="32"/>
          <w:highlight w:val="none"/>
          <w:shd w:val="clear" w:fill="FFFFFF"/>
        </w:rPr>
        <w:t>指导和管理残疾人群众服务组织。</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eastAsia" w:ascii="仿宋_GB2312" w:hAnsi="仿宋_GB2312" w:eastAsia="仿宋_GB2312" w:cs="仿宋_GB2312"/>
          <w:i w:val="0"/>
          <w:iCs w:val="0"/>
          <w:caps w:val="0"/>
          <w:color w:val="auto"/>
          <w:spacing w:val="0"/>
          <w:sz w:val="32"/>
          <w:szCs w:val="32"/>
          <w:highlight w:val="none"/>
          <w:shd w:val="clear" w:fill="FFFFFF"/>
        </w:rPr>
      </w:pPr>
      <w:r>
        <w:rPr>
          <w:rFonts w:hint="eastAsia" w:ascii="仿宋_GB2312" w:hAnsi="仿宋_GB2312" w:eastAsia="仿宋_GB2312" w:cs="仿宋_GB2312"/>
          <w:i w:val="0"/>
          <w:iCs w:val="0"/>
          <w:caps w:val="0"/>
          <w:color w:val="auto"/>
          <w:spacing w:val="0"/>
          <w:sz w:val="32"/>
          <w:szCs w:val="32"/>
          <w:highlight w:val="none"/>
          <w:shd w:val="clear" w:fill="FFFFFF"/>
        </w:rPr>
        <w:t>负责管理残疾人劳动就业服务所。</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eastAsia" w:ascii="仿宋_GB2312" w:hAnsi="仿宋_GB2312" w:eastAsia="仿宋_GB2312" w:cs="仿宋_GB2312"/>
          <w:i w:val="0"/>
          <w:iCs w:val="0"/>
          <w:caps w:val="0"/>
          <w:color w:val="auto"/>
          <w:spacing w:val="0"/>
          <w:sz w:val="32"/>
          <w:szCs w:val="32"/>
          <w:highlight w:val="none"/>
          <w:shd w:val="clear" w:fill="FFFFFF"/>
        </w:rPr>
      </w:pPr>
      <w:r>
        <w:rPr>
          <w:rFonts w:hint="eastAsia" w:ascii="仿宋_GB2312" w:hAnsi="仿宋_GB2312" w:eastAsia="仿宋_GB2312" w:cs="仿宋_GB2312"/>
          <w:i w:val="0"/>
          <w:iCs w:val="0"/>
          <w:caps w:val="0"/>
          <w:color w:val="auto"/>
          <w:spacing w:val="0"/>
          <w:sz w:val="32"/>
          <w:szCs w:val="32"/>
          <w:highlight w:val="none"/>
          <w:shd w:val="clear" w:fill="FFFFFF"/>
        </w:rPr>
        <w:t>承办县委、县政府交办的其他工作任务。</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eastAsia" w:ascii="仿宋_GB2312" w:hAnsi="仿宋_GB2312" w:eastAsia="仿宋_GB2312" w:cs="仿宋_GB2312"/>
          <w:i w:val="0"/>
          <w:iCs w:val="0"/>
          <w:caps w:val="0"/>
          <w:color w:val="auto"/>
          <w:spacing w:val="0"/>
          <w:sz w:val="32"/>
          <w:szCs w:val="32"/>
          <w:highlight w:val="none"/>
          <w:shd w:val="clear" w:fill="FFFFFF"/>
          <w:lang w:eastAsia="zh-CN"/>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”）共</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w:t>
      </w:r>
      <w:r>
        <w:rPr>
          <w:rFonts w:hint="default" w:ascii="仿宋_GB2312" w:hAnsi="仿宋_GB2312" w:eastAsia="仿宋_GB2312" w:cs="仿宋_GB2312"/>
          <w:i w:val="0"/>
          <w:iCs w:val="0"/>
          <w:caps w:val="0"/>
          <w:color w:val="auto"/>
          <w:spacing w:val="0"/>
          <w:sz w:val="32"/>
          <w:szCs w:val="32"/>
          <w:highlight w:val="none"/>
          <w:shd w:val="clear" w:fill="FFFFFF"/>
        </w:rPr>
        <w:t>个</w:t>
      </w:r>
      <w:r>
        <w:rPr>
          <w:rFonts w:hint="eastAsia" w:ascii="仿宋_GB2312" w:hAnsi="仿宋_GB2312" w:eastAsia="仿宋_GB2312" w:cs="仿宋_GB2312"/>
          <w:i w:val="0"/>
          <w:iCs w:val="0"/>
          <w:caps w:val="0"/>
          <w:color w:val="auto"/>
          <w:spacing w:val="0"/>
          <w:sz w:val="32"/>
          <w:szCs w:val="32"/>
          <w:highlight w:val="none"/>
          <w:shd w:val="clear" w:fill="FFFFFF"/>
          <w:lang w:eastAsia="zh-CN"/>
        </w:rPr>
        <w:t>。</w:t>
      </w:r>
    </w:p>
    <w:p>
      <w:pPr>
        <w:pStyle w:val="2"/>
        <w:spacing w:before="0" w:after="0" w:line="600" w:lineRule="exact"/>
        <w:ind w:firstLine="643" w:firstLineChars="200"/>
        <w:jc w:val="left"/>
        <w:rPr>
          <w:rFonts w:hint="eastAsia" w:ascii="仿宋_GB2312" w:eastAsia="仿宋_GB2312" w:cs="Arial Black"/>
          <w:kern w:val="0"/>
          <w:sz w:val="32"/>
          <w:szCs w:val="32"/>
          <w:lang w:eastAsia="zh-CN"/>
        </w:rPr>
      </w:pPr>
      <w:r>
        <w:rPr>
          <w:rFonts w:hint="eastAsia" w:ascii="仿宋_GB2312" w:eastAsia="仿宋_GB2312" w:cs="Arial Black"/>
          <w:kern w:val="0"/>
          <w:sz w:val="32"/>
          <w:szCs w:val="32"/>
          <w:lang w:eastAsia="zh-CN"/>
        </w:rPr>
        <w:t>参公事业</w:t>
      </w:r>
    </w:p>
    <w:p>
      <w:pPr>
        <w:spacing w:after="0" w:line="560" w:lineRule="exact"/>
        <w:ind w:firstLine="614" w:firstLineChars="200"/>
        <w:rPr>
          <w:rFonts w:hint="eastAsia" w:ascii="Times New Roman" w:hAnsi="Times New Roman" w:eastAsia="仿宋_GB2312" w:cs="Times New Roman"/>
          <w:w w:val="96"/>
          <w:sz w:val="32"/>
          <w:szCs w:val="32"/>
        </w:rPr>
      </w:pPr>
      <w:r>
        <w:rPr>
          <w:rFonts w:hint="eastAsia" w:ascii="Times New Roman" w:hAnsi="Times New Roman" w:eastAsia="仿宋_GB2312" w:cs="Times New Roman"/>
          <w:w w:val="96"/>
          <w:sz w:val="32"/>
          <w:szCs w:val="32"/>
          <w:lang w:eastAsia="zh-CN"/>
        </w:rPr>
        <w:t>单位</w:t>
      </w:r>
      <w:r>
        <w:rPr>
          <w:rFonts w:hint="eastAsia" w:ascii="Times New Roman" w:hAnsi="Times New Roman" w:eastAsia="仿宋_GB2312" w:cs="Times New Roman"/>
          <w:w w:val="96"/>
          <w:sz w:val="32"/>
          <w:szCs w:val="32"/>
        </w:rPr>
        <w:t>残联机关核定事业编制</w:t>
      </w:r>
      <w:r>
        <w:rPr>
          <w:rFonts w:hint="eastAsia" w:ascii="Times New Roman" w:hAnsi="Times New Roman" w:eastAsia="仿宋_GB2312" w:cs="Times New Roman"/>
          <w:w w:val="96"/>
          <w:sz w:val="32"/>
          <w:szCs w:val="32"/>
          <w:lang w:val="en-US" w:eastAsia="zh-CN"/>
        </w:rPr>
        <w:t>10</w:t>
      </w:r>
      <w:r>
        <w:rPr>
          <w:rFonts w:hint="eastAsia" w:ascii="Times New Roman" w:hAnsi="Times New Roman" w:eastAsia="仿宋_GB2312" w:cs="Times New Roman"/>
          <w:w w:val="96"/>
          <w:sz w:val="32"/>
          <w:szCs w:val="32"/>
        </w:rPr>
        <w:t>人，设理事长1名，副理事长</w:t>
      </w:r>
      <w:r>
        <w:rPr>
          <w:rFonts w:hint="eastAsia" w:ascii="Times New Roman" w:hAnsi="Times New Roman" w:eastAsia="仿宋_GB2312" w:cs="Times New Roman"/>
          <w:w w:val="96"/>
          <w:sz w:val="32"/>
          <w:szCs w:val="32"/>
          <w:lang w:val="en-US" w:eastAsia="zh-CN"/>
        </w:rPr>
        <w:t>1</w:t>
      </w:r>
      <w:r>
        <w:rPr>
          <w:rFonts w:hint="eastAsia" w:ascii="Times New Roman" w:hAnsi="Times New Roman" w:eastAsia="仿宋_GB2312" w:cs="Times New Roman"/>
          <w:w w:val="96"/>
          <w:sz w:val="32"/>
          <w:szCs w:val="32"/>
        </w:rPr>
        <w:t>名，工勤人员1名。另核定下属事业编制</w:t>
      </w:r>
      <w:r>
        <w:rPr>
          <w:rFonts w:hint="eastAsia" w:ascii="Times New Roman" w:hAnsi="Times New Roman" w:eastAsia="仿宋_GB2312" w:cs="Times New Roman"/>
          <w:w w:val="96"/>
          <w:sz w:val="32"/>
          <w:szCs w:val="32"/>
          <w:lang w:val="en-US" w:eastAsia="zh-CN"/>
        </w:rPr>
        <w:t>5</w:t>
      </w:r>
      <w:r>
        <w:rPr>
          <w:rFonts w:hint="eastAsia" w:ascii="Times New Roman" w:hAnsi="Times New Roman" w:eastAsia="仿宋_GB2312" w:cs="Times New Roman"/>
          <w:w w:val="96"/>
          <w:sz w:val="32"/>
          <w:szCs w:val="32"/>
        </w:rPr>
        <w:t>人，股级指数1名。</w:t>
      </w:r>
    </w:p>
    <w:p>
      <w:pPr>
        <w:pStyle w:val="2"/>
        <w:spacing w:before="0" w:after="0" w:line="600" w:lineRule="exact"/>
        <w:ind w:firstLine="643" w:firstLineChars="200"/>
        <w:jc w:val="left"/>
        <w:rPr>
          <w:rFonts w:hint="eastAsia" w:ascii="仿宋_GB2312" w:hAnsi="Calibri" w:eastAsia="仿宋_GB2312" w:cs="Arial Black"/>
          <w:kern w:val="0"/>
          <w:sz w:val="32"/>
          <w:szCs w:val="32"/>
          <w:lang w:eastAsia="zh-CN"/>
        </w:rPr>
      </w:pPr>
      <w:r>
        <w:rPr>
          <w:rFonts w:hint="eastAsia" w:ascii="仿宋_GB2312" w:hAnsi="Calibri" w:eastAsia="仿宋_GB2312" w:cs="Arial Black"/>
          <w:kern w:val="0"/>
          <w:sz w:val="32"/>
          <w:szCs w:val="32"/>
          <w:lang w:eastAsia="zh-CN"/>
        </w:rPr>
        <w:t>下属事业单位</w:t>
      </w:r>
    </w:p>
    <w:p>
      <w:pPr>
        <w:spacing w:after="0" w:line="560" w:lineRule="exact"/>
        <w:ind w:firstLine="614" w:firstLineChars="200"/>
        <w:rPr>
          <w:rFonts w:hint="eastAsia" w:ascii="Times New Roman" w:hAnsi="Times New Roman" w:eastAsia="仿宋_GB2312" w:cs="Times New Roman"/>
          <w:w w:val="96"/>
          <w:sz w:val="32"/>
          <w:szCs w:val="32"/>
        </w:rPr>
      </w:pPr>
      <w:r>
        <w:rPr>
          <w:rFonts w:hint="eastAsia" w:ascii="Times New Roman" w:hAnsi="Times New Roman" w:eastAsia="仿宋_GB2312" w:cs="Times New Roman"/>
          <w:w w:val="96"/>
          <w:sz w:val="32"/>
          <w:szCs w:val="32"/>
        </w:rPr>
        <w:t>残疾人就业服务所：编制</w:t>
      </w:r>
      <w:r>
        <w:rPr>
          <w:rFonts w:hint="eastAsia" w:ascii="Times New Roman" w:hAnsi="Times New Roman" w:eastAsia="仿宋_GB2312" w:cs="Times New Roman"/>
          <w:w w:val="96"/>
          <w:sz w:val="32"/>
          <w:szCs w:val="32"/>
          <w:lang w:val="en-US" w:eastAsia="zh-CN"/>
        </w:rPr>
        <w:t>5</w:t>
      </w:r>
      <w:r>
        <w:rPr>
          <w:rFonts w:hint="eastAsia" w:ascii="Times New Roman" w:hAnsi="Times New Roman" w:eastAsia="仿宋_GB2312" w:cs="Times New Roman"/>
          <w:w w:val="96"/>
          <w:sz w:val="32"/>
          <w:szCs w:val="32"/>
        </w:rPr>
        <w:t>人，设所长1名。</w:t>
      </w:r>
    </w:p>
    <w:p>
      <w:pPr>
        <w:spacing w:after="0" w:line="560" w:lineRule="exact"/>
        <w:ind w:firstLine="614" w:firstLineChars="200"/>
        <w:rPr>
          <w:rFonts w:hint="eastAsia" w:ascii="Times New Roman" w:hAnsi="Times New Roman" w:eastAsia="仿宋_GB2312" w:cs="Times New Roman"/>
          <w:w w:val="96"/>
          <w:sz w:val="32"/>
          <w:szCs w:val="32"/>
        </w:rPr>
      </w:pPr>
      <w:r>
        <w:rPr>
          <w:rFonts w:hint="eastAsia" w:ascii="Times New Roman" w:hAnsi="Times New Roman" w:eastAsia="仿宋_GB2312" w:cs="Times New Roman"/>
          <w:w w:val="96"/>
          <w:sz w:val="32"/>
          <w:szCs w:val="32"/>
        </w:rPr>
        <w:t>根据上级有关规定依法为残疾人提供就业服务，收缴残疾人就业保证金；为残疾人从事种养、手工业、家庭副业及多种形式的生产劳动，提供产前、产中、产后的综合配套服务：培训和教育残疾人掌握一些专业技能和知识；对已就业的残疾人实施管理。经费形式：独立核算，自收自支。</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eastAsia="zh-CN"/>
              </w:rPr>
              <w:t>残疾人联合会</w:t>
            </w:r>
            <w:r>
              <w:rPr>
                <w:rFonts w:hint="eastAsia" w:ascii="仿宋_GB2312" w:hAnsi="Calibri" w:eastAsia="仿宋_GB2312" w:cs="ArialUnicodeMS"/>
                <w:kern w:val="0"/>
                <w:sz w:val="28"/>
                <w:szCs w:val="28"/>
              </w:rPr>
              <w:t>(本级)</w:t>
            </w:r>
          </w:p>
        </w:tc>
        <w:tc>
          <w:tcPr>
            <w:tcW w:w="2445" w:type="dxa"/>
          </w:tcPr>
          <w:p>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参公事业</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eastAsia="仿宋_GB2312" w:cs="Arial Black"/>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w:t>
            </w:r>
          </w:p>
        </w:tc>
        <w:tc>
          <w:tcPr>
            <w:tcW w:w="3485" w:type="dxa"/>
          </w:tcPr>
          <w:p>
            <w:pPr>
              <w:spacing w:line="560" w:lineRule="exact"/>
              <w:rPr>
                <w:rFonts w:ascii="仿宋_GB2312" w:hAnsi="Calibri" w:eastAsia="仿宋_GB2312" w:cs="ArialUnicodeMS"/>
                <w:kern w:val="0"/>
                <w:sz w:val="28"/>
                <w:szCs w:val="28"/>
              </w:rPr>
            </w:pPr>
            <w:r>
              <w:rPr>
                <w:rFonts w:hint="eastAsia" w:ascii="仿宋" w:hAnsi="仿宋" w:eastAsia="仿宋" w:cs="仿宋"/>
                <w:sz w:val="28"/>
                <w:szCs w:val="28"/>
              </w:rPr>
              <w:t>乐亭县残疾人就业所</w:t>
            </w:r>
          </w:p>
        </w:tc>
        <w:tc>
          <w:tcPr>
            <w:tcW w:w="2445" w:type="dxa"/>
          </w:tcPr>
          <w:p>
            <w:pPr>
              <w:spacing w:line="560" w:lineRule="exact"/>
              <w:jc w:val="center"/>
              <w:rPr>
                <w:rFonts w:ascii="仿宋_GB2312" w:hAnsi="Calibri" w:eastAsia="仿宋_GB2312" w:cs="ArialUnicodeMS"/>
                <w:kern w:val="0"/>
                <w:sz w:val="28"/>
                <w:szCs w:val="28"/>
              </w:rPr>
            </w:pPr>
            <w:r>
              <w:rPr>
                <w:rFonts w:hint="eastAsia" w:ascii="仿宋" w:hAnsi="仿宋" w:eastAsia="仿宋" w:cs="仿宋"/>
                <w:sz w:val="28"/>
                <w:szCs w:val="28"/>
              </w:rPr>
              <w:t>下属事业</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 w:hAnsi="仿宋" w:eastAsia="仿宋" w:cs="仿宋"/>
                <w:color w:val="auto"/>
                <w:sz w:val="28"/>
                <w:szCs w:val="28"/>
              </w:rPr>
              <w:t>自筹自支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12"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编制部门（单位）：乐亭县残疾人联合会(本级)</w:t>
            </w:r>
          </w:p>
        </w:tc>
        <w:tc>
          <w:tcPr>
            <w:tcW w:w="1262" w:type="pct"/>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2,556.98</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12.10</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2,527.73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2,569.08</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2,569.08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2,569.08</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2,569.08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编制部门（单位）：乐亭县残疾人联合会(本级)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2,569.08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2,569.08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2,527.73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2,527.73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42.58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42.58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事业单位离退休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28.59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28.59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13.99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13.99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残疾人事业</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2,485.16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2,485.16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225.69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225.69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2081104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残疾人康复</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31.66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31.66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2081105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残疾人就业</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30.75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30.75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2081199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其他残疾人事业支出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2,197.05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2,197.05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18.84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18.84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18.84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18.84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公务员医疗补助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12.45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12.45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12.10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12.10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22960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彩票公益金安排的支出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12.10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12.10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2296006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用于残疾人事业的彩票公益金支出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12.10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12.10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编制部门（单位）：乐亭县残疾人联合会(本级)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2,569.08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297.52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2,271.56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2,527.73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268.27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2,259.46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42.58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42.58</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残疾人事业</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2,485.16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225.69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2,259.46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225.69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225.69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2081104</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残疾人康复</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残疾人就业</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2081199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其他残疾人事业支出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2,197.05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2,197.05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18.84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18.84</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18.84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18.84</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12.45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12.45</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22960</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彩票公益金安排的支出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2296006</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用于残疾人事业的彩票公益金支出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编制部门（单位）：乐亭县残疾人联合会(本级)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2,556.98</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12.10</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2,527.73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2,527.73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18.84</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18.84</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10.40</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10.40</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12.10</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12.10</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2,569.08</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2,569.08</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2,556.98</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12.10</w:t>
            </w: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2,569.08</w:t>
            </w:r>
          </w:p>
        </w:tc>
        <w:tc>
          <w:tcPr>
            <w:tcW w:w="895" w:type="pct"/>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2,569.08</w:t>
            </w: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2,556.98</w:t>
            </w:r>
          </w:p>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12.10</w:t>
            </w:r>
          </w:p>
        </w:tc>
        <w:tc>
          <w:tcPr>
            <w:tcW w:w="520" w:type="pct"/>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61"/>
        <w:gridCol w:w="3416"/>
        <w:gridCol w:w="973"/>
        <w:gridCol w:w="525"/>
        <w:gridCol w:w="581"/>
        <w:gridCol w:w="383"/>
        <w:gridCol w:w="12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编制部门（单位）：乐亭县残疾人联合会(本级)</w:t>
            </w:r>
          </w:p>
        </w:tc>
        <w:tc>
          <w:tcPr>
            <w:tcW w:w="1551" w:type="pct"/>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2,556.98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297.52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2,259.46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2,527.73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268.27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2,259.46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42.58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42.58</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残疾人事业</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2,485.16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225.69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2,259.46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225.69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225.69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2081104</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残疾人康复</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残疾人就业</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其他残疾人事业支出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2,197.05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2,197.05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18.84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18.84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18.84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18.84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12.45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12.45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编制部门（单位）：乐亭县残疾人联合会(本级)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154.17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17.35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36.87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1.95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31.53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8.33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7.43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13.99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0.88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0.95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6.39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2.55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12.45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10.40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26.30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125.99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125.39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0.60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5.67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5.25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280.16</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编制部门（单位）：乐亭县残疾人联合会(本级)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12.10</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12.10</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12.10</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w:t>
            </w:r>
          </w:p>
        </w:tc>
        <w:tc>
          <w:tcPr>
            <w:tcW w:w="703"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12.10</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12.10</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12.10</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22960</w:t>
            </w:r>
          </w:p>
        </w:tc>
        <w:tc>
          <w:tcPr>
            <w:tcW w:w="703"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彩票公益金安排的支出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12.10</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12.10</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12.10</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2296006</w:t>
            </w:r>
          </w:p>
        </w:tc>
        <w:tc>
          <w:tcPr>
            <w:tcW w:w="703"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用于残疾人事业的彩票公益金支出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12.10</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12.10</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12.10</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编制部门（单位）：乐亭县残疾人联合会(本级)</w:t>
            </w:r>
          </w:p>
        </w:tc>
        <w:tc>
          <w:tcPr>
            <w:tcW w:w="1666" w:type="pct"/>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楷体" w:hAnsi="楷体" w:eastAsia="楷体" w:cs="楷体"/>
          <w:sz w:val="32"/>
          <w:szCs w:val="32"/>
          <w:highlight w:val="none"/>
        </w:rPr>
      </w:pPr>
      <w:r>
        <w:rPr>
          <w:rFonts w:hint="eastAsia" w:ascii="楷体" w:hAnsi="楷体" w:eastAsia="楷体" w:cs="楷体"/>
          <w:sz w:val="32"/>
          <w:szCs w:val="32"/>
          <w:highlight w:val="none"/>
          <w:lang w:eastAsia="zh-CN"/>
        </w:rPr>
        <w:t>说明：</w:t>
      </w:r>
      <w:r>
        <w:rPr>
          <w:rFonts w:hint="eastAsia" w:ascii="楷体" w:hAnsi="楷体" w:eastAsia="楷体" w:cs="楷体"/>
          <w:sz w:val="32"/>
          <w:szCs w:val="32"/>
          <w:highlight w:val="none"/>
        </w:rPr>
        <w:t>本部门本年度无相关收入（或支出、收支及结转结余等）情况，按要求空表列示。</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楷体" w:hAnsi="楷体" w:eastAsia="楷体" w:cs="楷体"/>
          <w:sz w:val="32"/>
          <w:szCs w:val="32"/>
          <w:highlight w:val="yello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楷体" w:hAnsi="楷体" w:eastAsia="楷体" w:cs="楷体"/>
          <w:sz w:val="32"/>
          <w:szCs w:val="32"/>
          <w:highlight w:val="yello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楷体" w:hAnsi="楷体" w:eastAsia="楷体" w:cs="楷体"/>
          <w:sz w:val="32"/>
          <w:szCs w:val="32"/>
          <w:highlight w:val="yello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楷体" w:hAnsi="楷体" w:eastAsia="楷体" w:cs="楷体"/>
          <w:sz w:val="32"/>
          <w:szCs w:val="32"/>
          <w:highlight w:val="yello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楷体" w:hAnsi="楷体" w:eastAsia="楷体" w:cs="楷体"/>
          <w:sz w:val="32"/>
          <w:szCs w:val="32"/>
          <w:highlight w:val="yello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楷体" w:hAnsi="楷体" w:eastAsia="楷体" w:cs="楷体"/>
          <w:sz w:val="32"/>
          <w:szCs w:val="32"/>
          <w:highlight w:val="yello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楷体" w:hAnsi="楷体" w:eastAsia="楷体" w:cs="楷体"/>
          <w:sz w:val="32"/>
          <w:szCs w:val="32"/>
          <w:highlight w:val="yello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楷体" w:hAnsi="楷体" w:eastAsia="楷体" w:cs="楷体"/>
          <w:sz w:val="32"/>
          <w:szCs w:val="32"/>
          <w:highlight w:val="yello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楷体" w:hAnsi="楷体" w:eastAsia="楷体" w:cs="楷体"/>
          <w:sz w:val="32"/>
          <w:szCs w:val="32"/>
          <w:highlight w:val="yello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楷体" w:hAnsi="楷体" w:eastAsia="楷体" w:cs="楷体"/>
          <w:sz w:val="32"/>
          <w:szCs w:val="32"/>
          <w:highlight w:val="yello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楷体" w:hAnsi="楷体" w:eastAsia="楷体" w:cs="楷体"/>
          <w:sz w:val="32"/>
          <w:szCs w:val="32"/>
          <w:highlight w:val="yello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楷体" w:hAnsi="楷体" w:eastAsia="楷体" w:cs="楷体"/>
          <w:sz w:val="32"/>
          <w:szCs w:val="32"/>
          <w:highlight w:val="yellow"/>
        </w:rPr>
      </w:pP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编制部门（单位）：乐亭县残疾人联合会(本级)</w:t>
            </w:r>
          </w:p>
        </w:tc>
        <w:tc>
          <w:tcPr>
            <w:tcW w:w="93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5.67</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5.67</w:t>
            </w: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5.67</w:t>
            </w:r>
          </w:p>
        </w:tc>
        <w:tc>
          <w:tcPr>
            <w:tcW w:w="33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5.67</w:t>
            </w:r>
          </w:p>
        </w:tc>
        <w:tc>
          <w:tcPr>
            <w:tcW w:w="48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5.67</w:t>
            </w:r>
          </w:p>
        </w:tc>
        <w:tc>
          <w:tcPr>
            <w:tcW w:w="44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5.67</w:t>
            </w:r>
          </w:p>
        </w:tc>
        <w:tc>
          <w:tcPr>
            <w:tcW w:w="511"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本单位2023年度收、支总计（含结转和结余）</w:t>
      </w:r>
      <w:r>
        <w:rPr>
          <w:rFonts w:hint="default" w:ascii="Times New Roman" w:hAnsi="Times New Roman" w:eastAsia="仿宋_GB2312" w:cs="Times New Roman"/>
          <w:kern w:val="2"/>
          <w:sz w:val="32"/>
          <w:szCs w:val="32"/>
          <w:lang w:val="zh-CN" w:eastAsia="zh-CN"/>
        </w:rPr>
        <w:t>2,569.08</w:t>
      </w:r>
      <w:r>
        <w:rPr>
          <w:rFonts w:hint="default" w:ascii="Times New Roman" w:hAnsi="Times New Roman" w:eastAsia="仿宋_GB2312" w:cs="Times New Roman"/>
          <w:kern w:val="2"/>
          <w:sz w:val="32"/>
          <w:szCs w:val="32"/>
          <w:lang w:eastAsia="zh-CN"/>
        </w:rPr>
        <w:t>万元。与2022年度决算相比，收支各增加</w:t>
      </w:r>
      <w:r>
        <w:rPr>
          <w:rFonts w:hint="eastAsia" w:ascii="Times New Roman" w:hAnsi="Times New Roman" w:eastAsia="仿宋_GB2312" w:cs="Times New Roman"/>
          <w:kern w:val="2"/>
          <w:sz w:val="32"/>
          <w:szCs w:val="32"/>
          <w:lang w:val="en-US" w:eastAsia="zh-CN"/>
        </w:rPr>
        <w:t>2173.95</w:t>
      </w:r>
      <w:r>
        <w:rPr>
          <w:rFonts w:hint="default" w:ascii="Times New Roman" w:hAnsi="Times New Roman" w:eastAsia="仿宋_GB2312" w:cs="Times New Roman"/>
          <w:kern w:val="2"/>
          <w:sz w:val="32"/>
          <w:szCs w:val="32"/>
          <w:lang w:eastAsia="zh-CN"/>
        </w:rPr>
        <w:t>万元，增长</w:t>
      </w:r>
      <w:r>
        <w:rPr>
          <w:rFonts w:hint="eastAsia" w:ascii="Times New Roman" w:hAnsi="Times New Roman" w:eastAsia="仿宋_GB2312" w:cs="Times New Roman"/>
          <w:kern w:val="2"/>
          <w:sz w:val="32"/>
          <w:szCs w:val="32"/>
          <w:lang w:val="en-US" w:eastAsia="zh-CN"/>
        </w:rPr>
        <w:t>84.6</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kern w:val="2"/>
          <w:sz w:val="32"/>
          <w:szCs w:val="32"/>
          <w:lang w:eastAsia="zh-CN"/>
        </w:rPr>
        <w:t>残疾人帮扶等特定项目增加、收支金额加大</w:t>
      </w:r>
      <w:r>
        <w:rPr>
          <w:rFonts w:hint="default" w:ascii="Times New Roman" w:hAnsi="Times New Roman" w:eastAsia="仿宋_GB2312" w:cs="Times New Roman"/>
          <w:kern w:val="2"/>
          <w:sz w:val="32"/>
          <w:szCs w:val="32"/>
          <w:lang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2,569.08</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，其中：财政拨款收入2,569.08万元，占100%；上级补助收入0万元，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2,569.08万元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297.52万元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占11.58%；</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2,271.56万元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占88.42%；</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年度财政拨款本年收入2,569.08</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元,比上年增加</w:t>
      </w:r>
      <w:r>
        <w:rPr>
          <w:rFonts w:hint="eastAsia" w:ascii="Times New Roman" w:hAnsi="Times New Roman" w:eastAsia="仿宋_GB2312" w:cs="Times New Roman"/>
          <w:color w:val="auto"/>
          <w:kern w:val="2"/>
          <w:sz w:val="32"/>
          <w:szCs w:val="32"/>
          <w:lang w:val="en-US" w:eastAsia="zh-CN" w:bidi="ar-SA"/>
        </w:rPr>
        <w:t>2173.95</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84.6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eastAsia="zh-CN"/>
        </w:rPr>
        <w:t>残疾人帮扶等特定项目增加、收支金额加大</w:t>
      </w:r>
      <w:r>
        <w:rPr>
          <w:rFonts w:hint="default" w:ascii="Times New Roman" w:hAnsi="Times New Roman" w:eastAsia="仿宋_GB2312" w:cs="Times New Roman"/>
          <w:color w:val="auto"/>
          <w:kern w:val="2"/>
          <w:sz w:val="32"/>
          <w:szCs w:val="32"/>
          <w:lang w:val="zh-CN" w:eastAsia="zh-CN" w:bidi="ar-SA"/>
        </w:rPr>
        <w:t>；本年支出 2,569.08万元，比上年增加</w:t>
      </w:r>
      <w:r>
        <w:rPr>
          <w:rFonts w:hint="eastAsia" w:ascii="Times New Roman" w:hAnsi="Times New Roman" w:eastAsia="仿宋_GB2312" w:cs="Times New Roman"/>
          <w:color w:val="auto"/>
          <w:kern w:val="2"/>
          <w:sz w:val="32"/>
          <w:szCs w:val="32"/>
          <w:lang w:val="en-US" w:eastAsia="zh-CN" w:bidi="ar-SA"/>
        </w:rPr>
        <w:t>2173.95</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84.6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eastAsia="zh-CN"/>
        </w:rPr>
        <w:t>残疾人帮扶等特定项目增加、收支金额加大</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一般公共预算财政拨款本年收入2,556.98</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,比上年增加</w:t>
      </w:r>
      <w:r>
        <w:rPr>
          <w:rFonts w:hint="eastAsia" w:ascii="Times New Roman" w:hAnsi="Times New Roman" w:eastAsia="仿宋_GB2312" w:cs="Times New Roman"/>
          <w:kern w:val="2"/>
          <w:sz w:val="32"/>
          <w:szCs w:val="32"/>
          <w:lang w:val="en-US" w:eastAsia="zh-CN"/>
        </w:rPr>
        <w:t>2180.9</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eastAsia="zh-CN"/>
        </w:rPr>
        <w:t>残疾人帮扶等特定项目增加、收入金额加大</w:t>
      </w:r>
      <w:r>
        <w:rPr>
          <w:rFonts w:hint="default" w:ascii="Times New Roman" w:hAnsi="Times New Roman" w:eastAsia="仿宋_GB2312" w:cs="Times New Roman"/>
          <w:kern w:val="2"/>
          <w:sz w:val="32"/>
          <w:szCs w:val="32"/>
          <w:lang w:val="zh-CN"/>
        </w:rPr>
        <w:t>；本年支出 2,556.98</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2180.9</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85.3</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eastAsia="zh-CN"/>
        </w:rPr>
        <w:t>残疾人帮扶等特定项目增加、收支金额加大</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政府性基金预算财政拨款本年收入12.1</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元，比上年减少</w:t>
      </w:r>
      <w:r>
        <w:rPr>
          <w:rFonts w:hint="eastAsia" w:ascii="Times New Roman" w:hAnsi="Times New Roman" w:eastAsia="仿宋_GB2312" w:cs="Times New Roman"/>
          <w:kern w:val="2"/>
          <w:sz w:val="32"/>
          <w:szCs w:val="32"/>
          <w:lang w:val="en-US" w:eastAsia="zh-CN"/>
        </w:rPr>
        <w:t>6.96</w:t>
      </w:r>
      <w:r>
        <w:rPr>
          <w:rFonts w:hint="default"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lang w:val="en-US" w:eastAsia="zh-CN"/>
        </w:rPr>
        <w:t>57.5</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节约相关项目支出</w:t>
      </w:r>
      <w:r>
        <w:rPr>
          <w:rFonts w:hint="default" w:ascii="Times New Roman" w:hAnsi="Times New Roman" w:eastAsia="仿宋_GB2312" w:cs="Times New Roman"/>
          <w:kern w:val="2"/>
          <w:sz w:val="32"/>
          <w:szCs w:val="32"/>
          <w:lang w:val="zh-CN"/>
        </w:rPr>
        <w:t>；本年支出 12.1</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元，比上年减少</w:t>
      </w:r>
      <w:r>
        <w:rPr>
          <w:rFonts w:hint="eastAsia" w:ascii="Times New Roman" w:hAnsi="Times New Roman" w:eastAsia="仿宋_GB2312" w:cs="Times New Roman"/>
          <w:kern w:val="2"/>
          <w:sz w:val="32"/>
          <w:szCs w:val="32"/>
          <w:lang w:val="en-US" w:eastAsia="zh-CN"/>
        </w:rPr>
        <w:t>6.96</w:t>
      </w:r>
      <w:r>
        <w:rPr>
          <w:rFonts w:hint="default"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lang w:val="en-US" w:eastAsia="zh-CN"/>
        </w:rPr>
        <w:t>57.5</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节约相关项目支出</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元，比上年增加（减少）</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万元，增长（降低）</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%，主要是主要是</w:t>
      </w:r>
      <w:r>
        <w:rPr>
          <w:rFonts w:hint="eastAsia" w:ascii="Times New Roman" w:hAnsi="Times New Roman" w:eastAsia="仿宋_GB2312" w:cs="Times New Roman"/>
          <w:kern w:val="2"/>
          <w:sz w:val="32"/>
          <w:szCs w:val="32"/>
          <w:lang w:val="zh-CN"/>
        </w:rPr>
        <w:t>未发生此类支出，无增减变化</w:t>
      </w:r>
      <w:r>
        <w:rPr>
          <w:rFonts w:hint="default" w:ascii="Times New Roman" w:hAnsi="Times New Roman" w:eastAsia="仿宋_GB2312" w:cs="Times New Roman"/>
          <w:kern w:val="2"/>
          <w:sz w:val="32"/>
          <w:szCs w:val="32"/>
          <w:lang w:val="zh-CN"/>
        </w:rPr>
        <w:t>；本年支出0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元，比上年增加（减少）</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万元，增长（降低）</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未发生此类支出，无增减变化</w:t>
      </w:r>
      <w:r>
        <w:rPr>
          <w:rFonts w:hint="default" w:ascii="Times New Roman" w:hAnsi="Times New Roman" w:eastAsia="仿宋_GB2312" w:cs="Times New Roman"/>
          <w:kern w:val="2"/>
          <w:sz w:val="32"/>
          <w:szCs w:val="32"/>
          <w:lang w:val="zh-CN"/>
        </w:rPr>
        <w:t>。</w:t>
      </w:r>
    </w:p>
    <w:p>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年度财政拨款本年收入2,569.08万元，完成年初预算的824.37%，比年初预算增加</w:t>
      </w:r>
      <w:r>
        <w:rPr>
          <w:rFonts w:hint="eastAsia" w:ascii="Times New Roman" w:hAnsi="Times New Roman" w:eastAsia="仿宋_GB2312" w:cs="Times New Roman"/>
          <w:color w:val="auto"/>
          <w:kern w:val="2"/>
          <w:sz w:val="32"/>
          <w:szCs w:val="32"/>
          <w:lang w:val="en-US" w:eastAsia="zh-CN" w:bidi="ar-SA"/>
        </w:rPr>
        <w:t>2257.44</w:t>
      </w:r>
      <w:r>
        <w:rPr>
          <w:rFonts w:hint="default" w:ascii="Times New Roman" w:hAnsi="Times New Roman" w:eastAsia="仿宋_GB2312" w:cs="Times New Roman"/>
          <w:color w:val="auto"/>
          <w:kern w:val="2"/>
          <w:sz w:val="32"/>
          <w:szCs w:val="32"/>
          <w:lang w:val="zh-CN" w:eastAsia="zh-CN" w:bidi="ar-SA"/>
        </w:rPr>
        <w:t>万元，决算数大于预算数主要原因是</w:t>
      </w:r>
      <w:r>
        <w:rPr>
          <w:rFonts w:hint="eastAsia" w:ascii="Times New Roman" w:hAnsi="Times New Roman" w:eastAsia="仿宋_GB2312" w:cs="Times New Roman"/>
          <w:color w:val="auto"/>
          <w:kern w:val="2"/>
          <w:sz w:val="32"/>
          <w:szCs w:val="32"/>
          <w:lang w:val="zh-CN" w:eastAsia="zh-CN" w:bidi="ar-SA"/>
        </w:rPr>
        <w:t>服务残疾人项目数量与开支增加</w:t>
      </w:r>
      <w:r>
        <w:rPr>
          <w:rFonts w:hint="default" w:ascii="Times New Roman" w:hAnsi="Times New Roman" w:eastAsia="仿宋_GB2312" w:cs="Times New Roman"/>
          <w:color w:val="auto"/>
          <w:kern w:val="2"/>
          <w:sz w:val="32"/>
          <w:szCs w:val="32"/>
          <w:lang w:val="zh-CN" w:eastAsia="zh-CN" w:bidi="ar-SA"/>
        </w:rPr>
        <w:t>；本年支出2,569.08万元，完成年初预算的824.37%，比年初预算增加</w:t>
      </w:r>
      <w:r>
        <w:rPr>
          <w:rFonts w:hint="eastAsia" w:ascii="Times New Roman" w:hAnsi="Times New Roman" w:eastAsia="仿宋_GB2312" w:cs="Times New Roman"/>
          <w:color w:val="auto"/>
          <w:kern w:val="2"/>
          <w:sz w:val="32"/>
          <w:szCs w:val="32"/>
          <w:lang w:val="en-US" w:eastAsia="zh-CN" w:bidi="ar-SA"/>
        </w:rPr>
        <w:t>2257.44</w:t>
      </w:r>
      <w:r>
        <w:rPr>
          <w:rFonts w:hint="default" w:ascii="Times New Roman" w:hAnsi="Times New Roman" w:eastAsia="仿宋_GB2312" w:cs="Times New Roman"/>
          <w:color w:val="auto"/>
          <w:kern w:val="2"/>
          <w:sz w:val="32"/>
          <w:szCs w:val="32"/>
          <w:lang w:val="zh-CN" w:eastAsia="zh-CN" w:bidi="ar-SA"/>
        </w:rPr>
        <w:t>万元，决算数</w:t>
      </w:r>
      <w:r>
        <w:rPr>
          <w:rFonts w:hint="default" w:ascii="Times New Roman" w:hAnsi="Times New Roman" w:eastAsia="仿宋_GB2312" w:cs="Times New Roman"/>
          <w:kern w:val="2"/>
          <w:sz w:val="32"/>
          <w:szCs w:val="32"/>
          <w:lang w:val="zh-CN"/>
        </w:rPr>
        <w:t>大于预算数主要原因是</w:t>
      </w:r>
      <w:r>
        <w:rPr>
          <w:rFonts w:hint="eastAsia" w:ascii="Times New Roman" w:hAnsi="Times New Roman" w:eastAsia="仿宋_GB2312" w:cs="Times New Roman"/>
          <w:kern w:val="2"/>
          <w:sz w:val="32"/>
          <w:szCs w:val="32"/>
          <w:lang w:val="zh-CN"/>
        </w:rPr>
        <w:t>服务残疾人项目数量与开支增加</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收入2,556.98万元，完成年初预算的 820.49%，比年初预算增加</w:t>
      </w:r>
      <w:r>
        <w:rPr>
          <w:rFonts w:hint="eastAsia" w:ascii="Times New Roman" w:hAnsi="Times New Roman" w:eastAsia="仿宋_GB2312" w:cs="Times New Roman"/>
          <w:kern w:val="2"/>
          <w:sz w:val="32"/>
          <w:szCs w:val="32"/>
          <w:lang w:val="en-US" w:eastAsia="zh-CN"/>
        </w:rPr>
        <w:t>2245.26</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服务残疾人项目数量与开支增加</w:t>
      </w:r>
      <w:r>
        <w:rPr>
          <w:rFonts w:hint="default" w:ascii="Times New Roman" w:hAnsi="Times New Roman" w:eastAsia="仿宋_GB2312" w:cs="Times New Roman"/>
          <w:kern w:val="2"/>
          <w:sz w:val="32"/>
          <w:szCs w:val="32"/>
          <w:lang w:val="zh-CN"/>
        </w:rPr>
        <w:t>；本年支出2,556.98万元，完成年初预算的820.49%，比年初预算增加</w:t>
      </w:r>
      <w:r>
        <w:rPr>
          <w:rFonts w:hint="eastAsia" w:ascii="Times New Roman" w:hAnsi="Times New Roman" w:eastAsia="仿宋_GB2312" w:cs="Times New Roman"/>
          <w:kern w:val="2"/>
          <w:sz w:val="32"/>
          <w:szCs w:val="32"/>
          <w:lang w:val="en-US" w:eastAsia="zh-CN"/>
        </w:rPr>
        <w:t>2245.26</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服务残疾人项目数量与开支增加</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政府性基金预算财政拨款本年收入12.1万元，完成年初预算的</w:t>
      </w:r>
      <w:r>
        <w:rPr>
          <w:rFonts w:hint="eastAsia" w:ascii="Times New Roman" w:hAnsi="Times New Roman" w:eastAsia="仿宋_GB2312" w:cs="Times New Roman"/>
          <w:kern w:val="2"/>
          <w:sz w:val="32"/>
          <w:szCs w:val="32"/>
          <w:lang w:val="en-US" w:eastAsia="zh-CN"/>
        </w:rPr>
        <w:t>44.8</w:t>
      </w:r>
      <w:r>
        <w:rPr>
          <w:rFonts w:hint="default" w:ascii="Times New Roman" w:hAnsi="Times New Roman" w:eastAsia="仿宋_GB2312" w:cs="Times New Roman"/>
          <w:kern w:val="2"/>
          <w:sz w:val="32"/>
          <w:szCs w:val="32"/>
          <w:lang w:val="zh-CN"/>
        </w:rPr>
        <w:t>%，比年初预算减少</w:t>
      </w:r>
      <w:r>
        <w:rPr>
          <w:rFonts w:hint="eastAsia" w:ascii="Times New Roman" w:hAnsi="Times New Roman" w:eastAsia="仿宋_GB2312" w:cs="Times New Roman"/>
          <w:kern w:val="2"/>
          <w:sz w:val="32"/>
          <w:szCs w:val="32"/>
          <w:lang w:val="en-US" w:eastAsia="zh-CN"/>
        </w:rPr>
        <w:t>14.9</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财政拨款减少</w:t>
      </w:r>
      <w:r>
        <w:rPr>
          <w:rFonts w:hint="default" w:ascii="Times New Roman" w:hAnsi="Times New Roman" w:eastAsia="仿宋_GB2312" w:cs="Times New Roman"/>
          <w:kern w:val="2"/>
          <w:sz w:val="32"/>
          <w:szCs w:val="32"/>
          <w:lang w:val="zh-CN"/>
        </w:rPr>
        <w:t>；本年支出12.1万元，完成年初预算的</w:t>
      </w:r>
      <w:r>
        <w:rPr>
          <w:rFonts w:hint="eastAsia" w:ascii="Times New Roman" w:hAnsi="Times New Roman" w:eastAsia="仿宋_GB2312" w:cs="Times New Roman"/>
          <w:kern w:val="2"/>
          <w:sz w:val="32"/>
          <w:szCs w:val="32"/>
          <w:lang w:val="en-US" w:eastAsia="zh-CN"/>
        </w:rPr>
        <w:t>44.8</w:t>
      </w:r>
      <w:r>
        <w:rPr>
          <w:rFonts w:hint="default" w:ascii="Times New Roman" w:hAnsi="Times New Roman" w:eastAsia="仿宋_GB2312" w:cs="Times New Roman"/>
          <w:kern w:val="2"/>
          <w:sz w:val="32"/>
          <w:szCs w:val="32"/>
          <w:lang w:val="zh-CN"/>
        </w:rPr>
        <w:t>%，比年初预算减少</w:t>
      </w:r>
      <w:r>
        <w:rPr>
          <w:rFonts w:hint="eastAsia" w:ascii="Times New Roman" w:hAnsi="Times New Roman" w:eastAsia="仿宋_GB2312" w:cs="Times New Roman"/>
          <w:kern w:val="2"/>
          <w:sz w:val="32"/>
          <w:szCs w:val="32"/>
          <w:lang w:val="en-US" w:eastAsia="zh-CN"/>
        </w:rPr>
        <w:t>14.9</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财政拨款减少</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default" w:ascii="Times New Roman" w:hAnsi="Times New Roman" w:eastAsia="仿宋_GB2312" w:cs="Times New Roman"/>
          <w:kern w:val="2"/>
          <w:sz w:val="32"/>
          <w:szCs w:val="32"/>
          <w:lang w:val="zh-CN"/>
        </w:rPr>
        <w:t>3. 国有资本经营预算财政拨款本年收入0万元，完成年初预算的 0%，比年初预算增加（减少）</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未发生此类支出，无增减变化</w:t>
      </w:r>
      <w:r>
        <w:rPr>
          <w:rFonts w:hint="default" w:ascii="Times New Roman" w:hAnsi="Times New Roman" w:eastAsia="仿宋_GB2312" w:cs="Times New Roman"/>
          <w:kern w:val="2"/>
          <w:sz w:val="32"/>
          <w:szCs w:val="32"/>
          <w:lang w:val="zh-CN"/>
        </w:rPr>
        <w:t>；本年支出0万元，完成年初预算的0%，比年初预算增加（减少）</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未发生此类支出，无增减变化</w:t>
      </w:r>
      <w:r>
        <w:rPr>
          <w:rFonts w:hint="default" w:ascii="Times New Roman" w:hAnsi="Times New Roman" w:eastAsia="仿宋_GB2312" w:cs="Times New Roman"/>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年度财政拨款支出2,569.08万元，主要用于以下方面：</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社会保障和就业 （类）支出2,527.73万元，占98.39%；卫生健康（类）支出18.84万元，占0.73%；；住房保障（类）支出10.4万元，占0.4%；其他（类）支出12.1万元，占0.47%；</w:t>
      </w:r>
    </w:p>
    <w:p>
      <w:pPr>
        <w:pStyle w:val="10"/>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年度财政拨款基本支出297.52万元，其中：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280.16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公用经费17.35万元，主要包括办公费、印刷费、咨询费、手续费、水费、电费、邮电费、取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年度“三公”经费财政拨款支出预算为5.67万元，支出决算为 5.67万元，完成预算的 100%，较预算增加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全部完成</w:t>
      </w:r>
      <w:r>
        <w:rPr>
          <w:rFonts w:hint="default" w:ascii="Times New Roman" w:hAnsi="Times New Roman" w:eastAsia="仿宋_GB2312" w:cs="Times New Roman"/>
          <w:color w:val="auto"/>
          <w:kern w:val="2"/>
          <w:sz w:val="32"/>
          <w:szCs w:val="32"/>
          <w:lang w:val="zh-CN" w:eastAsia="zh-CN" w:bidi="ar-SA"/>
        </w:rPr>
        <w:t>；较2022年度决算增加</w:t>
      </w:r>
      <w:r>
        <w:rPr>
          <w:rFonts w:hint="eastAsia" w:ascii="Times New Roman" w:hAnsi="Times New Roman" w:eastAsia="仿宋_GB2312" w:cs="Times New Roman"/>
          <w:color w:val="auto"/>
          <w:kern w:val="2"/>
          <w:sz w:val="32"/>
          <w:szCs w:val="32"/>
          <w:lang w:val="en-US" w:eastAsia="zh-CN" w:bidi="ar-SA"/>
        </w:rPr>
        <w:t>5.67</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全部完成</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2023年度因公出国（境）费支出预算为0万元,支出决算0万元。完成预算的0</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。因公出国（境）费支出较预算增加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万元，增长（降低）</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%,主要是</w:t>
      </w:r>
      <w:r>
        <w:rPr>
          <w:rFonts w:hint="eastAsia" w:ascii="Times New Roman" w:hAnsi="Times New Roman" w:eastAsia="仿宋_GB2312" w:cs="Times New Roman"/>
          <w:kern w:val="2"/>
          <w:sz w:val="32"/>
          <w:szCs w:val="32"/>
          <w:lang w:val="zh-CN"/>
        </w:rPr>
        <w:t>全部完成</w:t>
      </w:r>
      <w:r>
        <w:rPr>
          <w:rFonts w:hint="default" w:ascii="Times New Roman" w:hAnsi="Times New Roman" w:eastAsia="仿宋_GB2312" w:cs="Times New Roman"/>
          <w:color w:val="auto"/>
          <w:kern w:val="2"/>
          <w:sz w:val="32"/>
          <w:szCs w:val="32"/>
          <w:lang w:val="en-US" w:eastAsia="zh-CN" w:bidi="ar-SA"/>
        </w:rPr>
        <w:t>；较上年增加（减少）</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万元，增长（降低）</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%,主要是</w:t>
      </w:r>
      <w:r>
        <w:rPr>
          <w:rFonts w:hint="eastAsia" w:ascii="Times New Roman" w:hAnsi="Times New Roman" w:eastAsia="仿宋_GB2312" w:cs="Times New Roman"/>
          <w:kern w:val="2"/>
          <w:sz w:val="32"/>
          <w:szCs w:val="32"/>
          <w:lang w:val="zh-CN"/>
        </w:rPr>
        <w:t>全部完成</w:t>
      </w:r>
      <w:r>
        <w:rPr>
          <w:rFonts w:hint="default" w:ascii="Times New Roman" w:hAnsi="Times New Roman" w:eastAsia="仿宋_GB2312" w:cs="Times New Roman"/>
          <w:color w:val="auto"/>
          <w:kern w:val="2"/>
          <w:sz w:val="32"/>
          <w:szCs w:val="32"/>
          <w:lang w:val="en-US" w:eastAsia="zh-CN" w:bidi="ar-SA"/>
        </w:rPr>
        <w:t>。因公出国（境）团组0个、共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%人、参加其他单位组织的因公出国（境）团组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无本部门组织的出国（境）团组。</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年度公务用车购置及运行维护费预算为5.67万元，支出决算 5.67万元，完成预算的100%,较预算增加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val="zh-CN"/>
        </w:rPr>
        <w:t>未发生此类支出，无增减变化</w:t>
      </w:r>
      <w:r>
        <w:rPr>
          <w:rFonts w:hint="default" w:ascii="Times New Roman" w:hAnsi="Times New Roman" w:eastAsia="仿宋_GB2312" w:cs="Times New Roman"/>
          <w:color w:val="auto"/>
          <w:kern w:val="2"/>
          <w:sz w:val="32"/>
          <w:szCs w:val="32"/>
          <w:lang w:val="zh-CN" w:eastAsia="zh-CN" w:bidi="ar-SA"/>
        </w:rPr>
        <w:t>；较上年增加（减少）</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val="zh-CN"/>
        </w:rPr>
        <w:t>未发生此类支出，无增减变化</w:t>
      </w:r>
      <w:r>
        <w:rPr>
          <w:rFonts w:hint="default" w:ascii="Times New Roman" w:hAnsi="Times New Roman" w:eastAsia="仿宋_GB2312" w:cs="Times New Roman"/>
          <w:color w:val="auto"/>
          <w:kern w:val="2"/>
          <w:sz w:val="32"/>
          <w:szCs w:val="32"/>
          <w:lang w:val="zh-CN" w:eastAsia="zh-CN" w:bidi="ar-SA"/>
        </w:rPr>
        <w:t>。其中：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0万元。公务用车购置费支出较预算增加（减少）</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val="zh-CN"/>
        </w:rPr>
        <w:t>未发生此类支出，无增减变化</w:t>
      </w:r>
      <w:r>
        <w:rPr>
          <w:rFonts w:hint="default" w:ascii="Times New Roman" w:hAnsi="Times New Roman" w:eastAsia="仿宋_GB2312" w:cs="Times New Roman"/>
          <w:color w:val="auto"/>
          <w:kern w:val="2"/>
          <w:sz w:val="32"/>
          <w:szCs w:val="32"/>
          <w:lang w:val="zh-CN" w:eastAsia="zh-CN" w:bidi="ar-SA"/>
        </w:rPr>
        <w:t>；较上年增加（减少）</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val="zh-CN"/>
        </w:rPr>
        <w:t>未发生此类支出，无增减变化</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5.67</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年度单位公务用车保有量2辆，发生运行维护费支出5.67万元。公车运行维护费支出较预算增加</w:t>
      </w:r>
      <w:r>
        <w:rPr>
          <w:rFonts w:hint="eastAsia" w:ascii="Times New Roman" w:hAnsi="Times New Roman" w:eastAsia="仿宋_GB2312" w:cs="Times New Roman"/>
          <w:color w:val="auto"/>
          <w:kern w:val="2"/>
          <w:sz w:val="32"/>
          <w:szCs w:val="32"/>
          <w:lang w:val="en-US" w:eastAsia="zh-CN" w:bidi="ar-SA"/>
        </w:rPr>
        <w:t>5.67</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预算今年发生</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5.67</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今年发生本项业务</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年度公务接待费支出预算为0万元，支出决算0万元，完成预算的0%。公务接待费支出较预算增加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未发生</w:t>
      </w:r>
      <w:r>
        <w:rPr>
          <w:rFonts w:hint="eastAsia" w:ascii="Times New Roman" w:hAnsi="Times New Roman" w:eastAsia="仿宋_GB2312" w:cs="Times New Roman"/>
          <w:kern w:val="2"/>
          <w:sz w:val="32"/>
          <w:szCs w:val="32"/>
          <w:lang w:val="zh-CN"/>
        </w:rPr>
        <w:t>此类支出，无增减变化</w:t>
      </w:r>
      <w:r>
        <w:rPr>
          <w:rFonts w:hint="default" w:ascii="Times New Roman" w:hAnsi="Times New Roman" w:eastAsia="仿宋_GB2312" w:cs="Times New Roman"/>
          <w:color w:val="auto"/>
          <w:kern w:val="2"/>
          <w:sz w:val="32"/>
          <w:szCs w:val="32"/>
          <w:lang w:val="zh-CN" w:eastAsia="zh-CN" w:bidi="ar-SA"/>
        </w:rPr>
        <w:t>；较上年度增加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val="zh-CN"/>
        </w:rPr>
        <w:t>未发生此类支出</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人次。</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年度机关运行经费支出17.35万元，较2022年度减少</w:t>
      </w:r>
      <w:r>
        <w:rPr>
          <w:rFonts w:hint="eastAsia" w:ascii="Times New Roman" w:hAnsi="Times New Roman" w:eastAsia="仿宋_GB2312" w:cs="Times New Roman"/>
          <w:color w:val="auto"/>
          <w:kern w:val="2"/>
          <w:sz w:val="32"/>
          <w:szCs w:val="32"/>
          <w:lang w:val="en-US" w:eastAsia="zh-CN" w:bidi="ar-SA"/>
        </w:rPr>
        <w:t>3.47</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20</w:t>
      </w:r>
      <w:r>
        <w:rPr>
          <w:rFonts w:hint="default" w:ascii="Times New Roman" w:hAnsi="Times New Roman" w:eastAsia="仿宋_GB2312" w:cs="Times New Roman"/>
          <w:color w:val="auto"/>
          <w:kern w:val="2"/>
          <w:sz w:val="32"/>
          <w:szCs w:val="32"/>
          <w:lang w:val="zh-CN" w:eastAsia="zh-CN" w:bidi="ar-SA"/>
        </w:rPr>
        <w:t>%。主要原因是</w:t>
      </w:r>
      <w:r>
        <w:rPr>
          <w:rFonts w:hint="eastAsia" w:ascii="Times New Roman" w:hAnsi="Times New Roman" w:eastAsia="仿宋_GB2312" w:cs="Times New Roman"/>
          <w:color w:val="auto"/>
          <w:kern w:val="2"/>
          <w:sz w:val="32"/>
          <w:szCs w:val="32"/>
          <w:lang w:val="zh-CN" w:eastAsia="zh-CN" w:bidi="ar-SA"/>
        </w:rPr>
        <w:t>日常开支减少</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年度政府采购支出总额0万元，从采购类型来看，政府采购货物支出0万元、政府采购工程支出0万元、政府采购服务支出0万元。授予中小企业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0万元，占政府采购支出总额的0%，其中授予小微企业合同金额0万元，占政府采购支出总额的0%</w:t>
      </w:r>
      <w:r>
        <w:rPr>
          <w:rFonts w:hint="eastAsia" w:ascii="Times New Roman" w:hAnsi="Times New Roman" w:eastAsia="仿宋_GB2312" w:cs="Times New Roman"/>
          <w:color w:val="auto"/>
          <w:kern w:val="2"/>
          <w:sz w:val="32"/>
          <w:szCs w:val="32"/>
          <w:lang w:val="zh-CN" w:eastAsia="zh-CN" w:bidi="ar-SA"/>
        </w:rPr>
        <w:t>。</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，比上年减少</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辆，主要是</w:t>
      </w:r>
      <w:r>
        <w:rPr>
          <w:rFonts w:hint="eastAsia" w:ascii="Times New Roman" w:hAnsi="Times New Roman" w:eastAsia="仿宋_GB2312" w:cs="Times New Roman"/>
          <w:color w:val="auto"/>
          <w:kern w:val="2"/>
          <w:sz w:val="32"/>
          <w:szCs w:val="32"/>
          <w:lang w:val="zh-CN" w:eastAsia="zh-CN" w:bidi="ar-SA"/>
        </w:rPr>
        <w:t>未发生变动</w:t>
      </w:r>
      <w:r>
        <w:rPr>
          <w:rFonts w:hint="default" w:ascii="Times New Roman" w:hAnsi="Times New Roman" w:eastAsia="仿宋_GB2312" w:cs="Times New Roman"/>
          <w:color w:val="auto"/>
          <w:kern w:val="2"/>
          <w:sz w:val="32"/>
          <w:szCs w:val="32"/>
          <w:lang w:val="zh-CN" w:eastAsia="zh-CN" w:bidi="ar-SA"/>
        </w:rPr>
        <w:t>。其中，副部（省）级及以上领导用车本单位共有车辆2辆辆，主要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用车0辆，机要通信用车0辆，应急保障用车0辆，执法执勤用车0辆，特种专业技术用车0辆，离退休干部用车0辆，其他用车2辆，其他用车主要是</w:t>
      </w:r>
      <w:r>
        <w:rPr>
          <w:rFonts w:hint="eastAsia" w:ascii="Times New Roman" w:hAnsi="Times New Roman" w:eastAsia="仿宋_GB2312" w:cs="Times New Roman"/>
          <w:color w:val="auto"/>
          <w:kern w:val="2"/>
          <w:sz w:val="32"/>
          <w:szCs w:val="32"/>
          <w:lang w:val="zh-CN" w:eastAsia="zh-CN" w:bidi="ar-SA"/>
        </w:rPr>
        <w:t>公务用车通信与来往</w:t>
      </w:r>
      <w:r>
        <w:rPr>
          <w:rFonts w:hint="default" w:ascii="Times New Roman" w:hAnsi="Times New Roman" w:eastAsia="仿宋_GB2312" w:cs="Times New Roman"/>
          <w:color w:val="auto"/>
          <w:kern w:val="2"/>
          <w:sz w:val="32"/>
          <w:szCs w:val="32"/>
          <w:lang w:val="zh-CN" w:eastAsia="zh-CN" w:bidi="ar-SA"/>
        </w:rPr>
        <w:t>。单位价值100万元（含）以上设备（不含车辆）0台（套）。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adjustRightInd w:val="0"/>
        <w:snapToGrid w:val="0"/>
        <w:spacing w:line="580" w:lineRule="exact"/>
        <w:ind w:left="480" w:leftChars="200" w:firstLine="320" w:firstLineChars="1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10</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8.45</w:t>
      </w:r>
      <w:r>
        <w:rPr>
          <w:rFonts w:hint="default" w:ascii="Times New Roman" w:hAnsi="Times New Roman" w:eastAsia="仿宋_GB2312" w:cs="Times New Roman"/>
          <w:color w:val="auto"/>
          <w:kern w:val="2"/>
          <w:sz w:val="32"/>
          <w:szCs w:val="32"/>
          <w:lang w:val="zh-CN" w:eastAsia="zh-CN" w:bidi="ar-SA"/>
        </w:rPr>
        <w:t xml:space="preserve">万元，根据预算绩效管理要求，本部门组织对 2022 年度一般公共 预算项目支出全面开展绩效自评，其中，一级项目 10 个，共涉 及资金 85.78 万元，占一般公共预算项目支出总额的 22.80%。 组织对 2022 年度政府性基金预算项目支出开展绩效自评，共涉 及资金 19.06 万元，占政府性基金预算项目支出总额的 100%。 组织对 2022 年度国有资本经营预算项目支出开展绩效自评，共 涉及资金 0 万元，占国有资本经营预算项目支出总额的 0%。 组织对“残疾人工作经费”项目开展了评价，涉及一般公共 预算支出 10 万元，为促进共享，进一步促进残工委成员单位之 间的信息资源比对工作，加强横向对接，共同对比分析，逐步实 现数据对接共享，确保相关数据按照统一口径使用，将实名制数 据充分应用于涉及残疾人的基本公共服务托底补短工作。 为认真抓好扶贫惠民政策落实，把解决好城乡困难残疾人生 产生活问题作为守初心、担使命的重要内容。 为贯彻落实习近平新时代中国特色社会主义思想和党的十 九大精神，精准落实惠残政策，进一步规范核发管理《残疾人证》 全面提升保障服务，促进残疾人事业健康发展。 </w:t>
      </w:r>
    </w:p>
    <w:p>
      <w:pPr>
        <w:adjustRightInd w:val="0"/>
        <w:snapToGrid w:val="0"/>
        <w:spacing w:line="580" w:lineRule="exact"/>
        <w:ind w:left="480" w:leftChars="200" w:firstLine="320" w:firstLineChars="100"/>
        <w:rPr>
          <w:rFonts w:hint="default" w:ascii="Times New Roman" w:hAnsi="Times New Roman" w:eastAsia="仿宋_GB2312" w:cs="Times New Roman"/>
          <w:color w:val="auto"/>
          <w:kern w:val="2"/>
          <w:sz w:val="32"/>
          <w:szCs w:val="32"/>
          <w:lang w:val="zh-CN" w:eastAsia="zh-CN" w:bidi="ar-SA"/>
        </w:rPr>
      </w:pPr>
      <w:bookmarkStart w:id="0" w:name="_GoBack"/>
      <w:bookmarkEnd w:id="0"/>
      <w:r>
        <w:rPr>
          <w:rFonts w:hint="default" w:ascii="Times New Roman" w:hAnsi="Times New Roman" w:eastAsia="仿宋_GB2312" w:cs="Times New Roman"/>
          <w:color w:val="auto"/>
          <w:kern w:val="2"/>
          <w:sz w:val="32"/>
          <w:szCs w:val="32"/>
          <w:lang w:val="zh-CN" w:eastAsia="zh-CN" w:bidi="ar-SA"/>
        </w:rPr>
        <w:t>（二）部门决算中项目绩效自评结果 本部门在今年部门决算公开中反映残疾人事业发展项目及 残疾人工作经费项目等 10 个项目绩效自评结果。 （1）残疾人事业发展项目自评综述：根据年初设定的绩效 目标，残疾人事业发展项目绩效自评得分为 94.23 分（绩效自评 表附后）。全年预算数为 29.2 万元，执行数为 18.18 万元，完 成预算的 62.29%。项目绩效目标完成情况：已付清)</w:t>
      </w:r>
    </w:p>
    <w:p>
      <w:p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（三）部门评价项目绩效评价结果（如有）</w:t>
      </w:r>
    </w:p>
    <w:p>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本部门2023年度</w:t>
      </w:r>
      <w:r>
        <w:rPr>
          <w:rFonts w:hint="eastAsia" w:ascii="Times New Roman" w:hAnsi="Times New Roman" w:eastAsia="仿宋_GB2312" w:cs="Times New Roman"/>
          <w:sz w:val="32"/>
          <w:szCs w:val="32"/>
          <w:lang w:eastAsia="zh-CN"/>
        </w:rPr>
        <w:t>有些</w:t>
      </w:r>
      <w:r>
        <w:rPr>
          <w:rFonts w:hint="default" w:ascii="Times New Roman" w:hAnsi="Times New Roman" w:eastAsia="仿宋_GB2312" w:cs="Times New Roman"/>
          <w:sz w:val="32"/>
          <w:szCs w:val="32"/>
        </w:rPr>
        <w:t>无收支及结转结余情况，故</w:t>
      </w:r>
      <w:r>
        <w:rPr>
          <w:rFonts w:hint="eastAsia" w:ascii="Times New Roman" w:hAnsi="Times New Roman" w:eastAsia="仿宋_GB2312" w:cs="Times New Roman"/>
          <w:sz w:val="32"/>
          <w:szCs w:val="32"/>
          <w:lang w:eastAsia="zh-CN"/>
        </w:rPr>
        <w:t>有些</w:t>
      </w:r>
      <w:r>
        <w:rPr>
          <w:rFonts w:hint="default" w:ascii="Times New Roman" w:hAnsi="Times New Roman" w:eastAsia="仿宋_GB2312" w:cs="Times New Roman"/>
          <w:sz w:val="32"/>
          <w:szCs w:val="32"/>
        </w:rPr>
        <w:t>表以空表列示。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rPr>
          <w:rFonts w:hint="default" w:ascii="Times New Roman" w:hAnsi="Times New Roman" w:eastAsia="仿宋_GB2312" w:cs="Times New Roman"/>
          <w:sz w:val="32"/>
          <w:szCs w:val="32"/>
        </w:rPr>
      </w:pP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rPr>
          <w:rFonts w:hint="default" w:ascii="Times New Roman" w:hAnsi="Times New Roman" w:cs="Times New Roma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BE3F4D53-8E47-47E2-8596-B188FFC110F0}"/>
  </w:font>
  <w:font w:name="黑体">
    <w:panose1 w:val="02010600030101010101"/>
    <w:charset w:val="86"/>
    <w:family w:val="auto"/>
    <w:pitch w:val="default"/>
    <w:sig w:usb0="800002BF" w:usb1="38CF7CFA" w:usb2="00000016" w:usb3="00000000" w:csb0="00040001" w:csb1="00000000"/>
    <w:embedRegular r:id="rId2" w:fontKey="{001EC216-95DD-4168-AA95-2ED23A83CE6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0CC9A6E0-191B-4292-A2AA-B935343C665C}"/>
  </w:font>
  <w:font w:name="仿宋">
    <w:panose1 w:val="02010609060101010101"/>
    <w:charset w:val="86"/>
    <w:family w:val="modern"/>
    <w:pitch w:val="default"/>
    <w:sig w:usb0="800002BF" w:usb1="38CF7CFA" w:usb2="00000016" w:usb3="00000000" w:csb0="00040001" w:csb1="00000000"/>
    <w:embedRegular r:id="rId4" w:fontKey="{624C4C70-91B8-4B86-9966-901C9F77FE61}"/>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866E8BC9-937E-489F-A485-5CD614559E4D}"/>
  </w:font>
  <w:font w:name="微软雅黑">
    <w:panose1 w:val="020B0503020204020204"/>
    <w:charset w:val="86"/>
    <w:family w:val="auto"/>
    <w:pitch w:val="default"/>
    <w:sig w:usb0="80000287" w:usb1="280F3C52" w:usb2="00000016" w:usb3="00000000" w:csb0="0004001F" w:csb1="00000000"/>
  </w:font>
  <w:font w:name="思源黑体 CN Heavy">
    <w:altName w:val="黑体"/>
    <w:panose1 w:val="00000000000000000000"/>
    <w:charset w:val="86"/>
    <w:family w:val="swiss"/>
    <w:pitch w:val="default"/>
    <w:sig w:usb0="00000000" w:usb1="00000000" w:usb2="00000016" w:usb3="00000000" w:csb0="00060107" w:csb1="00000000"/>
    <w:embedRegular r:id="rId6" w:fontKey="{E931F8E8-3E72-438E-8165-808F16B1B65C}"/>
  </w:font>
  <w:font w:name="楷体_GB2312">
    <w:panose1 w:val="02010609030101010101"/>
    <w:charset w:val="86"/>
    <w:family w:val="auto"/>
    <w:pitch w:val="default"/>
    <w:sig w:usb0="00000001" w:usb1="080E0000" w:usb2="00000000" w:usb3="00000000" w:csb0="00040000" w:csb1="00000000"/>
    <w:embedRegular r:id="rId7" w:fontKey="{66647DD6-36E7-4C5D-B3A4-046BE4BE411B}"/>
  </w:font>
  <w:font w:name="楷体">
    <w:panose1 w:val="02010609060101010101"/>
    <w:charset w:val="86"/>
    <w:family w:val="auto"/>
    <w:pitch w:val="default"/>
    <w:sig w:usb0="800002BF" w:usb1="38CF7CFA" w:usb2="00000016" w:usb3="00000000" w:csb0="00040001" w:csb1="00000000"/>
    <w:embedRegular r:id="rId8" w:fontKey="{53CA74D2-BAFB-4B93-8622-91AA71CB20BF}"/>
  </w:font>
  <w:font w:name="仿宋_GB2312">
    <w:panose1 w:val="02010609030101010101"/>
    <w:charset w:val="86"/>
    <w:family w:val="auto"/>
    <w:pitch w:val="default"/>
    <w:sig w:usb0="00000001" w:usb1="080E0000" w:usb2="00000000" w:usb3="00000000" w:csb0="00040000" w:csb1="00000000"/>
    <w:embedRegular r:id="rId9" w:fontKey="{5A358998-856F-4177-8B8F-5C94473684EF}"/>
  </w:font>
  <w:font w:name="ArialUnicodeMS">
    <w:altName w:val="Malgun Gothic"/>
    <w:panose1 w:val="00000000000000000000"/>
    <w:charset w:val="81"/>
    <w:family w:val="auto"/>
    <w:pitch w:val="default"/>
    <w:sig w:usb0="00000000" w:usb1="00000000" w:usb2="00000010" w:usb3="00000000" w:csb0="00080001" w:csb1="00000000"/>
    <w:embedRegular r:id="rId10" w:fontKey="{6A0D60F8-A226-4739-AF9A-68816050B074}"/>
  </w:font>
  <w:font w:name="Malgun Gothic">
    <w:panose1 w:val="020B0503020000020004"/>
    <w:charset w:val="81"/>
    <w:family w:val="auto"/>
    <w:pitch w:val="default"/>
    <w:sig w:usb0="900002AF" w:usb1="01D77CFB" w:usb2="00000012" w:usb3="00000000" w:csb0="00080001" w:csb1="00000000"/>
  </w:font>
  <w:font w:name="方正仿宋_GB2312">
    <w:altName w:val="仿宋"/>
    <w:panose1 w:val="02000000000000000000"/>
    <w:charset w:val="86"/>
    <w:family w:val="auto"/>
    <w:pitch w:val="default"/>
    <w:sig w:usb0="00000000" w:usb1="00000000" w:usb2="00000012" w:usb3="00000000" w:csb0="00040001" w:csb1="00000000"/>
    <w:embedRegular r:id="rId11" w:fontKey="{5C824A4F-F797-4F43-B613-C7A745287606}"/>
  </w:font>
  <w:font w:name="宋体-PUA">
    <w:panose1 w:val="02010600030101010101"/>
    <w:charset w:val="86"/>
    <w:family w:val="auto"/>
    <w:pitch w:val="default"/>
    <w:sig w:usb0="00000000" w:usb1="10000000" w:usb2="00000000" w:usb3="00000000" w:csb0="00040000" w:csb1="00000000"/>
  </w:font>
  <w:font w:name="Gulim">
    <w:panose1 w:val="020B0600000101010101"/>
    <w:charset w:val="81"/>
    <w:family w:val="auto"/>
    <w:pitch w:val="default"/>
    <w:sig w:usb0="B00002AF" w:usb1="69D77CFB" w:usb2="00000030" w:usb3="00000000" w:csb0="4008009F" w:csb1="DFD70000"/>
  </w:font>
  <w:font w:name="方正楷体简体">
    <w:panose1 w:val="03000509000000000000"/>
    <w:charset w:val="86"/>
    <w:family w:val="auto"/>
    <w:pitch w:val="default"/>
    <w:sig w:usb0="00000001" w:usb1="080E0000" w:usb2="00000000" w:usb3="00000000" w:csb0="00040000" w:csb1="00000000"/>
  </w:font>
  <w:font w:name="Dotum">
    <w:panose1 w:val="020B0600000101010101"/>
    <w:charset w:val="81"/>
    <w:family w:val="auto"/>
    <w:pitch w:val="default"/>
    <w:sig w:usb0="B00002AF" w:usb1="69D77CFB" w:usb2="00000030" w:usb3="00000000" w:csb0="4008009F" w:csb1="DFD70000"/>
  </w:font>
  <w:font w:name="Meiryo UI">
    <w:panose1 w:val="020B0604030504040204"/>
    <w:charset w:val="80"/>
    <w:family w:val="auto"/>
    <w:pitch w:val="default"/>
    <w:sig w:usb0="E10102FF" w:usb1="EAC7FFFF" w:usb2="00010012" w:usb3="00000000" w:csb0="6002009F" w:csb1="DFD70000"/>
  </w:font>
  <w:font w:name="方正小标宋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黑体简体">
    <w:panose1 w:val="03000509000000000000"/>
    <w:charset w:val="86"/>
    <w:family w:val="auto"/>
    <w:pitch w:val="default"/>
    <w:sig w:usb0="00000001" w:usb1="080E0000" w:usb2="00000000" w:usb3="00000000" w:csb0="00040000" w:csb1="00000000"/>
  </w:font>
  <w:font w:name="Arial Black">
    <w:panose1 w:val="020B0A04020102020204"/>
    <w:charset w:val="00"/>
    <w:family w:val="swiss"/>
    <w:pitch w:val="default"/>
    <w:sig w:usb0="00000287" w:usb1="00000000" w:usb2="00000000" w:usb3="00000000" w:csb0="2000009F" w:csb1="DFD70000"/>
    <w:embedRegular r:id="rId12" w:fontKey="{F6C97273-9F04-44FE-B44A-38B843FC5D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102573"/>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80E1E"/>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6B247C"/>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3C03CF"/>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6C0DFA"/>
    <w:rsid w:val="3E740322"/>
    <w:rsid w:val="3E7F4380"/>
    <w:rsid w:val="3E8524A2"/>
    <w:rsid w:val="3E8D171B"/>
    <w:rsid w:val="3EA5630D"/>
    <w:rsid w:val="3EBA731B"/>
    <w:rsid w:val="3EE33949"/>
    <w:rsid w:val="3EFB5800"/>
    <w:rsid w:val="3F3B4E59"/>
    <w:rsid w:val="3F6E677C"/>
    <w:rsid w:val="3F712F46"/>
    <w:rsid w:val="3FBC0EF7"/>
    <w:rsid w:val="3FC52780"/>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117A22"/>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0089C"/>
    <w:rsid w:val="5CF5796F"/>
    <w:rsid w:val="5D242A11"/>
    <w:rsid w:val="5D9217C2"/>
    <w:rsid w:val="5DAD06BF"/>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491C0F"/>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sv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43</Pages>
  <Words>9970</Words>
  <Characters>22781</Characters>
  <Lines>86</Lines>
  <Paragraphs>24</Paragraphs>
  <TotalTime>1</TotalTime>
  <ScaleCrop>false</ScaleCrop>
  <LinksUpToDate>false</LinksUpToDate>
  <CharactersWithSpaces>23411</CharactersWithSpaces>
  <Application>WPS Office_11.8.2.11542_F1E327BC-269C-435d-A152-05C5408002CA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cp:lastModifiedBy>
  <cp:lastPrinted>2023-08-04T01:00:00Z</cp:lastPrinted>
  <dcterms:modified xsi:type="dcterms:W3CDTF">2024-12-31T08:51:16Z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2052-11.8.2.11542</vt:lpwstr>
  </property>
  <property fmtid="{D5CDD505-2E9C-101B-9397-08002B2CF9AE}" pid="3" name="ICV">
    <vt:lpwstr>8D161555B3704659B640AB4667CD0EA7</vt:lpwstr>
  </property>
  <property fmtid="{D5CDD505-2E9C-101B-9397-08002B2CF9AE}" pid="4" name="KSOTemplateUUID">
    <vt:lpwstr>v1.0_mb_S7ajbG3IpAnL1wSthNCxfw==</vt:lpwstr>
  </property>
</Properties>
</file>