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2B061">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乐亭县</w:t>
      </w:r>
      <w:r>
        <w:rPr>
          <w:rFonts w:hint="eastAsia" w:ascii="方正小标宋简体" w:hAnsi="方正小标宋简体" w:eastAsia="方正小标宋简体" w:cs="方正小标宋简体"/>
          <w:sz w:val="44"/>
          <w:szCs w:val="44"/>
        </w:rPr>
        <w:t>县域商业建设行动专项资金</w:t>
      </w:r>
    </w:p>
    <w:p w14:paraId="06D53662">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w:t>
      </w:r>
    </w:p>
    <w:p w14:paraId="3C940978">
      <w:pPr>
        <w:ind w:firstLine="640"/>
        <w:rPr>
          <w:rFonts w:ascii="仿宋" w:hAnsi="仿宋" w:eastAsia="仿宋"/>
          <w:szCs w:val="32"/>
        </w:rPr>
      </w:pPr>
    </w:p>
    <w:p w14:paraId="163C1F75">
      <w:pPr>
        <w:pStyle w:val="3"/>
      </w:pPr>
      <w:r>
        <w:rPr>
          <w:rFonts w:hint="eastAsia"/>
        </w:rPr>
        <w:t xml:space="preserve">第一章 </w:t>
      </w:r>
      <w:r>
        <w:t>总则</w:t>
      </w:r>
    </w:p>
    <w:p w14:paraId="1B8F7D55">
      <w:pPr>
        <w:pStyle w:val="2"/>
        <w:numPr>
          <w:ilvl w:val="0"/>
          <w:numId w:val="1"/>
        </w:numPr>
        <w:bidi w:val="0"/>
      </w:pPr>
      <w:r>
        <w:rPr>
          <w:rFonts w:hint="eastAsia"/>
        </w:rPr>
        <w:t>为</w:t>
      </w:r>
      <w:r>
        <w:t>加强</w:t>
      </w:r>
      <w:r>
        <w:rPr>
          <w:rFonts w:hint="eastAsia"/>
          <w:lang w:val="en-US" w:eastAsia="zh-CN"/>
        </w:rPr>
        <w:t>乐亭县</w:t>
      </w:r>
      <w:r>
        <w:t>县域商业体系建设项目管理，规范中央财政支持资金的使用和管理，提高资金使用效益，根据《财政部办公厅 商务部办公厅乡村振兴局综合司关于支持实施县域商业建设行动的通知》（财办建〔2022〕18号）、《河北省县域商业建设行动工作方案（2022-2025年）》（冀商建设字〔2022〕6号）、《服务业发展资金管理办法》（财建〔2023〕</w:t>
      </w:r>
      <w:r>
        <w:rPr>
          <w:rFonts w:hint="eastAsia"/>
        </w:rPr>
        <w:t>9</w:t>
      </w:r>
      <w:r>
        <w:t>号））</w:t>
      </w:r>
      <w:r>
        <w:rPr>
          <w:rFonts w:hint="eastAsia"/>
        </w:rPr>
        <w:t>、</w:t>
      </w:r>
      <w:r>
        <w:t>《河北省服务业发展资金使用管理实施细则》（冀财规〔2020〕3号）等文件要求，结合</w:t>
      </w:r>
      <w:r>
        <w:rPr>
          <w:rFonts w:hint="eastAsia"/>
        </w:rPr>
        <w:t>本地</w:t>
      </w:r>
      <w:r>
        <w:t>实际，制定本办法。</w:t>
      </w:r>
    </w:p>
    <w:p w14:paraId="6AC7F7B3">
      <w:pPr>
        <w:pStyle w:val="2"/>
        <w:numPr>
          <w:ilvl w:val="0"/>
          <w:numId w:val="1"/>
        </w:numPr>
        <w:bidi w:val="0"/>
      </w:pPr>
      <w:r>
        <w:t>本办法所称中央财政支持资金（以下简称专项资金）是指用于支持</w:t>
      </w:r>
      <w:r>
        <w:rPr>
          <w:rFonts w:hint="eastAsia"/>
          <w:lang w:val="en-US" w:eastAsia="zh-CN"/>
        </w:rPr>
        <w:t>乐亭县</w:t>
      </w:r>
      <w:r>
        <w:t>县域商业体系建设的中央财政资金。</w:t>
      </w:r>
    </w:p>
    <w:p w14:paraId="1476755B">
      <w:pPr>
        <w:pStyle w:val="2"/>
        <w:numPr>
          <w:ilvl w:val="0"/>
          <w:numId w:val="1"/>
        </w:numPr>
        <w:bidi w:val="0"/>
      </w:pPr>
      <w:r>
        <w:rPr>
          <w:rFonts w:hint="eastAsia"/>
        </w:rPr>
        <w:t>县商务和投资促进局负责组织项目评审，制定专项资金使用计划，项目建设完成并通过验收，经</w:t>
      </w:r>
      <w:r>
        <w:t>县域商业建设工作领导小组</w:t>
      </w:r>
      <w:r>
        <w:rPr>
          <w:rFonts w:hint="eastAsia"/>
        </w:rPr>
        <w:t>同意后，向县政府申请拨付专项资金。</w:t>
      </w:r>
    </w:p>
    <w:p w14:paraId="1F80EA1E">
      <w:pPr>
        <w:pStyle w:val="2"/>
        <w:numPr>
          <w:ilvl w:val="0"/>
          <w:numId w:val="1"/>
        </w:numPr>
        <w:bidi w:val="0"/>
      </w:pPr>
      <w:r>
        <w:rPr>
          <w:rFonts w:hint="eastAsia"/>
        </w:rPr>
        <w:t>专项资金管理遵循公平公正、程序规范、科学运作、注重效益的原则</w:t>
      </w:r>
      <w:r>
        <w:t>。</w:t>
      </w:r>
    </w:p>
    <w:p w14:paraId="2FA2545F">
      <w:pPr>
        <w:pStyle w:val="3"/>
        <w:bidi w:val="0"/>
      </w:pPr>
      <w:r>
        <w:rPr>
          <w:rFonts w:hint="eastAsia"/>
        </w:rPr>
        <w:t xml:space="preserve">第二章 </w:t>
      </w:r>
      <w:r>
        <w:t>支持</w:t>
      </w:r>
      <w:r>
        <w:rPr>
          <w:rFonts w:hint="eastAsia"/>
        </w:rPr>
        <w:t>方向</w:t>
      </w:r>
    </w:p>
    <w:p w14:paraId="018B8154">
      <w:pPr>
        <w:pStyle w:val="2"/>
        <w:numPr>
          <w:ilvl w:val="0"/>
          <w:numId w:val="1"/>
        </w:numPr>
        <w:bidi w:val="0"/>
      </w:pPr>
      <w:r>
        <w:t>专项资金聚焦县域商业体系中的市场缺位和薄弱环节，引导县域商业网点设施、功能业态、市场主体、消费环境、安全水平改造升级，加快补齐县域商业基础设施短板、完善县乡村三级物流配送体系，增强农村产品上行动能，促进农村消费和农民增收，主要用于支持新建或升级改造县级物流配送中心、乡镇商贸中心</w:t>
      </w:r>
      <w:r>
        <w:rPr>
          <w:rFonts w:hint="eastAsia"/>
        </w:rPr>
        <w:t>、增强农村产品上行动能等</w:t>
      </w:r>
      <w:r>
        <w:t>。</w:t>
      </w:r>
    </w:p>
    <w:p w14:paraId="5FED2B8F">
      <w:pPr>
        <w:pStyle w:val="4"/>
        <w:bidi w:val="0"/>
      </w:pPr>
      <w:r>
        <w:t>（一）县级物流配送中心项目。</w:t>
      </w:r>
    </w:p>
    <w:p w14:paraId="28AD080F">
      <w:pPr>
        <w:pStyle w:val="2"/>
        <w:bidi w:val="0"/>
      </w:pPr>
      <w:r>
        <w:t>新建或改造一批县级物流配送中心和乡镇快递物流站点，完善仓储、分拣、包装、装卸、运输、配送等设施，增强对乡村的辐射能力。整合县域邮政、供销、快递、商贸等物流资源，发挥连锁商贸流通企业自建物流优势，开展日用消费品、农资下乡和农产品进城等物流快递共同配送服务，降低物流成本。</w:t>
      </w:r>
    </w:p>
    <w:p w14:paraId="111AF71A">
      <w:pPr>
        <w:pStyle w:val="4"/>
        <w:bidi w:val="0"/>
      </w:pPr>
      <w:r>
        <w:t>（二）乡镇商贸中心项目。</w:t>
      </w:r>
    </w:p>
    <w:p w14:paraId="52865724">
      <w:pPr>
        <w:pStyle w:val="2"/>
        <w:bidi w:val="0"/>
      </w:pPr>
      <w:r>
        <w:t>支持重点商贸流通企业采取自建、改造、股权合作等方式，改造提升商贸中心、大中型超市、集贸市场等服务网点，完善冷藏、陈列、打包、结算、食品加工、信息系统等设施设备，优化经营环境，丰富居民消费供给。支持在紧靠农村居民生活圈、服务农村常住人口的区域商业中心，打造乡镇商业聚集区，拓展消费新业态新场景。</w:t>
      </w:r>
    </w:p>
    <w:p w14:paraId="06C9F0D9">
      <w:pPr>
        <w:pStyle w:val="4"/>
        <w:numPr>
          <w:ilvl w:val="0"/>
          <w:numId w:val="2"/>
        </w:numPr>
        <w:bidi w:val="0"/>
      </w:pPr>
      <w:r>
        <w:rPr>
          <w:rFonts w:hint="eastAsia"/>
        </w:rPr>
        <w:t>农村产品上行项目。</w:t>
      </w:r>
    </w:p>
    <w:p w14:paraId="0C297679">
      <w:pPr>
        <w:pStyle w:val="2"/>
        <w:bidi w:val="0"/>
      </w:pPr>
      <w:r>
        <w:rPr>
          <w:rFonts w:hint="eastAsia"/>
        </w:rPr>
        <w:t>围绕农产品上行建设分拣、预冷、初加工、配送等商品化处理设施。重点支持建设或升级改造净菜加工集配中心，提升蔬菜等农产品上行动能和商品化率。</w:t>
      </w:r>
    </w:p>
    <w:p w14:paraId="2DB2B7EE">
      <w:pPr>
        <w:pStyle w:val="2"/>
        <w:numPr>
          <w:ilvl w:val="0"/>
          <w:numId w:val="1"/>
        </w:numPr>
        <w:bidi w:val="0"/>
      </w:pPr>
      <w:r>
        <w:t>专项资金不得用于项目征地拆迁、物流补贴、楼堂馆所建设，不得用于支付罚款、捐款、赞助、投资、偿还债务以及财政补助单位人员经费和项目工作经费。</w:t>
      </w:r>
    </w:p>
    <w:p w14:paraId="3C46F33D">
      <w:pPr>
        <w:pStyle w:val="2"/>
        <w:numPr>
          <w:ilvl w:val="0"/>
          <w:numId w:val="1"/>
        </w:numPr>
        <w:bidi w:val="0"/>
      </w:pPr>
      <w:r>
        <w:t>对于已获其他中央财政资金支持的项目，专项资金不予支持。</w:t>
      </w:r>
    </w:p>
    <w:p w14:paraId="08EE3378">
      <w:pPr>
        <w:pStyle w:val="3"/>
      </w:pPr>
      <w:r>
        <w:rPr>
          <w:rFonts w:hint="eastAsia"/>
        </w:rPr>
        <w:t xml:space="preserve">第三章 </w:t>
      </w:r>
      <w:r>
        <w:t>支持</w:t>
      </w:r>
      <w:r>
        <w:rPr>
          <w:rFonts w:hint="eastAsia"/>
        </w:rPr>
        <w:t>方式与标准</w:t>
      </w:r>
    </w:p>
    <w:p w14:paraId="353940EF">
      <w:pPr>
        <w:pStyle w:val="2"/>
        <w:numPr>
          <w:ilvl w:val="0"/>
          <w:numId w:val="1"/>
        </w:numPr>
        <w:bidi w:val="0"/>
      </w:pPr>
      <w:r>
        <w:t>专项资金采取以奖代补方式对项目进行支持。单个项目支持金额原则上不超过项目投资额的</w:t>
      </w:r>
      <w:r>
        <w:rPr>
          <w:rFonts w:hint="eastAsia"/>
        </w:rPr>
        <w:t>50</w:t>
      </w:r>
      <w:r>
        <w:t>%。其中，单个乡镇商贸中心最高支持80万元，单个县级物流配送中心最高支持500万元</w:t>
      </w:r>
      <w:r>
        <w:rPr>
          <w:rFonts w:hint="eastAsia"/>
        </w:rPr>
        <w:t>，单个农村产品上行动能项目最高支持200万元。</w:t>
      </w:r>
    </w:p>
    <w:p w14:paraId="707CEF75">
      <w:pPr>
        <w:pStyle w:val="2"/>
        <w:numPr>
          <w:ilvl w:val="0"/>
          <w:numId w:val="1"/>
        </w:numPr>
        <w:bidi w:val="0"/>
      </w:pPr>
      <w:r>
        <w:rPr>
          <w:rFonts w:hint="eastAsia"/>
        </w:rPr>
        <w:t>项目实施期限为2</w:t>
      </w:r>
      <w:r>
        <w:t>02</w:t>
      </w:r>
      <w:r>
        <w:rPr>
          <w:rFonts w:hint="eastAsia"/>
        </w:rPr>
        <w:t>3年1</w:t>
      </w:r>
      <w:r>
        <w:t>0</w:t>
      </w:r>
      <w:r>
        <w:rPr>
          <w:rFonts w:hint="eastAsia"/>
        </w:rPr>
        <w:t>月至2</w:t>
      </w:r>
      <w:r>
        <w:t>02</w:t>
      </w:r>
      <w:r>
        <w:rPr>
          <w:rFonts w:hint="eastAsia"/>
        </w:rPr>
        <w:t>4年1</w:t>
      </w:r>
      <w:r>
        <w:t>2</w:t>
      </w:r>
      <w:r>
        <w:rPr>
          <w:rFonts w:hint="eastAsia"/>
        </w:rPr>
        <w:t>月，专项资金仅对该期间发生且符合支持方向的项目投资进行支持。对存在客观合理原因，确需延长项目实施期限的，经领导小组审核同意后，可对延长实施期限内的项目有效投资进行支持。</w:t>
      </w:r>
    </w:p>
    <w:p w14:paraId="03FB4528">
      <w:pPr>
        <w:pStyle w:val="3"/>
      </w:pPr>
      <w:r>
        <w:rPr>
          <w:rFonts w:hint="eastAsia"/>
        </w:rPr>
        <w:t>第四章 监督管理</w:t>
      </w:r>
    </w:p>
    <w:p w14:paraId="5998C780">
      <w:pPr>
        <w:pStyle w:val="2"/>
        <w:numPr>
          <w:ilvl w:val="0"/>
          <w:numId w:val="1"/>
        </w:numPr>
        <w:bidi w:val="0"/>
        <w:rPr>
          <w:rFonts w:ascii="仿宋" w:hAnsi="仿宋" w:eastAsia="仿宋" w:cs="Times New Roman"/>
          <w:szCs w:val="32"/>
        </w:rPr>
      </w:pPr>
      <w:r>
        <w:rPr>
          <w:rFonts w:hint="eastAsia"/>
        </w:rPr>
        <w:t>专项资金的使用管理接受审计、纪检监察、财政等部门的监督检查。</w:t>
      </w:r>
    </w:p>
    <w:p w14:paraId="552A6DA3">
      <w:pPr>
        <w:pStyle w:val="2"/>
        <w:numPr>
          <w:ilvl w:val="0"/>
          <w:numId w:val="1"/>
        </w:numPr>
        <w:bidi w:val="0"/>
      </w:pPr>
      <w:r>
        <w:rPr>
          <w:rFonts w:hint="eastAsia"/>
        </w:rPr>
        <w:t>项目实施单位应建立严格的财务管理制度、健全财务管理机构、配备合格的财务管理人员，按照国家有关财务、会计制度的规定进行账务处理。</w:t>
      </w:r>
    </w:p>
    <w:p w14:paraId="57BCF4E2">
      <w:pPr>
        <w:pStyle w:val="2"/>
        <w:numPr>
          <w:ilvl w:val="0"/>
          <w:numId w:val="1"/>
        </w:numPr>
        <w:bidi w:val="0"/>
      </w:pPr>
      <w:r>
        <w:rPr>
          <w:rFonts w:hint="eastAsia"/>
        </w:rPr>
        <w:t>项目实施单位应建立项目资金使用台账，及时、准确记录资金使用情况，对项目进行单独核算。</w:t>
      </w:r>
    </w:p>
    <w:p w14:paraId="070B66CF">
      <w:pPr>
        <w:pStyle w:val="2"/>
        <w:numPr>
          <w:ilvl w:val="0"/>
          <w:numId w:val="1"/>
        </w:numPr>
        <w:bidi w:val="0"/>
      </w:pPr>
      <w:r>
        <w:rPr>
          <w:rFonts w:hint="eastAsia"/>
        </w:rPr>
        <w:t>项目实施单位应严格按照规定使用资金，严禁“骗补”“套补”，妥善保存支持项目的实际费用支出凭证和有关原始票据，积极配合主管部门的专项检查。</w:t>
      </w:r>
    </w:p>
    <w:p w14:paraId="5B73CB78">
      <w:pPr>
        <w:pStyle w:val="2"/>
        <w:numPr>
          <w:ilvl w:val="0"/>
          <w:numId w:val="1"/>
        </w:numPr>
        <w:bidi w:val="0"/>
      </w:pPr>
      <w:r>
        <w:rPr>
          <w:rFonts w:hint="eastAsia"/>
        </w:rPr>
        <w:t>委托第三方机构进行项目全过程监管，审核项目投资支出合理性，规避现金支付、无发票支付、无合同支付等财务不规范情况，核减价格虚高、以旧充新、账实不符的投资。</w:t>
      </w:r>
    </w:p>
    <w:p w14:paraId="0451A43F">
      <w:pPr>
        <w:pStyle w:val="2"/>
        <w:numPr>
          <w:ilvl w:val="0"/>
          <w:numId w:val="1"/>
        </w:numPr>
        <w:bidi w:val="0"/>
      </w:pPr>
      <w:r>
        <w:rPr>
          <w:rFonts w:hint="eastAsia"/>
        </w:rPr>
        <w:t>任何单位和个人不得截留、挪用专项资金，不得擅自改变资金用途，并接受审计部门的专项审计。在专项资金申报、审核、使用、管理过程中有弄虚作假、违法违纪行为的，可采取取消支持、追回全部专项资金等方式处理，涉嫌犯罪的移送司法机关处理。</w:t>
      </w:r>
    </w:p>
    <w:p w14:paraId="4B16BCB5">
      <w:pPr>
        <w:pStyle w:val="2"/>
        <w:numPr>
          <w:ilvl w:val="0"/>
          <w:numId w:val="1"/>
        </w:numPr>
        <w:bidi w:val="0"/>
      </w:pPr>
      <w:r>
        <w:t>存在以下任一情形的，将视情取消对相应项目的支持，并收回已拨付的支持资金：</w:t>
      </w:r>
    </w:p>
    <w:p w14:paraId="425251F5">
      <w:pPr>
        <w:pStyle w:val="2"/>
        <w:bidi w:val="0"/>
      </w:pPr>
      <w:r>
        <w:rPr>
          <w:rFonts w:hint="eastAsia"/>
        </w:rPr>
        <w:t>（一）项目实施单位违规使用专项资金；</w:t>
      </w:r>
    </w:p>
    <w:p w14:paraId="6B1EF48D">
      <w:pPr>
        <w:pStyle w:val="2"/>
        <w:bidi w:val="0"/>
      </w:pPr>
      <w:r>
        <w:rPr>
          <w:rFonts w:hint="eastAsia"/>
        </w:rPr>
        <w:t>（二）项目实施单位擅自变更项目建设地点和内容；</w:t>
      </w:r>
    </w:p>
    <w:p w14:paraId="1D98A92E">
      <w:pPr>
        <w:pStyle w:val="2"/>
        <w:bidi w:val="0"/>
      </w:pPr>
      <w:r>
        <w:rPr>
          <w:rFonts w:hint="eastAsia"/>
        </w:rPr>
        <w:t>（三）项目实施单位在项目申报阶段或实施阶段有弄虚作假行为；</w:t>
      </w:r>
    </w:p>
    <w:p w14:paraId="049F092E">
      <w:pPr>
        <w:pStyle w:val="2"/>
        <w:bidi w:val="0"/>
      </w:pPr>
      <w:r>
        <w:rPr>
          <w:rFonts w:hint="eastAsia"/>
        </w:rPr>
        <w:t>（四）项目建设进度严重滞后，无法按期完工；</w:t>
      </w:r>
    </w:p>
    <w:p w14:paraId="642FD76A">
      <w:pPr>
        <w:pStyle w:val="2"/>
        <w:bidi w:val="0"/>
      </w:pPr>
      <w:r>
        <w:rPr>
          <w:rFonts w:hint="eastAsia"/>
        </w:rPr>
        <w:t>（五）对有关部门日常监管中发现的重大问题，无法在限期内完成整改；</w:t>
      </w:r>
    </w:p>
    <w:p w14:paraId="1A67F612">
      <w:pPr>
        <w:pStyle w:val="2"/>
        <w:bidi w:val="0"/>
        <w:rPr>
          <w:rFonts w:ascii="仿宋" w:hAnsi="仿宋" w:eastAsia="仿宋"/>
          <w:szCs w:val="32"/>
        </w:rPr>
      </w:pPr>
      <w:r>
        <w:rPr>
          <w:rFonts w:hint="eastAsia"/>
        </w:rPr>
        <w:t>（六）项目实施单位发生重大安全事故、因违法违规行为被执法部门依法处罚或被列入严重失信主体“黑名单”</w:t>
      </w:r>
      <w:r>
        <w:rPr>
          <w:rFonts w:hint="eastAsia" w:ascii="仿宋" w:hAnsi="仿宋" w:eastAsia="仿宋"/>
          <w:szCs w:val="32"/>
        </w:rPr>
        <w:t>。</w:t>
      </w:r>
    </w:p>
    <w:p w14:paraId="2157CDFC">
      <w:pPr>
        <w:pStyle w:val="3"/>
      </w:pPr>
      <w:r>
        <w:rPr>
          <w:rFonts w:hint="eastAsia"/>
        </w:rPr>
        <w:t xml:space="preserve">第五章 </w:t>
      </w:r>
      <w:r>
        <w:t>附则</w:t>
      </w:r>
    </w:p>
    <w:p w14:paraId="03F8DAA6">
      <w:pPr>
        <w:pStyle w:val="2"/>
        <w:numPr>
          <w:ilvl w:val="0"/>
          <w:numId w:val="1"/>
        </w:numPr>
        <w:bidi w:val="0"/>
      </w:pPr>
      <w:r>
        <w:rPr>
          <w:rFonts w:hint="eastAsia"/>
        </w:rPr>
        <w:t>本</w:t>
      </w:r>
      <w:r>
        <w:t>办法自发文之日起执行。本办法由</w:t>
      </w:r>
      <w:r>
        <w:rPr>
          <w:rFonts w:hint="eastAsia"/>
          <w:lang w:val="en-US" w:eastAsia="zh-CN"/>
        </w:rPr>
        <w:t>乐亭</w:t>
      </w:r>
      <w:r>
        <w:t>县</w:t>
      </w:r>
      <w:bookmarkStart w:id="0" w:name="_Hlk173507606"/>
      <w:r>
        <w:t>县域商业建设工作领导小组</w:t>
      </w:r>
      <w:bookmarkEnd w:id="0"/>
      <w:r>
        <w:t>办公室负责解释。</w:t>
      </w:r>
      <w:bookmarkStart w:id="1" w:name="_GoBack"/>
      <w:bookmarkEnd w:id="1"/>
    </w:p>
    <w:p w14:paraId="3A851B04">
      <w:pPr>
        <w:pStyle w:val="2"/>
        <w:numPr>
          <w:ilvl w:val="0"/>
          <w:numId w:val="0"/>
        </w:numPr>
        <w:bidi w:val="0"/>
        <w:ind w:leftChars="0"/>
        <w:rPr>
          <w:rFonts w:hint="default"/>
          <w:lang w:val="en-US" w:eastAsia="zh-CN"/>
        </w:rPr>
      </w:pPr>
    </w:p>
    <w:sectPr>
      <w:footerReference r:id="rId5" w:type="default"/>
      <w:pgSz w:w="11906" w:h="16838"/>
      <w:pgMar w:top="2098" w:right="1474" w:bottom="1984" w:left="1587" w:header="964" w:footer="1191" w:gutter="0"/>
      <w:pgNumType w:fmt="decimal" w:start="1"/>
      <w:cols w:space="0" w:num="1"/>
      <w:rtlGutter w:val="0"/>
      <w:docGrid w:type="linesAndChars" w:linePitch="579" w:charSpace="-842"/>
    </w:sectPr>
  </w:body>
</w:document>
</file>

<file path=word/customizations.xml><?xml version="1.0" encoding="utf-8"?>
<wne:tcg xmlns:r="http://schemas.openxmlformats.org/officeDocument/2006/relationships" xmlns:wne="http://schemas.microsoft.com/office/word/2006/wordml">
  <wne:keymaps>
    <wne:keymap wne:kcmPrimary="065A">
      <wne:acd wne:acdName="acd0"/>
    </wne:keymap>
    <wne:keymap wne:kcmPrimary="0641">
      <wne:acd wne:acdName="acd1"/>
    </wne:keymap>
  </wne:keymaps>
  <wne:acds>
    <wne:acd wne:argValue="AQAAAEIA" wne:acdName="acd0" wne:fciIndexBasedOn="0065"/>
    <wne:acd wne:argValue="AQAAAA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1" w:fontKey="{A2080D75-8B2E-496D-BA72-46F4BCD34F3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script"/>
    <w:pitch w:val="default"/>
    <w:sig w:usb0="00000001" w:usb1="080E0000" w:usb2="00000000" w:usb3="00000000" w:csb0="00040000" w:csb1="00000000"/>
    <w:embedRegular r:id="rId2" w:fontKey="{C2574840-8242-40C2-B365-E50E1CB3ED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778C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E3E0F">
                          <w:pPr>
                            <w:pStyle w:val="8"/>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4</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3E3E0F">
                    <w:pPr>
                      <w:pStyle w:val="8"/>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4</w:t>
                    </w:r>
                    <w:r>
                      <w:rPr>
                        <w:rFonts w:hint="eastAsia" w:ascii="仿宋" w:hAnsi="仿宋" w:eastAsia="仿宋" w:cs="仿宋"/>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F6B8F"/>
    <w:multiLevelType w:val="singleLevel"/>
    <w:tmpl w:val="412F6B8F"/>
    <w:lvl w:ilvl="0" w:tentative="0">
      <w:start w:val="1"/>
      <w:numFmt w:val="chineseCounting"/>
      <w:suff w:val="nothing"/>
      <w:lvlText w:val="第%1条 "/>
      <w:lvlJc w:val="left"/>
      <w:pPr>
        <w:tabs>
          <w:tab w:val="left" w:pos="0"/>
        </w:tabs>
        <w:ind w:left="0" w:firstLine="420"/>
      </w:pPr>
      <w:rPr>
        <w:rFonts w:hint="eastAsia"/>
        <w:b/>
      </w:rPr>
    </w:lvl>
  </w:abstractNum>
  <w:abstractNum w:abstractNumId="1">
    <w:nsid w:val="5C871FB9"/>
    <w:multiLevelType w:val="singleLevel"/>
    <w:tmpl w:val="5C871FB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NjBkMTNiMGY5NzhhOTZjNDlkZmZkOTE5ZGNjZDkifQ=="/>
    <w:docVar w:name="KSO_WPS_MARK_KEY" w:val="7606cf6c-3464-4f10-bd87-2ecb68f07cd6"/>
  </w:docVars>
  <w:rsids>
    <w:rsidRoot w:val="03822181"/>
    <w:rsid w:val="000E5032"/>
    <w:rsid w:val="00B523D0"/>
    <w:rsid w:val="01597AC6"/>
    <w:rsid w:val="01A809D7"/>
    <w:rsid w:val="020412BC"/>
    <w:rsid w:val="034D4FAC"/>
    <w:rsid w:val="03506364"/>
    <w:rsid w:val="03822181"/>
    <w:rsid w:val="03F10771"/>
    <w:rsid w:val="040D29EB"/>
    <w:rsid w:val="06487FC4"/>
    <w:rsid w:val="09C2162B"/>
    <w:rsid w:val="0BBB4CB7"/>
    <w:rsid w:val="0BC266E6"/>
    <w:rsid w:val="0CC10D4C"/>
    <w:rsid w:val="0D4C671D"/>
    <w:rsid w:val="0D5B72E2"/>
    <w:rsid w:val="0E600BFE"/>
    <w:rsid w:val="0E8C0CC0"/>
    <w:rsid w:val="10684F45"/>
    <w:rsid w:val="10AD4A73"/>
    <w:rsid w:val="10BD6D43"/>
    <w:rsid w:val="12542EEC"/>
    <w:rsid w:val="12A20BFD"/>
    <w:rsid w:val="12FE633D"/>
    <w:rsid w:val="154909C7"/>
    <w:rsid w:val="15874067"/>
    <w:rsid w:val="16E4565B"/>
    <w:rsid w:val="173F771B"/>
    <w:rsid w:val="1A0D148E"/>
    <w:rsid w:val="1A3B2DCC"/>
    <w:rsid w:val="1A8945DE"/>
    <w:rsid w:val="1BFC1398"/>
    <w:rsid w:val="1DDF4A85"/>
    <w:rsid w:val="1EF9601E"/>
    <w:rsid w:val="20B902A8"/>
    <w:rsid w:val="21B83210"/>
    <w:rsid w:val="228D2FEF"/>
    <w:rsid w:val="23FB2CE9"/>
    <w:rsid w:val="24CC6E41"/>
    <w:rsid w:val="25592C0B"/>
    <w:rsid w:val="25F77C32"/>
    <w:rsid w:val="26401BA1"/>
    <w:rsid w:val="28D86CC0"/>
    <w:rsid w:val="29985A6B"/>
    <w:rsid w:val="2B613797"/>
    <w:rsid w:val="2BF45594"/>
    <w:rsid w:val="2C4C69EE"/>
    <w:rsid w:val="2EFA2CD4"/>
    <w:rsid w:val="309E28FB"/>
    <w:rsid w:val="359F4B1E"/>
    <w:rsid w:val="38DC547E"/>
    <w:rsid w:val="3BDE6F5C"/>
    <w:rsid w:val="3BFB108D"/>
    <w:rsid w:val="3C7107C2"/>
    <w:rsid w:val="3C9819B3"/>
    <w:rsid w:val="3D002E49"/>
    <w:rsid w:val="3DD6115D"/>
    <w:rsid w:val="41EF4C9A"/>
    <w:rsid w:val="42482A2D"/>
    <w:rsid w:val="44931A11"/>
    <w:rsid w:val="44B311A8"/>
    <w:rsid w:val="45C47161"/>
    <w:rsid w:val="494D0774"/>
    <w:rsid w:val="49776070"/>
    <w:rsid w:val="49A829E9"/>
    <w:rsid w:val="4A68152E"/>
    <w:rsid w:val="4B5B1301"/>
    <w:rsid w:val="50B47FDD"/>
    <w:rsid w:val="511028B2"/>
    <w:rsid w:val="51351216"/>
    <w:rsid w:val="51FD35EF"/>
    <w:rsid w:val="54232926"/>
    <w:rsid w:val="547152A1"/>
    <w:rsid w:val="58594C24"/>
    <w:rsid w:val="592706AB"/>
    <w:rsid w:val="594A373D"/>
    <w:rsid w:val="599B5501"/>
    <w:rsid w:val="5A5F5C79"/>
    <w:rsid w:val="5AAD7730"/>
    <w:rsid w:val="5D1A3259"/>
    <w:rsid w:val="5DA715AF"/>
    <w:rsid w:val="5E172E88"/>
    <w:rsid w:val="5E423FA2"/>
    <w:rsid w:val="63D05A78"/>
    <w:rsid w:val="656444C8"/>
    <w:rsid w:val="66280A14"/>
    <w:rsid w:val="6A40300E"/>
    <w:rsid w:val="6A9B5E45"/>
    <w:rsid w:val="6AC032F3"/>
    <w:rsid w:val="6B48753E"/>
    <w:rsid w:val="6C5F1C91"/>
    <w:rsid w:val="6E334A74"/>
    <w:rsid w:val="707B099E"/>
    <w:rsid w:val="70ED27AD"/>
    <w:rsid w:val="72E6605C"/>
    <w:rsid w:val="73F8335E"/>
    <w:rsid w:val="744322FD"/>
    <w:rsid w:val="75A62930"/>
    <w:rsid w:val="75C56ACD"/>
    <w:rsid w:val="75EF3672"/>
    <w:rsid w:val="78855BF7"/>
    <w:rsid w:val="7DCA76F3"/>
    <w:rsid w:val="7EC26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0" w:firstLineChars="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632" w:firstLineChars="200"/>
      <w:outlineLvl w:val="0"/>
    </w:pPr>
    <w:rPr>
      <w:rFonts w:ascii="黑体" w:hAnsi="黑体" w:eastAsia="黑体" w:cs="黑体"/>
      <w:kern w:val="44"/>
    </w:rPr>
  </w:style>
  <w:style w:type="paragraph" w:styleId="4">
    <w:name w:val="heading 2"/>
    <w:basedOn w:val="1"/>
    <w:next w:val="1"/>
    <w:link w:val="16"/>
    <w:unhideWhenUsed/>
    <w:qFormat/>
    <w:uiPriority w:val="0"/>
    <w:pPr>
      <w:keepNext/>
      <w:keepLines/>
      <w:spacing w:beforeLines="0" w:beforeAutospacing="0" w:afterLines="0" w:afterAutospacing="0" w:line="560" w:lineRule="exact"/>
      <w:ind w:firstLine="632" w:firstLineChars="200"/>
      <w:outlineLvl w:val="1"/>
    </w:pPr>
    <w:rPr>
      <w:rFonts w:ascii="楷体" w:hAnsi="楷体" w:eastAsia="楷体" w:cs="楷体"/>
      <w:b/>
    </w:rPr>
  </w:style>
  <w:style w:type="paragraph" w:styleId="5">
    <w:name w:val="heading 3"/>
    <w:basedOn w:val="1"/>
    <w:next w:val="1"/>
    <w:unhideWhenUsed/>
    <w:qFormat/>
    <w:uiPriority w:val="0"/>
    <w:pPr>
      <w:keepNext/>
      <w:keepLines/>
      <w:spacing w:beforeLines="0" w:beforeAutospacing="0" w:afterLines="0" w:afterAutospacing="0" w:line="560" w:lineRule="exact"/>
      <w:ind w:firstLine="632" w:firstLineChars="200"/>
      <w:outlineLvl w:val="2"/>
    </w:pPr>
    <w:rPr>
      <w:rFonts w:ascii="Times New Roman" w:hAnsi="Times New Roman"/>
      <w:b/>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link w:val="17"/>
    <w:qFormat/>
    <w:uiPriority w:val="0"/>
    <w:pPr>
      <w:snapToGrid/>
      <w:spacing w:beforeAutospacing="0" w:line="560" w:lineRule="exact"/>
      <w:ind w:firstLine="632" w:firstLineChars="200"/>
    </w:pPr>
    <w:rPr>
      <w:szCs w:val="21"/>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kern w:val="0"/>
      <w:sz w:val="24"/>
      <w:szCs w:val="24"/>
    </w:rPr>
  </w:style>
  <w:style w:type="paragraph" w:styleId="13">
    <w:name w:val="Body Text First Indent"/>
    <w:basedOn w:val="2"/>
    <w:qFormat/>
    <w:uiPriority w:val="0"/>
    <w:pPr>
      <w:ind w:firstLine="420" w:firstLineChars="100"/>
    </w:pPr>
    <w:rPr>
      <w:kern w:val="0"/>
      <w:sz w:val="24"/>
      <w:szCs w:val="22"/>
      <w:lang w:eastAsia="en-US" w:bidi="en-US"/>
    </w:rPr>
  </w:style>
  <w:style w:type="character" w:customStyle="1" w:styleId="16">
    <w:name w:val="标题 2 Char"/>
    <w:link w:val="4"/>
    <w:qFormat/>
    <w:uiPriority w:val="0"/>
    <w:rPr>
      <w:rFonts w:ascii="楷体" w:hAnsi="楷体" w:eastAsia="楷体" w:cs="楷体"/>
      <w:b/>
    </w:rPr>
  </w:style>
  <w:style w:type="character" w:customStyle="1" w:styleId="17">
    <w:name w:val="正文文本 Char"/>
    <w:link w:val="2"/>
    <w:uiPriority w:val="0"/>
    <w:rPr>
      <w:szCs w:val="21"/>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2019-12-05T07:47:00Z</dcterms:created>
  <dc:creator>自控</dc:creator>
  <cp:lastModifiedBy>自控</cp:lastModifiedBy>
  <cp:lastPrinted>2021-05-22T06:03:00Z</cp:lastPrinted>
  <dcterms:modified xsi:type="dcterms:W3CDTF">2024-08-27T15:01:30Z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2630B0DD82454A1490B5D8952E8132A5</vt:lpwstr>
  </property>
</Properties>
</file>