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9B32F">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乐亭县</w:t>
      </w:r>
      <w:r>
        <w:rPr>
          <w:rFonts w:hint="eastAsia" w:ascii="方正小标宋简体" w:hAnsi="方正小标宋简体" w:eastAsia="方正小标宋简体" w:cs="方正小标宋简体"/>
          <w:sz w:val="44"/>
          <w:szCs w:val="44"/>
        </w:rPr>
        <w:t>县域商业建设行动项目管理办法</w:t>
      </w:r>
    </w:p>
    <w:p w14:paraId="1F382F49">
      <w:pPr>
        <w:ind w:firstLine="640"/>
        <w:rPr>
          <w:rFonts w:ascii="仿宋" w:hAnsi="仿宋" w:eastAsia="仿宋"/>
          <w:szCs w:val="32"/>
        </w:rPr>
      </w:pPr>
    </w:p>
    <w:p w14:paraId="4337C7FC">
      <w:pPr>
        <w:pStyle w:val="3"/>
      </w:pPr>
      <w:r>
        <w:t>一、总则</w:t>
      </w:r>
    </w:p>
    <w:p w14:paraId="10E2CD84">
      <w:pPr>
        <w:pStyle w:val="2"/>
        <w:bidi w:val="0"/>
      </w:pPr>
      <w:r>
        <w:rPr>
          <w:b/>
          <w:bCs/>
        </w:rPr>
        <w:t>第一条</w:t>
      </w:r>
      <w:r>
        <w:t xml:space="preserve"> 为加强和规范我</w:t>
      </w:r>
      <w:r>
        <w:rPr>
          <w:rFonts w:hint="eastAsia"/>
        </w:rPr>
        <w:t>县</w:t>
      </w:r>
      <w:r>
        <w:t>县域商业建设行动项目管理，完善项目监督约束机制，保障项目有序实施，确保项目取得预期成效。根据《财政部办公厅 商务部办公厅 乡村振兴局综合司关于支持实施县域商业建设行动的通知》（财办建〔2022〕18号）、《县域商业建设指南（2021版）》（商办流通函〔2021〕322号）《河北省县域商业建设行动工作方案 （2022-2025年）》（冀商建设字〔2022〕6号）等文件要求，结合我</w:t>
      </w:r>
      <w:r>
        <w:rPr>
          <w:rFonts w:hint="eastAsia"/>
        </w:rPr>
        <w:t>县</w:t>
      </w:r>
      <w:r>
        <w:t>实际，制定本办法。</w:t>
      </w:r>
    </w:p>
    <w:p w14:paraId="2EC29ADD">
      <w:pPr>
        <w:pStyle w:val="2"/>
        <w:bidi w:val="0"/>
      </w:pPr>
      <w:r>
        <w:rPr>
          <w:b/>
          <w:bCs/>
        </w:rPr>
        <w:t>第二条</w:t>
      </w:r>
      <w:r>
        <w:t xml:space="preserve"> 县域商业建设</w:t>
      </w:r>
      <w:r>
        <w:rPr>
          <w:rFonts w:hint="eastAsia"/>
        </w:rPr>
        <w:t>行动</w:t>
      </w:r>
      <w:r>
        <w:t>项目（以下简称项目）是指按照有关文件要求，经我</w:t>
      </w:r>
      <w:r>
        <w:rPr>
          <w:rFonts w:hint="eastAsia"/>
        </w:rPr>
        <w:t>县</w:t>
      </w:r>
      <w:bookmarkStart w:id="0" w:name="_Hlk171516927"/>
      <w:r>
        <w:t>县域商业建设工作领导小组</w:t>
      </w:r>
      <w:bookmarkEnd w:id="0"/>
      <w:r>
        <w:t>审核，获得中央专项资金支持引导建设的县域商业建设项目。</w:t>
      </w:r>
    </w:p>
    <w:p w14:paraId="6AA269AD">
      <w:pPr>
        <w:pStyle w:val="2"/>
        <w:bidi w:val="0"/>
      </w:pPr>
      <w:r>
        <w:rPr>
          <w:b/>
          <w:bCs/>
        </w:rPr>
        <w:t>第三条</w:t>
      </w:r>
      <w:r>
        <w:t xml:space="preserve"> 县域商业建设工作领导小组（以下简称领导小组）办公室承担项目日常管理，负责推进各项工作任务落实，统筹做好重点任务实施，梳理汇总工作推进过程中的困难和问题，研究分析提出建议方案。领导小组其他成员单位结合本部门职能积极配合开展县域商业体系建设相关工作，协调解决各项目推进过程中遇到的问题。</w:t>
      </w:r>
    </w:p>
    <w:p w14:paraId="396C03ED">
      <w:pPr>
        <w:pStyle w:val="3"/>
      </w:pPr>
      <w:r>
        <w:t>二、项目申报与评审</w:t>
      </w:r>
    </w:p>
    <w:p w14:paraId="66F59647">
      <w:pPr>
        <w:pStyle w:val="2"/>
        <w:bidi w:val="0"/>
      </w:pPr>
      <w:r>
        <w:rPr>
          <w:b/>
          <w:bCs/>
        </w:rPr>
        <w:t>第四条</w:t>
      </w:r>
      <w:r>
        <w:t xml:space="preserve"> 申报条件</w:t>
      </w:r>
    </w:p>
    <w:p w14:paraId="2E9C60F0">
      <w:pPr>
        <w:pStyle w:val="2"/>
        <w:bidi w:val="0"/>
      </w:pPr>
      <w:r>
        <w:t>（一） 项目申报单位应在我</w:t>
      </w:r>
      <w:r>
        <w:rPr>
          <w:rFonts w:hint="eastAsia"/>
        </w:rPr>
        <w:t>县</w:t>
      </w:r>
      <w:r>
        <w:t>内有实体、有实际运营、实际融入和推动当地经济民生发展，产权明晰、运营稳定，具有健全的财务管理制度。</w:t>
      </w:r>
    </w:p>
    <w:p w14:paraId="1795E2EC">
      <w:pPr>
        <w:pStyle w:val="2"/>
        <w:bidi w:val="0"/>
      </w:pPr>
      <w:r>
        <w:t>（二）</w:t>
      </w:r>
      <w:r>
        <w:rPr>
          <w:rFonts w:hint="eastAsia"/>
        </w:rPr>
        <w:t xml:space="preserve"> </w:t>
      </w:r>
      <w:r>
        <w:t>申报项目应有明确的实施方案，具备场地、资金等必要实施条件，能在建设期内完成项目建设，且预期能取得较好成效。</w:t>
      </w:r>
    </w:p>
    <w:p w14:paraId="7FD80374">
      <w:pPr>
        <w:pStyle w:val="2"/>
        <w:bidi w:val="0"/>
      </w:pPr>
      <w:r>
        <w:t>（三）有下列情形之一的不得参加项目申报：</w:t>
      </w:r>
    </w:p>
    <w:p w14:paraId="4E604E4C">
      <w:pPr>
        <w:pStyle w:val="2"/>
        <w:bidi w:val="0"/>
      </w:pPr>
      <w:r>
        <w:t>1.同一项目已获得其他中央财政资金或地方同类财政资金支持；</w:t>
      </w:r>
    </w:p>
    <w:p w14:paraId="3DA1154D">
      <w:pPr>
        <w:pStyle w:val="2"/>
        <w:bidi w:val="0"/>
      </w:pPr>
      <w:r>
        <w:t>2.近三年内，项目申报单位发生重大安全事故、因违法违规行为被执法部门依法处罚或被列入严重失信主体“黑名单”；</w:t>
      </w:r>
    </w:p>
    <w:p w14:paraId="0A20B6DE">
      <w:pPr>
        <w:pStyle w:val="2"/>
        <w:bidi w:val="0"/>
      </w:pPr>
      <w:r>
        <w:t>3.主要财产因债务纠纷已被人民法院采取保全措施，或存在其他可能影响项目正常实施情形。</w:t>
      </w:r>
    </w:p>
    <w:p w14:paraId="5A7CE866">
      <w:pPr>
        <w:pStyle w:val="2"/>
        <w:bidi w:val="0"/>
      </w:pPr>
      <w:r>
        <w:rPr>
          <w:b/>
          <w:bCs/>
        </w:rPr>
        <w:t>第五条</w:t>
      </w:r>
      <w:r>
        <w:t xml:space="preserve"> 项目申报单位自主</w:t>
      </w:r>
      <w:r>
        <w:t>向</w:t>
      </w:r>
      <w:r>
        <w:rPr>
          <w:rFonts w:hint="eastAsia"/>
        </w:rPr>
        <w:t>县商务和投资促进局</w:t>
      </w:r>
      <w:r>
        <w:t>提交相关申报材料并对申报材料的真实性负责。申报材料包括：</w:t>
      </w:r>
    </w:p>
    <w:p w14:paraId="0DDD4728">
      <w:pPr>
        <w:pStyle w:val="2"/>
        <w:bidi w:val="0"/>
      </w:pPr>
      <w:r>
        <w:t>（一）项目申报单位基本信息表：</w:t>
      </w:r>
    </w:p>
    <w:p w14:paraId="369F2578">
      <w:pPr>
        <w:pStyle w:val="2"/>
        <w:bidi w:val="0"/>
      </w:pPr>
      <w:r>
        <w:t>（二）项目申报单位信用承诺书：</w:t>
      </w:r>
    </w:p>
    <w:p w14:paraId="275A8BC9">
      <w:pPr>
        <w:pStyle w:val="2"/>
        <w:bidi w:val="0"/>
      </w:pPr>
      <w:r>
        <w:t>（三）项目建设方案，包括项目建设内容、建设进度及各阶段建设目标、项目总投资及分类明细预算、资金筹措渠道、经济效益和社会效益等内容；</w:t>
      </w:r>
    </w:p>
    <w:p w14:paraId="72D21F9F">
      <w:pPr>
        <w:pStyle w:val="2"/>
        <w:bidi w:val="0"/>
      </w:pPr>
      <w:r>
        <w:t>（四）相关证明材料，包括但不限于营业执照、法定代表人或负责人身份证、场地产权证明或租赁协议、合作协议、场地照片、纳税证明等。</w:t>
      </w:r>
    </w:p>
    <w:p w14:paraId="1FF76D7A">
      <w:pPr>
        <w:pStyle w:val="2"/>
        <w:bidi w:val="0"/>
      </w:pPr>
      <w:r>
        <w:rPr>
          <w:b/>
          <w:bCs/>
        </w:rPr>
        <w:t>第六条</w:t>
      </w:r>
      <w:r>
        <w:t xml:space="preserve"> </w:t>
      </w:r>
      <w:r>
        <w:rPr>
          <w:rFonts w:hint="eastAsia"/>
        </w:rPr>
        <w:t>县商务和投资促进局</w:t>
      </w:r>
      <w:r>
        <w:t>组织第三方专家或机构，按照公平、公正</w:t>
      </w:r>
      <w:r>
        <w:rPr>
          <w:rFonts w:hint="eastAsia"/>
        </w:rPr>
        <w:t>、</w:t>
      </w:r>
      <w:r>
        <w:t>公开原则对项目申报材料进行评审。评审结果应在</w:t>
      </w:r>
      <w:r>
        <w:rPr>
          <w:rFonts w:hint="eastAsia"/>
        </w:rPr>
        <w:t>县</w:t>
      </w:r>
      <w:r>
        <w:t>人民政府网站进行公示，接受社会监督，公示时间不少于5天。</w:t>
      </w:r>
    </w:p>
    <w:p w14:paraId="53142CCB">
      <w:pPr>
        <w:pStyle w:val="2"/>
        <w:bidi w:val="0"/>
      </w:pPr>
      <w:r>
        <w:rPr>
          <w:b/>
          <w:bCs/>
        </w:rPr>
        <w:t>第七条</w:t>
      </w:r>
      <w:r>
        <w:t xml:space="preserve"> </w:t>
      </w:r>
      <w:r>
        <w:rPr>
          <w:rFonts w:hint="eastAsia"/>
        </w:rPr>
        <w:t>经省级审核备案的</w:t>
      </w:r>
      <w:r>
        <w:t>项目</w:t>
      </w:r>
      <w:r>
        <w:rPr>
          <w:rFonts w:hint="eastAsia"/>
        </w:rPr>
        <w:t>，原则上不得调整。确因情况发生变化需作调整的</w:t>
      </w:r>
      <w:r>
        <w:t>，需</w:t>
      </w:r>
      <w:r>
        <w:rPr>
          <w:rFonts w:hint="eastAsia"/>
        </w:rPr>
        <w:t>经市级</w:t>
      </w:r>
      <w:r>
        <w:t>主管部门</w:t>
      </w:r>
      <w:r>
        <w:rPr>
          <w:rFonts w:hint="eastAsia"/>
        </w:rPr>
        <w:t>审批通过后，报省级主管部门</w:t>
      </w:r>
      <w:r>
        <w:t>备案。</w:t>
      </w:r>
    </w:p>
    <w:p w14:paraId="312AE3FF">
      <w:pPr>
        <w:pStyle w:val="3"/>
      </w:pPr>
      <w:r>
        <w:t>三、项目验收与绩效评价</w:t>
      </w:r>
    </w:p>
    <w:p w14:paraId="75B6A120">
      <w:pPr>
        <w:pStyle w:val="2"/>
        <w:bidi w:val="0"/>
      </w:pPr>
      <w:r>
        <w:rPr>
          <w:b/>
          <w:bCs/>
        </w:rPr>
        <w:t>第八条</w:t>
      </w:r>
      <w:r>
        <w:t xml:space="preserve"> 项目实施期限为2023年10月至2024年12月。对存在客观合理原因，确需延长项目实施期限的，需经领导小组审核同意后方可实施。</w:t>
      </w:r>
    </w:p>
    <w:p w14:paraId="6939C0CC">
      <w:pPr>
        <w:pStyle w:val="2"/>
        <w:bidi w:val="0"/>
      </w:pPr>
      <w:r>
        <w:rPr>
          <w:b/>
          <w:bCs/>
        </w:rPr>
        <w:t>第九条</w:t>
      </w:r>
      <w:r>
        <w:t xml:space="preserve"> 项目建设完成后，项目实施单位应向</w:t>
      </w:r>
      <w:r>
        <w:rPr>
          <w:rFonts w:hint="eastAsia"/>
        </w:rPr>
        <w:t>领导小组办公室</w:t>
      </w:r>
      <w:r>
        <w:t>提出验收申请，</w:t>
      </w:r>
      <w:r>
        <w:rPr>
          <w:rFonts w:hint="eastAsia"/>
        </w:rPr>
        <w:t>领导小组办公室</w:t>
      </w:r>
      <w:r>
        <w:t>适时委托第三方机构开展项目审核验收。对通过验收项目，核实项</w:t>
      </w:r>
      <w:bookmarkStart w:id="2" w:name="_GoBack"/>
      <w:bookmarkEnd w:id="2"/>
      <w:r>
        <w:t>目实际投资额和专项资金支持金额</w:t>
      </w:r>
      <w:r>
        <w:rPr>
          <w:rFonts w:hint="eastAsia"/>
        </w:rPr>
        <w:t>后，</w:t>
      </w:r>
      <w:r>
        <w:t>拨付</w:t>
      </w:r>
      <w:r>
        <w:rPr>
          <w:rFonts w:hint="eastAsia"/>
        </w:rPr>
        <w:t>专项</w:t>
      </w:r>
      <w:r>
        <w:t>支持资金；对未通过验收项目限期30日内完成整改，如整改后项目仍未通过验收，不再拨付支持资金。</w:t>
      </w:r>
    </w:p>
    <w:p w14:paraId="5265F5FF">
      <w:pPr>
        <w:pStyle w:val="2"/>
        <w:bidi w:val="0"/>
      </w:pPr>
      <w:r>
        <w:rPr>
          <w:b/>
          <w:bCs/>
        </w:rPr>
        <w:t xml:space="preserve">第十条 </w:t>
      </w:r>
      <w:r>
        <w:t>按照商务部等上级主管部门有关项目绩效评价工作安排，项目实施单位应将项目绩效自评报告等资料按期报送</w:t>
      </w:r>
      <w:r>
        <w:rPr>
          <w:rFonts w:hint="eastAsia"/>
        </w:rPr>
        <w:t>县商务和投资促进局</w:t>
      </w:r>
      <w:r>
        <w:rPr>
          <w:color w:val="0000FF"/>
        </w:rPr>
        <w:t>，</w:t>
      </w:r>
      <w:r>
        <w:rPr>
          <w:rFonts w:hint="eastAsia"/>
        </w:rPr>
        <w:t>县商务和投资促进局</w:t>
      </w:r>
      <w:r>
        <w:t>牵头开展我</w:t>
      </w:r>
      <w:r>
        <w:rPr>
          <w:rFonts w:hint="eastAsia"/>
        </w:rPr>
        <w:t>县</w:t>
      </w:r>
      <w:r>
        <w:t>县域商业体系建设项目绩效自评，并接受省级主管部门组织的现场绩效评价。</w:t>
      </w:r>
    </w:p>
    <w:p w14:paraId="7C35A5A4">
      <w:pPr>
        <w:pStyle w:val="3"/>
      </w:pPr>
      <w:r>
        <w:t>四、日常监督管理</w:t>
      </w:r>
    </w:p>
    <w:p w14:paraId="723C38B8">
      <w:pPr>
        <w:pStyle w:val="2"/>
        <w:bidi w:val="0"/>
      </w:pPr>
      <w:r>
        <w:rPr>
          <w:b/>
          <w:bCs/>
        </w:rPr>
        <w:t>第十一条</w:t>
      </w:r>
      <w:r>
        <w:t xml:space="preserve"> 项目实施单位应建立项目档案，主动配合有关部门对项目的监督检查，并严格落实月度报告制度，自项目纳入支持计划之日起至项目验收前，项目单位于每月10日前向</w:t>
      </w:r>
      <w:r>
        <w:rPr>
          <w:rFonts w:hint="eastAsia"/>
        </w:rPr>
        <w:t>县商务和投资促进局</w:t>
      </w:r>
      <w:r>
        <w:t>报告项目上月建设和投资进展情况。</w:t>
      </w:r>
    </w:p>
    <w:p w14:paraId="28257D3E">
      <w:pPr>
        <w:pStyle w:val="2"/>
        <w:bidi w:val="0"/>
      </w:pPr>
      <w:r>
        <w:rPr>
          <w:b/>
          <w:bCs/>
        </w:rPr>
        <w:t>第十二条</w:t>
      </w:r>
      <w:r>
        <w:t xml:space="preserve"> 领导小组有关部门和人员根据职责分工，及时掌握项目建设和资金使用相关情况，并通过召开专题会议等形式协调推进项目建设。</w:t>
      </w:r>
    </w:p>
    <w:p w14:paraId="7C13A532">
      <w:pPr>
        <w:pStyle w:val="2"/>
        <w:bidi w:val="0"/>
        <w:rPr>
          <w:rFonts w:ascii="仿宋" w:hAnsi="仿宋" w:eastAsia="仿宋" w:cs="Times New Roman"/>
          <w:szCs w:val="32"/>
        </w:rPr>
      </w:pPr>
      <w:r>
        <w:rPr>
          <w:b/>
          <w:bCs/>
        </w:rPr>
        <w:t>第十三条</w:t>
      </w:r>
      <w:r>
        <w:t xml:space="preserve"> </w:t>
      </w:r>
      <w:r>
        <w:rPr>
          <w:rFonts w:hint="eastAsia"/>
        </w:rPr>
        <w:t>根据项目实施需要，可</w:t>
      </w:r>
      <w:r>
        <w:t>引入审计、</w:t>
      </w:r>
      <w:r>
        <w:rPr>
          <w:rFonts w:hint="eastAsia"/>
        </w:rPr>
        <w:t>监理</w:t>
      </w:r>
      <w:r>
        <w:t>咨询等第三方服务机构，定期对项目进展情况进行检查评估，就发现问题提出相关整改建议，并跟踪整改情况，规范项目建设和专项资金使用，提升项目建设成效。</w:t>
      </w:r>
    </w:p>
    <w:p w14:paraId="0F3CA3A4">
      <w:pPr>
        <w:pStyle w:val="2"/>
        <w:bidi w:val="0"/>
      </w:pPr>
      <w:r>
        <w:rPr>
          <w:b/>
          <w:bCs/>
        </w:rPr>
        <w:t>第十四条</w:t>
      </w:r>
      <w:r>
        <w:t xml:space="preserve"> 相关部门工作人员在项目评审、资金分配、日常监管、项目验收和绩效评价工作中，存在违规操作、滥用职权、玩忽职守、徇私舞弊等违法违纪行为的，按照《预算法》</w:t>
      </w:r>
      <w:r>
        <w:rPr>
          <w:rFonts w:hint="eastAsia"/>
        </w:rPr>
        <w:t>、</w:t>
      </w:r>
      <w:r>
        <w:t>《公务员法》</w:t>
      </w:r>
      <w:r>
        <w:rPr>
          <w:rFonts w:hint="eastAsia"/>
        </w:rPr>
        <w:t>、</w:t>
      </w:r>
      <w:r>
        <w:t>《行政监察法》</w:t>
      </w:r>
      <w:r>
        <w:rPr>
          <w:rFonts w:hint="eastAsia"/>
        </w:rPr>
        <w:t>、</w:t>
      </w:r>
      <w:r>
        <w:t>《财政违法行为处罚处分条例》等有关规定追究相应责任；涉嫌犯罪的，移送司法机关处理。</w:t>
      </w:r>
    </w:p>
    <w:p w14:paraId="4E013060">
      <w:pPr>
        <w:pStyle w:val="2"/>
        <w:bidi w:val="0"/>
      </w:pPr>
      <w:r>
        <w:rPr>
          <w:b/>
          <w:bCs/>
        </w:rPr>
        <w:t>第十五条</w:t>
      </w:r>
      <w:r>
        <w:t xml:space="preserve"> 存在以下任一情形的，将视情取消对相应项目的支持：</w:t>
      </w:r>
    </w:p>
    <w:p w14:paraId="64A24ED9">
      <w:pPr>
        <w:pStyle w:val="2"/>
        <w:bidi w:val="0"/>
      </w:pPr>
      <w:r>
        <w:t>（一）项目实施单位违规使用专项资金；</w:t>
      </w:r>
    </w:p>
    <w:p w14:paraId="5CC458C2">
      <w:pPr>
        <w:pStyle w:val="2"/>
        <w:bidi w:val="0"/>
      </w:pPr>
      <w:r>
        <w:t>（二）项目实施单位擅自变更项目建设地点、规模、标准和建设内容；</w:t>
      </w:r>
    </w:p>
    <w:p w14:paraId="74C17F46">
      <w:pPr>
        <w:pStyle w:val="2"/>
        <w:bidi w:val="0"/>
      </w:pPr>
      <w:r>
        <w:t>（三）项目实施单位在项目申报阶段或实施阶段有弄虚作假行为；</w:t>
      </w:r>
    </w:p>
    <w:p w14:paraId="65FE1002">
      <w:pPr>
        <w:pStyle w:val="2"/>
        <w:bidi w:val="0"/>
      </w:pPr>
      <w:r>
        <w:t>（四）项目建设进度严重滞后，无法按期完工；</w:t>
      </w:r>
    </w:p>
    <w:p w14:paraId="55990A10">
      <w:pPr>
        <w:pStyle w:val="2"/>
        <w:bidi w:val="0"/>
      </w:pPr>
      <w:r>
        <w:t>（五）对有关部门日常监管中发现的问题，未在限期内完成整改；</w:t>
      </w:r>
    </w:p>
    <w:p w14:paraId="1D4C1A31">
      <w:pPr>
        <w:pStyle w:val="2"/>
        <w:bidi w:val="0"/>
      </w:pPr>
      <w:r>
        <w:t>（六）项目实施单位在当年经营活动中发生重大安全生产、消防、质量、税收、不正当竞争等违法行为。</w:t>
      </w:r>
    </w:p>
    <w:p w14:paraId="769CB3B1">
      <w:pPr>
        <w:pStyle w:val="3"/>
        <w:bidi w:val="0"/>
      </w:pPr>
      <w:r>
        <w:rPr>
          <w:rFonts w:hint="eastAsia"/>
        </w:rPr>
        <w:t>五、项目后续运营管理</w:t>
      </w:r>
    </w:p>
    <w:p w14:paraId="2D2273E7">
      <w:pPr>
        <w:pStyle w:val="2"/>
        <w:bidi w:val="0"/>
      </w:pPr>
      <w:r>
        <w:rPr>
          <w:rFonts w:hint="eastAsia"/>
          <w:b/>
          <w:bCs/>
        </w:rPr>
        <w:t>第十六条</w:t>
      </w:r>
      <w:r>
        <w:rPr>
          <w:rFonts w:hint="eastAsia"/>
        </w:rPr>
        <w:t xml:space="preserve"> 项目资产管理。各项目实施企业应当对项目实施过程中所使用的各类资产进行合理化的管理和维护，从而实现资产最大限度地利用。</w:t>
      </w:r>
    </w:p>
    <w:p w14:paraId="78241E51">
      <w:pPr>
        <w:pStyle w:val="2"/>
        <w:bidi w:val="0"/>
      </w:pPr>
      <w:r>
        <w:rPr>
          <w:rFonts w:hint="eastAsia"/>
        </w:rPr>
        <w:t>（1）各项目实施企业应对资产进行全面的登记和管理，包括资产名称、规格型号采购日期、使用部门等；</w:t>
      </w:r>
    </w:p>
    <w:p w14:paraId="237D0275">
      <w:pPr>
        <w:pStyle w:val="2"/>
        <w:bidi w:val="0"/>
      </w:pPr>
      <w:r>
        <w:rPr>
          <w:rFonts w:hint="eastAsia"/>
        </w:rPr>
        <w:t>（2）各项目实施企业应对资产进行定期的检修、维护和更新，延长其使用寿命；</w:t>
      </w:r>
    </w:p>
    <w:p w14:paraId="132D923C">
      <w:pPr>
        <w:pStyle w:val="2"/>
        <w:bidi w:val="0"/>
      </w:pPr>
      <w:r>
        <w:rPr>
          <w:rFonts w:hint="eastAsia"/>
        </w:rPr>
        <w:t>（3）各项目实施企业应对资产进行合理的配置和调配，保证项目后续的运营。</w:t>
      </w:r>
    </w:p>
    <w:p w14:paraId="1B1C3373">
      <w:pPr>
        <w:pStyle w:val="2"/>
        <w:bidi w:val="0"/>
      </w:pPr>
      <w:r>
        <w:rPr>
          <w:rFonts w:hint="eastAsia"/>
          <w:b/>
          <w:bCs/>
        </w:rPr>
        <w:t>第十七条</w:t>
      </w:r>
      <w:r>
        <w:rPr>
          <w:rFonts w:hint="eastAsia"/>
        </w:rPr>
        <w:t xml:space="preserve"> 项目档案信息管理。各项目实施企业应对项目实施中所使用的各类档案信息进行有效整理、归档和管理，保证项目档案信息的准确性、完整性和安全性。</w:t>
      </w:r>
    </w:p>
    <w:p w14:paraId="2698D9C5">
      <w:pPr>
        <w:pStyle w:val="2"/>
        <w:bidi w:val="0"/>
      </w:pPr>
      <w:r>
        <w:rPr>
          <w:rFonts w:hint="eastAsia"/>
        </w:rPr>
        <w:t>（1）项目应建立项目档案和资金使用台账，及时、准确记录资金使用情况，妥善保存支持项目的实际费用支出凭证和有关原始票据，相关材料保存期限不少于5年；</w:t>
      </w:r>
    </w:p>
    <w:p w14:paraId="502C1E78">
      <w:pPr>
        <w:pStyle w:val="2"/>
        <w:bidi w:val="0"/>
      </w:pPr>
      <w:r>
        <w:rPr>
          <w:rFonts w:hint="eastAsia"/>
        </w:rPr>
        <w:t>（2）对项目中各类档案信息进行全面的收集、整理和归档，以备后续管理所需；</w:t>
      </w:r>
    </w:p>
    <w:p w14:paraId="461CE3A3">
      <w:pPr>
        <w:pStyle w:val="2"/>
        <w:bidi w:val="0"/>
      </w:pPr>
      <w:r>
        <w:rPr>
          <w:rFonts w:hint="eastAsia"/>
        </w:rPr>
        <w:t>（3）对项目档案进行分类、标注和管理，以便快速查找和使用；</w:t>
      </w:r>
    </w:p>
    <w:p w14:paraId="3571F2C4">
      <w:pPr>
        <w:pStyle w:val="2"/>
        <w:bidi w:val="0"/>
      </w:pPr>
      <w:r>
        <w:rPr>
          <w:rFonts w:hint="eastAsia"/>
        </w:rPr>
        <w:t>（4）对项目档案进行严格的保密措施，保护项目的商业机密和知识产权。</w:t>
      </w:r>
    </w:p>
    <w:p w14:paraId="037128D9">
      <w:pPr>
        <w:pStyle w:val="2"/>
        <w:bidi w:val="0"/>
      </w:pPr>
      <w:r>
        <w:rPr>
          <w:rFonts w:hint="eastAsia"/>
          <w:b/>
          <w:bCs/>
        </w:rPr>
        <w:t>第十八条</w:t>
      </w:r>
      <w:r>
        <w:rPr>
          <w:rFonts w:hint="eastAsia"/>
        </w:rPr>
        <w:t xml:space="preserve"> 成立项目后续管理团队。各项目实施企业应在项目实施结束后，成立专门的项目后续管理团队，由具有丰富经验和专业知识的人员组成，负责项目成效的跟踪和管理工作。</w:t>
      </w:r>
    </w:p>
    <w:p w14:paraId="2D8B98AE">
      <w:pPr>
        <w:pStyle w:val="2"/>
        <w:bidi w:val="0"/>
      </w:pPr>
      <w:r>
        <w:rPr>
          <w:rFonts w:hint="eastAsia"/>
        </w:rPr>
        <w:t>（1）制定项目后续管理计划。项目后续管理团队应当制定详细的项目后续管理计划，包括项目后续运营、取得预期成效、后续考核标准、持续改进措施、风险管理方案等内容，以确保项目运营的稳定和可持续性。</w:t>
      </w:r>
    </w:p>
    <w:p w14:paraId="6916C292">
      <w:pPr>
        <w:pStyle w:val="2"/>
        <w:bidi w:val="0"/>
      </w:pPr>
      <w:r>
        <w:rPr>
          <w:rFonts w:hint="eastAsia"/>
        </w:rPr>
        <w:t>（2）进行项目成效的评估和监控。项目后续管理团队应当对项目成效进行全面的评估和监控，及时发现问题并采取相应的措施，确保项目成效的质量和效益。</w:t>
      </w:r>
    </w:p>
    <w:p w14:paraId="154A4D0C">
      <w:pPr>
        <w:pStyle w:val="2"/>
        <w:bidi w:val="0"/>
      </w:pPr>
      <w:r>
        <w:rPr>
          <w:rFonts w:hint="eastAsia"/>
        </w:rPr>
        <w:t>（3）项目后续管理团队应当不断进行改进和优化工作，根据项目后续运营的实际情况，及时调整和优化管理措施，以确保项目成果的持续改善和提升。</w:t>
      </w:r>
    </w:p>
    <w:p w14:paraId="65C6F769">
      <w:pPr>
        <w:pStyle w:val="2"/>
        <w:bidi w:val="0"/>
      </w:pPr>
      <w:r>
        <w:rPr>
          <w:rFonts w:hint="eastAsia"/>
        </w:rPr>
        <w:t>（4）项目后续管理团队应当定期向项目主管单位汇报项目后续运营的情况，并进行有效的沟通和协调，以确保项目后续管理工作的顺利进行。</w:t>
      </w:r>
    </w:p>
    <w:p w14:paraId="0FBBB6F9">
      <w:pPr>
        <w:pStyle w:val="3"/>
      </w:pPr>
      <w:r>
        <w:rPr>
          <w:rFonts w:hint="eastAsia"/>
        </w:rPr>
        <w:t>六</w:t>
      </w:r>
      <w:r>
        <w:t>、附则</w:t>
      </w:r>
    </w:p>
    <w:p w14:paraId="67E1954C">
      <w:pPr>
        <w:pStyle w:val="2"/>
        <w:bidi w:val="0"/>
      </w:pPr>
      <w:r>
        <w:rPr>
          <w:b/>
          <w:bCs/>
        </w:rPr>
        <w:t>第十</w:t>
      </w:r>
      <w:r>
        <w:rPr>
          <w:rFonts w:hint="eastAsia"/>
          <w:b/>
          <w:bCs/>
        </w:rPr>
        <w:t>九</w:t>
      </w:r>
      <w:r>
        <w:rPr>
          <w:b/>
          <w:bCs/>
        </w:rPr>
        <w:t>条</w:t>
      </w:r>
      <w:r>
        <w:t xml:space="preserve"> 本办法自发文之日起执行。</w:t>
      </w:r>
    </w:p>
    <w:p w14:paraId="56257C7A">
      <w:pPr>
        <w:pStyle w:val="2"/>
        <w:bidi w:val="0"/>
      </w:pPr>
      <w:r>
        <w:t>第</w:t>
      </w:r>
      <w:r>
        <w:rPr>
          <w:rFonts w:hint="eastAsia"/>
        </w:rPr>
        <w:t>二十</w:t>
      </w:r>
      <w:r>
        <w:t xml:space="preserve">条 </w:t>
      </w:r>
      <w:bookmarkStart w:id="1" w:name="_Hlk171517145"/>
      <w:r>
        <w:t>本办法由</w:t>
      </w:r>
      <w:r>
        <w:rPr>
          <w:rFonts w:hint="eastAsia"/>
          <w:lang w:val="en-US" w:eastAsia="zh-CN"/>
        </w:rPr>
        <w:t>乐亭</w:t>
      </w:r>
      <w:r>
        <w:rPr>
          <w:rFonts w:hint="eastAsia"/>
        </w:rPr>
        <w:t>县</w:t>
      </w:r>
      <w:r>
        <w:t>县域商业建设工作领导小组办公室负责解释。</w:t>
      </w:r>
      <w:bookmarkEnd w:id="1"/>
    </w:p>
    <w:p w14:paraId="17AA9601">
      <w:pPr>
        <w:pStyle w:val="2"/>
        <w:numPr>
          <w:ilvl w:val="0"/>
          <w:numId w:val="0"/>
        </w:numPr>
        <w:bidi w:val="0"/>
        <w:ind w:leftChars="0"/>
        <w:rPr>
          <w:rFonts w:hint="default"/>
          <w:lang w:val="en-US" w:eastAsia="zh-CN"/>
        </w:rPr>
      </w:pPr>
    </w:p>
    <w:sectPr>
      <w:headerReference r:id="rId5" w:type="default"/>
      <w:footerReference r:id="rId6" w:type="default"/>
      <w:pgSz w:w="11906" w:h="16838"/>
      <w:pgMar w:top="2098" w:right="1474" w:bottom="1984" w:left="1587" w:header="964" w:footer="1191" w:gutter="0"/>
      <w:pgNumType w:fmt="decimal" w:start="1"/>
      <w:cols w:space="0" w:num="1"/>
      <w:rtlGutter w:val="0"/>
      <w:docGrid w:type="linesAndChars" w:linePitch="579" w:charSpace="-842"/>
    </w:sectPr>
  </w:body>
</w:document>
</file>

<file path=word/customizations.xml><?xml version="1.0" encoding="utf-8"?>
<wne:tcg xmlns:r="http://schemas.openxmlformats.org/officeDocument/2006/relationships" xmlns:wne="http://schemas.microsoft.com/office/word/2006/wordml">
  <wne:keymaps>
    <wne:keymap wne:kcmPrimary="065A">
      <wne:acd wne:acdName="acd0"/>
    </wne:keymap>
    <wne:keymap wne:kcmPrimary="0641">
      <wne:acd wne:acdName="acd1"/>
    </wne:keymap>
  </wne:keymaps>
  <wne:acds>
    <wne:acd wne:argValue="AQAAAEIA" wne:acdName="acd0" wne:fciIndexBasedOn="0065"/>
    <wne:acd wne:argValue="AQAAAA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1" w:fontKey="{226830D4-213C-4856-9CC6-417B5C7BAF9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script"/>
    <w:pitch w:val="default"/>
    <w:sig w:usb0="00000001" w:usb1="080E0000" w:usb2="00000000" w:usb3="00000000" w:csb0="00040000" w:csb1="00000000"/>
    <w:embedRegular r:id="rId2" w:fontKey="{C5B80A6B-3770-481D-A4B8-6020931A79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331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99CB6">
                          <w:pPr>
                            <w:pStyle w:val="8"/>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4</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699CB6">
                    <w:pPr>
                      <w:pStyle w:val="8"/>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4</w:t>
                    </w:r>
                    <w:r>
                      <w:rPr>
                        <w:rFonts w:hint="eastAsia" w:ascii="仿宋" w:hAnsi="仿宋" w:eastAsia="仿宋" w:cs="仿宋"/>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91958">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NjBkMTNiMGY5NzhhOTZjNDlkZmZkOTE5ZGNjZDkifQ=="/>
    <w:docVar w:name="KSO_WPS_MARK_KEY" w:val="7606cf6c-3464-4f10-bd87-2ecb68f07cd6"/>
  </w:docVars>
  <w:rsids>
    <w:rsidRoot w:val="03822181"/>
    <w:rsid w:val="000E5032"/>
    <w:rsid w:val="00B523D0"/>
    <w:rsid w:val="01597AC6"/>
    <w:rsid w:val="020412BC"/>
    <w:rsid w:val="034D4FAC"/>
    <w:rsid w:val="03506364"/>
    <w:rsid w:val="03822181"/>
    <w:rsid w:val="03F10771"/>
    <w:rsid w:val="040D29EB"/>
    <w:rsid w:val="06487FC4"/>
    <w:rsid w:val="09C2162B"/>
    <w:rsid w:val="0A3C6F6E"/>
    <w:rsid w:val="0BBB4CB7"/>
    <w:rsid w:val="0BC266E6"/>
    <w:rsid w:val="0CC10D4C"/>
    <w:rsid w:val="0D4C671D"/>
    <w:rsid w:val="0D5B72E2"/>
    <w:rsid w:val="0E600BFE"/>
    <w:rsid w:val="0E8C0CC0"/>
    <w:rsid w:val="10684F45"/>
    <w:rsid w:val="10AD4A73"/>
    <w:rsid w:val="10BD6D43"/>
    <w:rsid w:val="12542EEC"/>
    <w:rsid w:val="12A20BFD"/>
    <w:rsid w:val="12FE633D"/>
    <w:rsid w:val="154909C7"/>
    <w:rsid w:val="15874067"/>
    <w:rsid w:val="16E4565B"/>
    <w:rsid w:val="173F771B"/>
    <w:rsid w:val="1A0D148E"/>
    <w:rsid w:val="1A3B2DCC"/>
    <w:rsid w:val="1A8945DE"/>
    <w:rsid w:val="1BFC1398"/>
    <w:rsid w:val="1DDF4A85"/>
    <w:rsid w:val="1EF9601E"/>
    <w:rsid w:val="20B902A8"/>
    <w:rsid w:val="21B83210"/>
    <w:rsid w:val="228D2FEF"/>
    <w:rsid w:val="23FB2CE9"/>
    <w:rsid w:val="24CC6E41"/>
    <w:rsid w:val="25592C0B"/>
    <w:rsid w:val="25F77C32"/>
    <w:rsid w:val="26401BA1"/>
    <w:rsid w:val="28D86CC0"/>
    <w:rsid w:val="29985A6B"/>
    <w:rsid w:val="2B613797"/>
    <w:rsid w:val="2BF45594"/>
    <w:rsid w:val="2C4C69EE"/>
    <w:rsid w:val="2EFA2CD4"/>
    <w:rsid w:val="309E28FB"/>
    <w:rsid w:val="359F4B1E"/>
    <w:rsid w:val="38DC547E"/>
    <w:rsid w:val="3BDE6F5C"/>
    <w:rsid w:val="3BFB108D"/>
    <w:rsid w:val="3C7107C2"/>
    <w:rsid w:val="3C9819B3"/>
    <w:rsid w:val="3D002E49"/>
    <w:rsid w:val="3DD6115D"/>
    <w:rsid w:val="41EF4C9A"/>
    <w:rsid w:val="42482A2D"/>
    <w:rsid w:val="44931A11"/>
    <w:rsid w:val="44B311A8"/>
    <w:rsid w:val="45C47161"/>
    <w:rsid w:val="494D0774"/>
    <w:rsid w:val="49776070"/>
    <w:rsid w:val="49A829E9"/>
    <w:rsid w:val="4A68152E"/>
    <w:rsid w:val="4B5B1301"/>
    <w:rsid w:val="50B47FDD"/>
    <w:rsid w:val="511028B2"/>
    <w:rsid w:val="51351216"/>
    <w:rsid w:val="51FD35EF"/>
    <w:rsid w:val="54232926"/>
    <w:rsid w:val="547152A1"/>
    <w:rsid w:val="58594C24"/>
    <w:rsid w:val="592706AB"/>
    <w:rsid w:val="594A373D"/>
    <w:rsid w:val="599B5501"/>
    <w:rsid w:val="5A5F5C79"/>
    <w:rsid w:val="5AAD7730"/>
    <w:rsid w:val="5D1A3259"/>
    <w:rsid w:val="5DA715AF"/>
    <w:rsid w:val="5E172E88"/>
    <w:rsid w:val="5E423FA2"/>
    <w:rsid w:val="63D05A78"/>
    <w:rsid w:val="656444C8"/>
    <w:rsid w:val="66280A14"/>
    <w:rsid w:val="6A40300E"/>
    <w:rsid w:val="6A9B5E45"/>
    <w:rsid w:val="6AC032F3"/>
    <w:rsid w:val="6B48753E"/>
    <w:rsid w:val="6C5F1C91"/>
    <w:rsid w:val="6E334A74"/>
    <w:rsid w:val="707B099E"/>
    <w:rsid w:val="70ED27AD"/>
    <w:rsid w:val="72E6605C"/>
    <w:rsid w:val="73F8335E"/>
    <w:rsid w:val="744322FD"/>
    <w:rsid w:val="75A62930"/>
    <w:rsid w:val="75C56ACD"/>
    <w:rsid w:val="75EF3672"/>
    <w:rsid w:val="78855BF7"/>
    <w:rsid w:val="7D4B0076"/>
    <w:rsid w:val="7DCA76F3"/>
    <w:rsid w:val="7EC26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0" w:firstLineChars="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632" w:firstLineChars="200"/>
      <w:outlineLvl w:val="0"/>
    </w:pPr>
    <w:rPr>
      <w:rFonts w:ascii="黑体" w:hAnsi="黑体" w:eastAsia="黑体" w:cs="黑体"/>
      <w:kern w:val="44"/>
    </w:rPr>
  </w:style>
  <w:style w:type="paragraph" w:styleId="4">
    <w:name w:val="heading 2"/>
    <w:basedOn w:val="1"/>
    <w:next w:val="1"/>
    <w:link w:val="16"/>
    <w:unhideWhenUsed/>
    <w:qFormat/>
    <w:uiPriority w:val="0"/>
    <w:pPr>
      <w:keepNext/>
      <w:keepLines/>
      <w:spacing w:beforeLines="0" w:beforeAutospacing="0" w:afterLines="0" w:afterAutospacing="0" w:line="560" w:lineRule="exact"/>
      <w:ind w:firstLine="632" w:firstLineChars="200"/>
      <w:outlineLvl w:val="1"/>
    </w:pPr>
    <w:rPr>
      <w:rFonts w:ascii="楷体" w:hAnsi="楷体" w:eastAsia="楷体" w:cs="楷体"/>
      <w:b/>
    </w:rPr>
  </w:style>
  <w:style w:type="paragraph" w:styleId="5">
    <w:name w:val="heading 3"/>
    <w:basedOn w:val="1"/>
    <w:next w:val="1"/>
    <w:unhideWhenUsed/>
    <w:qFormat/>
    <w:uiPriority w:val="0"/>
    <w:pPr>
      <w:keepNext/>
      <w:keepLines/>
      <w:spacing w:beforeLines="0" w:beforeAutospacing="0" w:afterLines="0" w:afterAutospacing="0" w:line="560" w:lineRule="exact"/>
      <w:ind w:firstLine="632" w:firstLineChars="200"/>
      <w:outlineLvl w:val="2"/>
    </w:pPr>
    <w:rPr>
      <w:rFonts w:ascii="Times New Roman" w:hAnsi="Times New Roman"/>
      <w:b/>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napToGrid/>
      <w:spacing w:beforeAutospacing="0" w:line="560" w:lineRule="exact"/>
      <w:ind w:firstLine="632" w:firstLineChars="200"/>
    </w:pPr>
    <w:rPr>
      <w:szCs w:val="21"/>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kern w:val="0"/>
      <w:sz w:val="24"/>
      <w:szCs w:val="24"/>
    </w:rPr>
  </w:style>
  <w:style w:type="paragraph" w:styleId="13">
    <w:name w:val="Body Text First Indent"/>
    <w:basedOn w:val="2"/>
    <w:qFormat/>
    <w:uiPriority w:val="0"/>
    <w:pPr>
      <w:ind w:firstLine="420" w:firstLineChars="100"/>
    </w:pPr>
    <w:rPr>
      <w:kern w:val="0"/>
      <w:sz w:val="24"/>
      <w:szCs w:val="22"/>
      <w:lang w:eastAsia="en-US" w:bidi="en-US"/>
    </w:rPr>
  </w:style>
  <w:style w:type="character" w:customStyle="1" w:styleId="16">
    <w:name w:val="标题 2 Char"/>
    <w:link w:val="4"/>
    <w:qFormat/>
    <w:uiPriority w:val="0"/>
    <w:rPr>
      <w:rFonts w:ascii="楷体" w:hAnsi="楷体" w:eastAsia="楷体" w:cs="楷体"/>
      <w:b/>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7</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2019-12-05T07:47:00Z</dcterms:created>
  <dc:creator>自控</dc:creator>
  <cp:lastModifiedBy>自控</cp:lastModifiedBy>
  <cp:lastPrinted>2021-05-22T06:03:00Z</cp:lastPrinted>
  <dcterms:modified xsi:type="dcterms:W3CDTF">2024-08-27T14:45:16Z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2630B0DD82454A1490B5D8952E8132A5</vt:lpwstr>
  </property>
</Properties>
</file>