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5FFB">
      <w:pPr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县县域商业建设行动项目</w:t>
      </w:r>
    </w:p>
    <w:p w14:paraId="6B4F7821">
      <w:pPr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日常监管办法</w:t>
      </w:r>
    </w:p>
    <w:p w14:paraId="62C06E77">
      <w:pPr>
        <w:ind w:firstLine="640"/>
        <w:rPr>
          <w:rFonts w:ascii="仿宋" w:hAnsi="仿宋" w:eastAsia="仿宋" w:cs="Times New Roman"/>
          <w:szCs w:val="32"/>
        </w:rPr>
      </w:pPr>
    </w:p>
    <w:p w14:paraId="0B5ABB67">
      <w:pPr>
        <w:pStyle w:val="2"/>
        <w:bidi w:val="0"/>
      </w:pPr>
      <w:r>
        <w:rPr>
          <w:b/>
          <w:bCs/>
        </w:rPr>
        <w:t>第一条</w:t>
      </w:r>
      <w:r>
        <w:t xml:space="preserve"> 为加强我</w:t>
      </w:r>
      <w:r>
        <w:rPr>
          <w:rFonts w:hint="eastAsia"/>
        </w:rPr>
        <w:t>县</w:t>
      </w:r>
      <w:r>
        <w:t>县域商业建设行动项目日常管理，完善项目监督约束机制，保障项目有序实施，确保项目取得预期成效。根据《财政部办公厅 商务部办公厅 乡村振兴局综合司关于支持实施县域商业建设行动的通知》（财办建〔2022〕18号）、《河北省县域商业建设行动工作方案（2022-2025 年）》（冀商建设字〔2022〕6号）</w:t>
      </w:r>
      <w:r>
        <w:rPr>
          <w:rFonts w:hint="eastAsia"/>
        </w:rPr>
        <w:t>、</w:t>
      </w:r>
      <w:r>
        <w:t>《</w:t>
      </w:r>
      <w:r>
        <w:rPr>
          <w:rFonts w:hint="eastAsia"/>
          <w:lang w:val="en-US" w:eastAsia="zh-CN"/>
        </w:rPr>
        <w:t>乐亭</w:t>
      </w:r>
      <w:r>
        <w:rPr>
          <w:rFonts w:hint="eastAsia"/>
        </w:rPr>
        <w:t>县</w:t>
      </w:r>
      <w:r>
        <w:t>县域商业建设</w:t>
      </w:r>
      <w:r>
        <w:rPr>
          <w:rFonts w:hint="eastAsia"/>
        </w:rPr>
        <w:t>行动</w:t>
      </w:r>
      <w:r>
        <w:t>实施方案》等文件要求，结合我</w:t>
      </w:r>
      <w:r>
        <w:rPr>
          <w:rFonts w:hint="eastAsia"/>
        </w:rPr>
        <w:t>县</w:t>
      </w:r>
      <w:r>
        <w:t>实际，制定本办法。</w:t>
      </w:r>
    </w:p>
    <w:p w14:paraId="32D40EAC">
      <w:pPr>
        <w:pStyle w:val="2"/>
        <w:bidi w:val="0"/>
      </w:pPr>
      <w:r>
        <w:rPr>
          <w:b/>
          <w:bCs/>
        </w:rPr>
        <w:t>第二条</w:t>
      </w:r>
      <w:r>
        <w:t xml:space="preserve"> 县域商业建设行动项目（以下简称项目）是指按照有关文件要求，经我</w:t>
      </w:r>
      <w:r>
        <w:rPr>
          <w:rFonts w:hint="eastAsia"/>
        </w:rPr>
        <w:t>县</w:t>
      </w:r>
      <w:r>
        <w:t>县域商业建设工作领导小组审核，获得中央专项资金支持引导建设的县域商业建设项目。</w:t>
      </w:r>
    </w:p>
    <w:p w14:paraId="0C43B56E">
      <w:pPr>
        <w:pStyle w:val="2"/>
        <w:bidi w:val="0"/>
      </w:pPr>
      <w:r>
        <w:rPr>
          <w:b/>
          <w:bCs/>
        </w:rPr>
        <w:t>第三条</w:t>
      </w:r>
      <w:r>
        <w:t xml:space="preserve"> </w:t>
      </w:r>
      <w:r>
        <w:rPr>
          <w:rFonts w:hint="eastAsia"/>
        </w:rPr>
        <w:t>县商务和投资促进局</w:t>
      </w:r>
      <w:r>
        <w:t>为项目日常监管的牵头单位，负责及时了解项目进展情况，协调解决项目建设中遇到的困难和问题，督导规范项目建设和资金使用；</w:t>
      </w:r>
      <w:r>
        <w:rPr>
          <w:rFonts w:hint="eastAsia"/>
        </w:rPr>
        <w:t>县商务和投资促进局</w:t>
      </w:r>
      <w:r>
        <w:t>可委托第三方机构协助开展日常监管工作；领导小组其他成员单位结合本部门职能配合开展项目日常监管。</w:t>
      </w:r>
    </w:p>
    <w:p w14:paraId="1C93E161">
      <w:pPr>
        <w:pStyle w:val="2"/>
        <w:bidi w:val="0"/>
      </w:pPr>
      <w:r>
        <w:rPr>
          <w:b/>
          <w:bCs/>
        </w:rPr>
        <w:t>第四条</w:t>
      </w:r>
      <w:r>
        <w:t xml:space="preserve"> 日常监管应严格遵守有关法律、法规和规章制度，遵循科学规范、独立公正、实事求是的原则。</w:t>
      </w:r>
    </w:p>
    <w:p w14:paraId="703A045A">
      <w:pPr>
        <w:pStyle w:val="2"/>
        <w:bidi w:val="0"/>
        <w:rPr>
          <w:rFonts w:ascii="仿宋" w:hAnsi="仿宋" w:eastAsia="仿宋" w:cs="Times New Roman"/>
          <w:szCs w:val="32"/>
        </w:rPr>
      </w:pPr>
      <w:r>
        <w:rPr>
          <w:b/>
          <w:bCs/>
        </w:rPr>
        <w:t>第五条</w:t>
      </w:r>
      <w:r>
        <w:t xml:space="preserve"> 日常监管的主要内容包括但不限于：</w:t>
      </w:r>
    </w:p>
    <w:p w14:paraId="7CC5E0C9">
      <w:pPr>
        <w:pStyle w:val="2"/>
        <w:bidi w:val="0"/>
      </w:pPr>
      <w:r>
        <w:t>（一） 检查项目建设进度，督促项目实施单位按照有关工作要求如期完成项目建设；</w:t>
      </w:r>
    </w:p>
    <w:p w14:paraId="4E4D7508">
      <w:pPr>
        <w:pStyle w:val="2"/>
        <w:bidi w:val="0"/>
      </w:pPr>
      <w:r>
        <w:t>（二） 评估建设内容合规性，确保项目建设手续齐全，建设方向不偏离专项资金支持方向；</w:t>
      </w:r>
    </w:p>
    <w:p w14:paraId="0C8F910C">
      <w:pPr>
        <w:pStyle w:val="2"/>
        <w:bidi w:val="0"/>
      </w:pPr>
      <w:r>
        <w:t>（三） 审核投资支出合理性，规避现金支付、无发票支付、无合同支付等财务不规范情况，核减价格虚高、以旧充新、账实不符的投资；</w:t>
      </w:r>
    </w:p>
    <w:p w14:paraId="7ABC245D">
      <w:pPr>
        <w:pStyle w:val="2"/>
        <w:bidi w:val="0"/>
      </w:pPr>
      <w:r>
        <w:t>（四） 向项目实施单位提供政策咨询服务；</w:t>
      </w:r>
    </w:p>
    <w:p w14:paraId="1ECC0E08">
      <w:pPr>
        <w:pStyle w:val="2"/>
        <w:bidi w:val="0"/>
      </w:pPr>
      <w:r>
        <w:t>（五） 督导项目实施单位完善项目建设、资金使用等档案资料。</w:t>
      </w:r>
    </w:p>
    <w:p w14:paraId="15430155">
      <w:pPr>
        <w:pStyle w:val="2"/>
        <w:bidi w:val="0"/>
      </w:pPr>
      <w:r>
        <w:rPr>
          <w:b/>
          <w:bCs/>
        </w:rPr>
        <w:t>第六条</w:t>
      </w:r>
      <w:r>
        <w:t xml:space="preserve"> 日常监管应综合使用现场检查、召开会议，以及电话、网络等远程通讯方式，全面、及时了解项目建设和资金使用进展情况，并就发现问题提出整改建议。</w:t>
      </w:r>
    </w:p>
    <w:p w14:paraId="4696C4BD">
      <w:pPr>
        <w:pStyle w:val="2"/>
        <w:bidi w:val="0"/>
      </w:pPr>
      <w:r>
        <w:rPr>
          <w:b/>
          <w:bCs/>
        </w:rPr>
        <w:t>第七条</w:t>
      </w:r>
      <w:r>
        <w:t xml:space="preserve"> 项目实施单位应建立项目档案，主动配合有关部门对项目的监督检查，并严格落实月度报告制度，自项目纳入支持计划之日起至项目验收前，项目单位于每月10日前向</w:t>
      </w:r>
      <w:r>
        <w:rPr>
          <w:rFonts w:hint="eastAsia"/>
        </w:rPr>
        <w:t>县商务和投资促进局</w:t>
      </w:r>
      <w:r>
        <w:t>报告项目上月建设和投资进展情况。</w:t>
      </w:r>
    </w:p>
    <w:p w14:paraId="21065C9B">
      <w:pPr>
        <w:pStyle w:val="2"/>
        <w:bidi w:val="0"/>
      </w:pPr>
      <w:r>
        <w:rPr>
          <w:b/>
          <w:bCs/>
        </w:rPr>
        <w:t>第八条</w:t>
      </w:r>
      <w:r>
        <w:t xml:space="preserve"> 广泛接受社会监督，在</w:t>
      </w:r>
      <w:r>
        <w:rPr>
          <w:rFonts w:hint="eastAsia"/>
        </w:rPr>
        <w:t>县</w:t>
      </w:r>
      <w:r>
        <w:t>人民政府网站设置专栏，及时公示工作方案、管理制度</w:t>
      </w:r>
      <w:r>
        <w:rPr>
          <w:rFonts w:hint="eastAsia"/>
        </w:rPr>
        <w:t>、项目申报、</w:t>
      </w:r>
      <w:r>
        <w:t>项目选择、项目进度、</w:t>
      </w:r>
      <w:r>
        <w:rPr>
          <w:rFonts w:hint="eastAsia"/>
        </w:rPr>
        <w:t>验收结果、</w:t>
      </w:r>
      <w:r>
        <w:t>资金</w:t>
      </w:r>
      <w:r>
        <w:rPr>
          <w:rFonts w:hint="eastAsia"/>
        </w:rPr>
        <w:t>安排</w:t>
      </w:r>
      <w:r>
        <w:t>等内容。</w:t>
      </w:r>
    </w:p>
    <w:p w14:paraId="0C1B66E6">
      <w:pPr>
        <w:pStyle w:val="2"/>
        <w:bidi w:val="0"/>
      </w:pPr>
      <w:r>
        <w:rPr>
          <w:b/>
          <w:bCs/>
        </w:rPr>
        <w:t>第九条</w:t>
      </w:r>
      <w:r>
        <w:t xml:space="preserve"> 对上级部门检查、自查等发现的问题，</w:t>
      </w:r>
      <w:r>
        <w:rPr>
          <w:rFonts w:hint="eastAsia"/>
        </w:rPr>
        <w:t>项目实施单位</w:t>
      </w:r>
      <w:r>
        <w:t>制定整改措施，压实整改责任，及时完成整改。对整改推进不力，无法达到整改要求的，启动约谈提醒机制。</w:t>
      </w:r>
    </w:p>
    <w:p w14:paraId="12474F10">
      <w:pPr>
        <w:pStyle w:val="2"/>
        <w:bidi w:val="0"/>
      </w:pPr>
      <w:r>
        <w:rPr>
          <w:b/>
          <w:bCs/>
        </w:rPr>
        <w:t>第十条</w:t>
      </w:r>
      <w:r>
        <w:t xml:space="preserve"> 对日常监管中涉及的国家秘密、商业秘密负有保密义务。未征得项目实施单位同意，不得将项目有关的文件、资料和数据对外提供或发表。</w:t>
      </w:r>
    </w:p>
    <w:p w14:paraId="54B0D38E">
      <w:pPr>
        <w:pStyle w:val="2"/>
        <w:bidi w:val="0"/>
      </w:pPr>
      <w:r>
        <w:rPr>
          <w:b/>
          <w:bCs/>
        </w:rPr>
        <w:t>第十一条</w:t>
      </w:r>
      <w:r>
        <w:t xml:space="preserve"> 严格落实中央八项规定及其实施细则精神，不得向项目单位索取、摊派任何费用，不得收受项目单位赠送的礼金、礼券、购物卡、土特产等财物，不得接受项目单位安排的宴请。</w:t>
      </w:r>
    </w:p>
    <w:p w14:paraId="1EB0D803">
      <w:pPr>
        <w:pStyle w:val="2"/>
        <w:bidi w:val="0"/>
      </w:pPr>
      <w:r>
        <w:rPr>
          <w:b/>
          <w:bCs/>
        </w:rPr>
        <w:t>第十二条</w:t>
      </w:r>
      <w:r>
        <w:t xml:space="preserve"> 相关部门工作人员在项目评审、资金分配、 日常监管、项目验收和绩效评价工作中，存在违规操作、滥用职权、玩忽职守、徇私舞弊等违法违纪行为的，按照《预算法》《公务员法》《行政监察法》《财政违法行为处罚处分条例》等有关规定追究相应责任；涉嫌犯罪的，移送司法机关处理。</w:t>
      </w:r>
    </w:p>
    <w:p w14:paraId="160086B9">
      <w:pPr>
        <w:pStyle w:val="2"/>
        <w:bidi w:val="0"/>
        <w:rPr>
          <w:rFonts w:hint="default"/>
          <w:lang w:val="en-US" w:eastAsia="zh-CN"/>
        </w:rPr>
      </w:pPr>
      <w:r>
        <w:rPr>
          <w:b/>
          <w:bCs/>
        </w:rPr>
        <w:t>第十三条</w:t>
      </w:r>
      <w:r>
        <w:t xml:space="preserve"> 本办法自发文之日起执行，本办法由</w:t>
      </w:r>
      <w:r>
        <w:rPr>
          <w:rFonts w:hint="eastAsia"/>
          <w:lang w:val="en-US" w:eastAsia="zh-CN"/>
        </w:rPr>
        <w:t>乐亭</w:t>
      </w:r>
      <w:bookmarkStart w:id="0" w:name="_GoBack"/>
      <w:bookmarkEnd w:id="0"/>
      <w:r>
        <w:t>县县域商业建设工作领导小组办公室负责解释。</w:t>
      </w:r>
    </w:p>
    <w:sectPr>
      <w:footerReference r:id="rId5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14611D-A101-4E45-8CAE-DDC30C7D19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B5D9242-AE13-4D97-B830-ED3007A2A2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7C10F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1C762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1C762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  <w:docVar w:name="KSO_WPS_MARK_KEY" w:val="7606cf6c-3464-4f10-bd87-2ecb68f07cd6"/>
  </w:docVars>
  <w:rsids>
    <w:rsidRoot w:val="03822181"/>
    <w:rsid w:val="000E5032"/>
    <w:rsid w:val="00B523D0"/>
    <w:rsid w:val="01597AC6"/>
    <w:rsid w:val="020412BC"/>
    <w:rsid w:val="034D4FAC"/>
    <w:rsid w:val="03506364"/>
    <w:rsid w:val="03822181"/>
    <w:rsid w:val="03F10771"/>
    <w:rsid w:val="040D29EB"/>
    <w:rsid w:val="06487FC4"/>
    <w:rsid w:val="09C2162B"/>
    <w:rsid w:val="0BBB4CB7"/>
    <w:rsid w:val="0BC266E6"/>
    <w:rsid w:val="0CC10D4C"/>
    <w:rsid w:val="0D4C671D"/>
    <w:rsid w:val="0D5B72E2"/>
    <w:rsid w:val="0E600BFE"/>
    <w:rsid w:val="0E8C0CC0"/>
    <w:rsid w:val="10684F45"/>
    <w:rsid w:val="10AD4A73"/>
    <w:rsid w:val="10BD6D43"/>
    <w:rsid w:val="11104EB7"/>
    <w:rsid w:val="12542EEC"/>
    <w:rsid w:val="12A20BFD"/>
    <w:rsid w:val="12FE633D"/>
    <w:rsid w:val="154909C7"/>
    <w:rsid w:val="15874067"/>
    <w:rsid w:val="16E4565B"/>
    <w:rsid w:val="173F771B"/>
    <w:rsid w:val="1A0D148E"/>
    <w:rsid w:val="1A3B2DCC"/>
    <w:rsid w:val="1A8945DE"/>
    <w:rsid w:val="1BFC1398"/>
    <w:rsid w:val="1DDF4A85"/>
    <w:rsid w:val="1EF9601E"/>
    <w:rsid w:val="20B902A8"/>
    <w:rsid w:val="21B83210"/>
    <w:rsid w:val="228D2FEF"/>
    <w:rsid w:val="23FB2CE9"/>
    <w:rsid w:val="24CC6E41"/>
    <w:rsid w:val="25592C0B"/>
    <w:rsid w:val="25F77C32"/>
    <w:rsid w:val="26401BA1"/>
    <w:rsid w:val="28D86CC0"/>
    <w:rsid w:val="29985A6B"/>
    <w:rsid w:val="2B613797"/>
    <w:rsid w:val="2BF45594"/>
    <w:rsid w:val="2C4C69EE"/>
    <w:rsid w:val="2EFA2CD4"/>
    <w:rsid w:val="309E28FB"/>
    <w:rsid w:val="359F4B1E"/>
    <w:rsid w:val="38DC547E"/>
    <w:rsid w:val="3BDE6F5C"/>
    <w:rsid w:val="3BFB108D"/>
    <w:rsid w:val="3C7107C2"/>
    <w:rsid w:val="3C9819B3"/>
    <w:rsid w:val="3D002E49"/>
    <w:rsid w:val="3DD6115D"/>
    <w:rsid w:val="41EF4C9A"/>
    <w:rsid w:val="42482A2D"/>
    <w:rsid w:val="44931A11"/>
    <w:rsid w:val="44B311A8"/>
    <w:rsid w:val="45C47161"/>
    <w:rsid w:val="494D0774"/>
    <w:rsid w:val="49776070"/>
    <w:rsid w:val="49A829E9"/>
    <w:rsid w:val="4A68152E"/>
    <w:rsid w:val="4B5B1301"/>
    <w:rsid w:val="50B47FDD"/>
    <w:rsid w:val="511028B2"/>
    <w:rsid w:val="51351216"/>
    <w:rsid w:val="51FD35EF"/>
    <w:rsid w:val="54232926"/>
    <w:rsid w:val="547152A1"/>
    <w:rsid w:val="58594C24"/>
    <w:rsid w:val="592706AB"/>
    <w:rsid w:val="594A373D"/>
    <w:rsid w:val="599B5501"/>
    <w:rsid w:val="5A5F5C79"/>
    <w:rsid w:val="5AAD7730"/>
    <w:rsid w:val="5D1A3259"/>
    <w:rsid w:val="5DA715AF"/>
    <w:rsid w:val="5E172E88"/>
    <w:rsid w:val="5E423FA2"/>
    <w:rsid w:val="63D05A78"/>
    <w:rsid w:val="656444C8"/>
    <w:rsid w:val="66280A14"/>
    <w:rsid w:val="6A40300E"/>
    <w:rsid w:val="6A9B5E45"/>
    <w:rsid w:val="6AC032F3"/>
    <w:rsid w:val="6B48753E"/>
    <w:rsid w:val="6C5F1C91"/>
    <w:rsid w:val="6E334A74"/>
    <w:rsid w:val="707B099E"/>
    <w:rsid w:val="70ED27AD"/>
    <w:rsid w:val="72E6605C"/>
    <w:rsid w:val="73F8335E"/>
    <w:rsid w:val="744322FD"/>
    <w:rsid w:val="75A62930"/>
    <w:rsid w:val="75C56ACD"/>
    <w:rsid w:val="75EF3672"/>
    <w:rsid w:val="78855BF7"/>
    <w:rsid w:val="7DCA76F3"/>
    <w:rsid w:val="7EC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2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4"/>
    <w:qFormat/>
    <w:uiPriority w:val="0"/>
    <w:rPr>
      <w:rFonts w:ascii="楷体" w:hAnsi="楷体" w:eastAsia="楷体" w:cs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自控</cp:lastModifiedBy>
  <cp:lastPrinted>2021-05-22T06:03:00Z</cp:lastPrinted>
  <dcterms:modified xsi:type="dcterms:W3CDTF">2024-08-27T14:55:06Z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2630B0DD82454A1490B5D8952E8132A5</vt:lpwstr>
  </property>
</Properties>
</file>