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7CAB">
      <w:pPr>
        <w:ind w:firstLine="880" w:firstLineChars="200"/>
        <w:jc w:val="center"/>
        <w:rPr>
          <w:rFonts w:ascii="方正小标宋简体" w:hAnsi="宋体" w:eastAsia="方正小标宋简体"/>
          <w:sz w:val="44"/>
          <w:szCs w:val="44"/>
        </w:rPr>
      </w:pPr>
      <w:r>
        <w:rPr>
          <w:rFonts w:hint="eastAsia" w:ascii="方正小标宋简体" w:hAnsi="宋体" w:eastAsia="方正小标宋简体"/>
          <w:sz w:val="44"/>
          <w:szCs w:val="44"/>
        </w:rPr>
        <w:t>2021年度部门绩效自评情况统计表</w:t>
      </w:r>
    </w:p>
    <w:p w14:paraId="78024D6E">
      <w:pPr>
        <w:rPr>
          <w:rFonts w:hint="default" w:ascii="宋体" w:hAnsi="宋体" w:eastAsia="宋体"/>
          <w:sz w:val="28"/>
          <w:szCs w:val="28"/>
          <w:lang w:val="en-US" w:eastAsia="zh-CN"/>
        </w:rPr>
      </w:pPr>
      <w:r>
        <w:rPr>
          <w:rFonts w:hint="eastAsia" w:ascii="宋体" w:hAnsi="宋体"/>
          <w:sz w:val="28"/>
          <w:szCs w:val="28"/>
        </w:rPr>
        <w:t xml:space="preserve">填报单位：   </w:t>
      </w:r>
      <w:r>
        <w:rPr>
          <w:rFonts w:hint="eastAsia" w:ascii="宋体" w:hAnsi="宋体"/>
          <w:sz w:val="28"/>
          <w:szCs w:val="28"/>
          <w:lang w:val="en-US" w:eastAsia="zh-CN"/>
        </w:rPr>
        <w:t>县委网信办</w:t>
      </w:r>
      <w:r>
        <w:rPr>
          <w:rFonts w:hint="eastAsia" w:ascii="宋体" w:hAnsi="宋体"/>
          <w:sz w:val="28"/>
          <w:szCs w:val="28"/>
        </w:rPr>
        <w:t xml:space="preserve">            填报时间：</w:t>
      </w:r>
      <w:r>
        <w:rPr>
          <w:rFonts w:hint="eastAsia" w:ascii="宋体" w:hAnsi="宋体"/>
          <w:sz w:val="28"/>
          <w:szCs w:val="28"/>
          <w:lang w:val="en-US" w:eastAsia="zh-CN"/>
        </w:rPr>
        <w:t>2022.3.5</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164"/>
        <w:gridCol w:w="1559"/>
        <w:gridCol w:w="1170"/>
        <w:gridCol w:w="1631"/>
      </w:tblGrid>
      <w:tr w14:paraId="20AC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94" w:type="dxa"/>
            <w:gridSpan w:val="2"/>
            <w:shd w:val="clear" w:color="auto" w:fill="auto"/>
          </w:tcPr>
          <w:p w14:paraId="79EA6748">
            <w:pPr>
              <w:jc w:val="center"/>
              <w:rPr>
                <w:rFonts w:ascii="宋体" w:hAnsi="宋体"/>
                <w:sz w:val="28"/>
                <w:szCs w:val="28"/>
              </w:rPr>
            </w:pPr>
            <w:r>
              <w:rPr>
                <w:rFonts w:hint="eastAsia" w:ascii="宋体" w:hAnsi="宋体"/>
                <w:sz w:val="28"/>
                <w:szCs w:val="28"/>
              </w:rPr>
              <w:t>统计内容</w:t>
            </w:r>
          </w:p>
        </w:tc>
        <w:tc>
          <w:tcPr>
            <w:tcW w:w="1559" w:type="dxa"/>
            <w:shd w:val="clear" w:color="auto" w:fill="auto"/>
          </w:tcPr>
          <w:p w14:paraId="4634AA4E">
            <w:pPr>
              <w:jc w:val="center"/>
              <w:rPr>
                <w:rFonts w:ascii="宋体" w:hAnsi="宋体"/>
                <w:sz w:val="28"/>
                <w:szCs w:val="28"/>
              </w:rPr>
            </w:pPr>
            <w:r>
              <w:rPr>
                <w:rFonts w:hint="eastAsia" w:ascii="宋体" w:hAnsi="宋体"/>
                <w:sz w:val="28"/>
                <w:szCs w:val="28"/>
              </w:rPr>
              <w:t>应评价数</w:t>
            </w:r>
          </w:p>
        </w:tc>
        <w:tc>
          <w:tcPr>
            <w:tcW w:w="2801" w:type="dxa"/>
            <w:gridSpan w:val="2"/>
            <w:shd w:val="clear" w:color="auto" w:fill="auto"/>
          </w:tcPr>
          <w:p w14:paraId="1A67712D">
            <w:pPr>
              <w:jc w:val="center"/>
              <w:rPr>
                <w:rFonts w:ascii="宋体" w:hAnsi="宋体"/>
                <w:sz w:val="28"/>
                <w:szCs w:val="28"/>
              </w:rPr>
            </w:pPr>
            <w:r>
              <w:rPr>
                <w:rFonts w:hint="eastAsia" w:ascii="宋体" w:hAnsi="宋体"/>
                <w:sz w:val="28"/>
                <w:szCs w:val="28"/>
              </w:rPr>
              <w:t>已评价数</w:t>
            </w:r>
          </w:p>
        </w:tc>
      </w:tr>
      <w:tr w14:paraId="4AA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shd w:val="clear" w:color="auto" w:fill="auto"/>
          </w:tcPr>
          <w:p w14:paraId="60EC2CD6">
            <w:pPr>
              <w:jc w:val="center"/>
              <w:rPr>
                <w:rFonts w:ascii="宋体" w:hAnsi="宋体"/>
                <w:sz w:val="28"/>
                <w:szCs w:val="28"/>
              </w:rPr>
            </w:pPr>
            <w:r>
              <w:rPr>
                <w:rFonts w:hint="eastAsia" w:ascii="宋体" w:hAnsi="宋体"/>
                <w:sz w:val="28"/>
                <w:szCs w:val="28"/>
              </w:rPr>
              <w:t>预算项目数量（个）</w:t>
            </w:r>
          </w:p>
        </w:tc>
        <w:tc>
          <w:tcPr>
            <w:tcW w:w="1559" w:type="dxa"/>
            <w:shd w:val="clear" w:color="auto" w:fill="auto"/>
          </w:tcPr>
          <w:p w14:paraId="37C2C20F">
            <w:pPr>
              <w:jc w:val="center"/>
              <w:rPr>
                <w:rFonts w:hint="eastAsia" w:ascii="宋体" w:hAnsi="宋体" w:eastAsia="宋体"/>
                <w:sz w:val="28"/>
                <w:szCs w:val="28"/>
                <w:lang w:val="en-US" w:eastAsia="zh-CN"/>
              </w:rPr>
            </w:pPr>
            <w:r>
              <w:rPr>
                <w:rFonts w:hint="eastAsia" w:ascii="宋体" w:hAnsi="宋体"/>
                <w:sz w:val="28"/>
                <w:szCs w:val="28"/>
                <w:lang w:val="en-US" w:eastAsia="zh-CN"/>
              </w:rPr>
              <w:t>3</w:t>
            </w:r>
          </w:p>
        </w:tc>
        <w:tc>
          <w:tcPr>
            <w:tcW w:w="2801" w:type="dxa"/>
            <w:gridSpan w:val="2"/>
            <w:shd w:val="clear" w:color="auto" w:fill="auto"/>
          </w:tcPr>
          <w:p w14:paraId="2062DC77">
            <w:pPr>
              <w:jc w:val="center"/>
              <w:rPr>
                <w:rFonts w:hint="eastAsia" w:ascii="宋体" w:hAnsi="宋体" w:eastAsia="宋体"/>
                <w:sz w:val="28"/>
                <w:szCs w:val="28"/>
                <w:lang w:val="en-US" w:eastAsia="zh-CN"/>
              </w:rPr>
            </w:pPr>
            <w:r>
              <w:rPr>
                <w:rFonts w:hint="eastAsia" w:ascii="宋体" w:hAnsi="宋体"/>
                <w:sz w:val="28"/>
                <w:szCs w:val="28"/>
                <w:lang w:val="en-US" w:eastAsia="zh-CN"/>
              </w:rPr>
              <w:t>3</w:t>
            </w:r>
          </w:p>
        </w:tc>
      </w:tr>
      <w:tr w14:paraId="1442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shd w:val="clear" w:color="auto" w:fill="auto"/>
          </w:tcPr>
          <w:p w14:paraId="0EA0B26C">
            <w:pPr>
              <w:jc w:val="center"/>
              <w:rPr>
                <w:rFonts w:ascii="宋体" w:hAnsi="宋体"/>
                <w:sz w:val="28"/>
                <w:szCs w:val="28"/>
              </w:rPr>
            </w:pPr>
            <w:r>
              <w:rPr>
                <w:rFonts w:hint="eastAsia" w:ascii="宋体" w:hAnsi="宋体"/>
                <w:sz w:val="28"/>
                <w:szCs w:val="28"/>
              </w:rPr>
              <w:t>资金量（万元）</w:t>
            </w:r>
          </w:p>
        </w:tc>
        <w:tc>
          <w:tcPr>
            <w:tcW w:w="2164" w:type="dxa"/>
            <w:shd w:val="clear" w:color="auto" w:fill="auto"/>
          </w:tcPr>
          <w:p w14:paraId="6E097FC1">
            <w:pPr>
              <w:jc w:val="center"/>
              <w:rPr>
                <w:rFonts w:ascii="宋体" w:hAnsi="宋体"/>
                <w:sz w:val="28"/>
                <w:szCs w:val="28"/>
              </w:rPr>
            </w:pPr>
            <w:r>
              <w:rPr>
                <w:rFonts w:hint="eastAsia" w:ascii="宋体" w:hAnsi="宋体"/>
                <w:sz w:val="28"/>
                <w:szCs w:val="28"/>
              </w:rPr>
              <w:t>其中：中央资金</w:t>
            </w:r>
          </w:p>
        </w:tc>
        <w:tc>
          <w:tcPr>
            <w:tcW w:w="1559" w:type="dxa"/>
            <w:shd w:val="clear" w:color="auto" w:fill="auto"/>
          </w:tcPr>
          <w:p w14:paraId="79E913FD">
            <w:pPr>
              <w:jc w:val="center"/>
              <w:rPr>
                <w:rFonts w:ascii="宋体" w:hAnsi="宋体"/>
                <w:sz w:val="28"/>
                <w:szCs w:val="28"/>
              </w:rPr>
            </w:pPr>
          </w:p>
        </w:tc>
        <w:tc>
          <w:tcPr>
            <w:tcW w:w="2801" w:type="dxa"/>
            <w:gridSpan w:val="2"/>
            <w:shd w:val="clear" w:color="auto" w:fill="auto"/>
          </w:tcPr>
          <w:p w14:paraId="49B41153">
            <w:pPr>
              <w:jc w:val="center"/>
              <w:rPr>
                <w:rFonts w:ascii="宋体" w:hAnsi="宋体"/>
                <w:sz w:val="28"/>
                <w:szCs w:val="28"/>
              </w:rPr>
            </w:pPr>
          </w:p>
        </w:tc>
      </w:tr>
      <w:tr w14:paraId="19FA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tcPr>
          <w:p w14:paraId="18E8B475">
            <w:pPr>
              <w:jc w:val="center"/>
              <w:rPr>
                <w:rFonts w:ascii="宋体" w:hAnsi="宋体"/>
                <w:sz w:val="28"/>
                <w:szCs w:val="28"/>
              </w:rPr>
            </w:pPr>
          </w:p>
        </w:tc>
        <w:tc>
          <w:tcPr>
            <w:tcW w:w="2164" w:type="dxa"/>
            <w:shd w:val="clear" w:color="auto" w:fill="auto"/>
          </w:tcPr>
          <w:p w14:paraId="58236815">
            <w:pPr>
              <w:jc w:val="center"/>
              <w:rPr>
                <w:rFonts w:ascii="宋体" w:hAnsi="宋体"/>
                <w:sz w:val="28"/>
                <w:szCs w:val="28"/>
              </w:rPr>
            </w:pPr>
            <w:r>
              <w:rPr>
                <w:rFonts w:hint="eastAsia" w:ascii="宋体" w:hAnsi="宋体"/>
                <w:sz w:val="28"/>
                <w:szCs w:val="28"/>
              </w:rPr>
              <w:t>省级资金</w:t>
            </w:r>
          </w:p>
        </w:tc>
        <w:tc>
          <w:tcPr>
            <w:tcW w:w="1559" w:type="dxa"/>
            <w:shd w:val="clear" w:color="auto" w:fill="auto"/>
          </w:tcPr>
          <w:p w14:paraId="0251639A">
            <w:pPr>
              <w:jc w:val="center"/>
              <w:rPr>
                <w:rFonts w:ascii="宋体" w:hAnsi="宋体"/>
                <w:sz w:val="28"/>
                <w:szCs w:val="28"/>
              </w:rPr>
            </w:pPr>
          </w:p>
        </w:tc>
        <w:tc>
          <w:tcPr>
            <w:tcW w:w="2801" w:type="dxa"/>
            <w:gridSpan w:val="2"/>
            <w:shd w:val="clear" w:color="auto" w:fill="auto"/>
          </w:tcPr>
          <w:p w14:paraId="6516863D">
            <w:pPr>
              <w:jc w:val="center"/>
              <w:rPr>
                <w:rFonts w:ascii="宋体" w:hAnsi="宋体"/>
                <w:sz w:val="28"/>
                <w:szCs w:val="28"/>
              </w:rPr>
            </w:pPr>
          </w:p>
        </w:tc>
      </w:tr>
      <w:tr w14:paraId="6526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shd w:val="clear" w:color="auto" w:fill="auto"/>
          </w:tcPr>
          <w:p w14:paraId="3FE7106C">
            <w:pPr>
              <w:jc w:val="center"/>
              <w:rPr>
                <w:rFonts w:ascii="宋体" w:hAnsi="宋体"/>
                <w:sz w:val="28"/>
                <w:szCs w:val="28"/>
              </w:rPr>
            </w:pPr>
          </w:p>
        </w:tc>
        <w:tc>
          <w:tcPr>
            <w:tcW w:w="2164" w:type="dxa"/>
            <w:shd w:val="clear" w:color="auto" w:fill="auto"/>
          </w:tcPr>
          <w:p w14:paraId="2A0BD070">
            <w:pPr>
              <w:jc w:val="center"/>
              <w:rPr>
                <w:rFonts w:ascii="宋体" w:hAnsi="宋体"/>
                <w:sz w:val="28"/>
                <w:szCs w:val="28"/>
              </w:rPr>
            </w:pPr>
            <w:r>
              <w:rPr>
                <w:rFonts w:hint="eastAsia" w:ascii="宋体" w:hAnsi="宋体"/>
                <w:sz w:val="28"/>
                <w:szCs w:val="28"/>
              </w:rPr>
              <w:t>县级资金</w:t>
            </w:r>
          </w:p>
        </w:tc>
        <w:tc>
          <w:tcPr>
            <w:tcW w:w="1559" w:type="dxa"/>
            <w:shd w:val="clear" w:color="auto" w:fill="auto"/>
          </w:tcPr>
          <w:p w14:paraId="68BE9D35">
            <w:pPr>
              <w:jc w:val="center"/>
              <w:rPr>
                <w:rFonts w:hint="default" w:ascii="宋体" w:hAnsi="宋体" w:eastAsia="宋体"/>
                <w:sz w:val="28"/>
                <w:szCs w:val="28"/>
                <w:lang w:val="en-US" w:eastAsia="zh-CN"/>
              </w:rPr>
            </w:pPr>
            <w:r>
              <w:rPr>
                <w:rFonts w:hint="eastAsia" w:ascii="宋体" w:hAnsi="宋体"/>
                <w:sz w:val="28"/>
                <w:szCs w:val="28"/>
                <w:lang w:val="en-US" w:eastAsia="zh-CN"/>
              </w:rPr>
              <w:t>87</w:t>
            </w:r>
          </w:p>
        </w:tc>
        <w:tc>
          <w:tcPr>
            <w:tcW w:w="2801" w:type="dxa"/>
            <w:gridSpan w:val="2"/>
            <w:shd w:val="clear" w:color="auto" w:fill="auto"/>
          </w:tcPr>
          <w:p w14:paraId="27A443FE">
            <w:pPr>
              <w:jc w:val="center"/>
              <w:rPr>
                <w:rFonts w:hint="default" w:ascii="宋体" w:hAnsi="宋体" w:eastAsia="宋体"/>
                <w:sz w:val="28"/>
                <w:szCs w:val="28"/>
                <w:lang w:val="en-US" w:eastAsia="zh-CN"/>
              </w:rPr>
            </w:pPr>
            <w:r>
              <w:rPr>
                <w:rFonts w:hint="eastAsia" w:ascii="宋体" w:hAnsi="宋体"/>
                <w:sz w:val="28"/>
                <w:szCs w:val="28"/>
                <w:lang w:val="en-US" w:eastAsia="zh-CN"/>
              </w:rPr>
              <w:t>87</w:t>
            </w:r>
          </w:p>
        </w:tc>
      </w:tr>
      <w:tr w14:paraId="2B1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restart"/>
            <w:shd w:val="clear" w:color="auto" w:fill="auto"/>
          </w:tcPr>
          <w:p w14:paraId="5601CD79">
            <w:pPr>
              <w:jc w:val="center"/>
              <w:rPr>
                <w:rFonts w:ascii="宋体" w:hAnsi="宋体"/>
                <w:sz w:val="28"/>
                <w:szCs w:val="28"/>
              </w:rPr>
            </w:pPr>
          </w:p>
          <w:p w14:paraId="76E2FD47">
            <w:pPr>
              <w:jc w:val="center"/>
              <w:rPr>
                <w:rFonts w:ascii="宋体" w:hAnsi="宋体"/>
                <w:sz w:val="28"/>
                <w:szCs w:val="28"/>
              </w:rPr>
            </w:pPr>
          </w:p>
          <w:p w14:paraId="4C64EAAB">
            <w:pPr>
              <w:jc w:val="center"/>
              <w:rPr>
                <w:rFonts w:ascii="宋体" w:hAnsi="宋体"/>
                <w:sz w:val="28"/>
                <w:szCs w:val="28"/>
              </w:rPr>
            </w:pPr>
          </w:p>
          <w:p w14:paraId="01F3B29F">
            <w:pPr>
              <w:jc w:val="center"/>
              <w:rPr>
                <w:rFonts w:ascii="宋体" w:hAnsi="宋体"/>
                <w:sz w:val="28"/>
                <w:szCs w:val="28"/>
              </w:rPr>
            </w:pPr>
          </w:p>
          <w:p w14:paraId="114FA50D">
            <w:pPr>
              <w:rPr>
                <w:rFonts w:ascii="宋体" w:hAnsi="宋体"/>
                <w:sz w:val="28"/>
                <w:szCs w:val="28"/>
              </w:rPr>
            </w:pPr>
            <w:r>
              <w:rPr>
                <w:rFonts w:hint="eastAsia" w:ascii="宋体" w:hAnsi="宋体"/>
                <w:sz w:val="28"/>
                <w:szCs w:val="28"/>
              </w:rPr>
              <w:t>评价指标（二级指标个数）</w:t>
            </w:r>
          </w:p>
        </w:tc>
        <w:tc>
          <w:tcPr>
            <w:tcW w:w="1559" w:type="dxa"/>
            <w:vMerge w:val="restart"/>
            <w:shd w:val="clear" w:color="auto" w:fill="auto"/>
          </w:tcPr>
          <w:p w14:paraId="300BB0C9">
            <w:pPr>
              <w:jc w:val="center"/>
              <w:rPr>
                <w:rFonts w:hint="default" w:ascii="宋体" w:hAnsi="宋体" w:eastAsia="宋体"/>
                <w:sz w:val="28"/>
                <w:szCs w:val="28"/>
                <w:lang w:val="en-US" w:eastAsia="zh-CN"/>
              </w:rPr>
            </w:pPr>
            <w:r>
              <w:rPr>
                <w:rFonts w:hint="eastAsia" w:ascii="宋体" w:hAnsi="宋体"/>
                <w:sz w:val="28"/>
                <w:szCs w:val="28"/>
                <w:lang w:val="en-US" w:eastAsia="zh-CN"/>
              </w:rPr>
              <w:t>23</w:t>
            </w:r>
          </w:p>
        </w:tc>
        <w:tc>
          <w:tcPr>
            <w:tcW w:w="1170" w:type="dxa"/>
            <w:shd w:val="clear" w:color="auto" w:fill="auto"/>
          </w:tcPr>
          <w:p w14:paraId="2F62D500">
            <w:pPr>
              <w:jc w:val="center"/>
              <w:rPr>
                <w:rFonts w:ascii="宋体" w:hAnsi="宋体"/>
                <w:sz w:val="28"/>
                <w:szCs w:val="28"/>
              </w:rPr>
            </w:pPr>
            <w:r>
              <w:rPr>
                <w:rFonts w:hint="eastAsia" w:ascii="宋体" w:hAnsi="宋体"/>
                <w:sz w:val="28"/>
                <w:szCs w:val="28"/>
              </w:rPr>
              <w:t>其中：优</w:t>
            </w:r>
          </w:p>
        </w:tc>
        <w:tc>
          <w:tcPr>
            <w:tcW w:w="1631" w:type="dxa"/>
            <w:shd w:val="clear" w:color="auto" w:fill="auto"/>
          </w:tcPr>
          <w:p w14:paraId="5140A0A9">
            <w:pPr>
              <w:jc w:val="center"/>
              <w:rPr>
                <w:rFonts w:hint="default" w:ascii="宋体" w:hAnsi="宋体" w:eastAsia="宋体"/>
                <w:sz w:val="28"/>
                <w:szCs w:val="28"/>
                <w:lang w:val="en-US" w:eastAsia="zh-CN"/>
              </w:rPr>
            </w:pPr>
            <w:r>
              <w:rPr>
                <w:rFonts w:hint="eastAsia" w:ascii="宋体" w:hAnsi="宋体"/>
                <w:sz w:val="28"/>
                <w:szCs w:val="28"/>
                <w:lang w:val="en-US" w:eastAsia="zh-CN"/>
              </w:rPr>
              <w:t>23</w:t>
            </w:r>
          </w:p>
        </w:tc>
      </w:tr>
      <w:tr w14:paraId="11D2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shd w:val="clear" w:color="auto" w:fill="auto"/>
          </w:tcPr>
          <w:p w14:paraId="60306973">
            <w:pPr>
              <w:jc w:val="center"/>
              <w:rPr>
                <w:rFonts w:ascii="宋体" w:hAnsi="宋体"/>
                <w:sz w:val="28"/>
                <w:szCs w:val="28"/>
              </w:rPr>
            </w:pPr>
          </w:p>
        </w:tc>
        <w:tc>
          <w:tcPr>
            <w:tcW w:w="1559" w:type="dxa"/>
            <w:vMerge w:val="continue"/>
            <w:shd w:val="clear" w:color="auto" w:fill="auto"/>
          </w:tcPr>
          <w:p w14:paraId="68D1496B">
            <w:pPr>
              <w:jc w:val="center"/>
              <w:rPr>
                <w:rFonts w:ascii="宋体" w:hAnsi="宋体"/>
                <w:sz w:val="28"/>
                <w:szCs w:val="28"/>
              </w:rPr>
            </w:pPr>
          </w:p>
        </w:tc>
        <w:tc>
          <w:tcPr>
            <w:tcW w:w="1170" w:type="dxa"/>
            <w:shd w:val="clear" w:color="auto" w:fill="auto"/>
          </w:tcPr>
          <w:p w14:paraId="13785FD7">
            <w:pPr>
              <w:jc w:val="center"/>
              <w:rPr>
                <w:rFonts w:ascii="宋体" w:hAnsi="宋体"/>
                <w:sz w:val="28"/>
                <w:szCs w:val="28"/>
              </w:rPr>
            </w:pPr>
            <w:r>
              <w:rPr>
                <w:rFonts w:hint="eastAsia" w:ascii="宋体" w:hAnsi="宋体"/>
                <w:sz w:val="28"/>
                <w:szCs w:val="28"/>
              </w:rPr>
              <w:t xml:space="preserve">      良</w:t>
            </w:r>
          </w:p>
        </w:tc>
        <w:tc>
          <w:tcPr>
            <w:tcW w:w="1631" w:type="dxa"/>
            <w:shd w:val="clear" w:color="auto" w:fill="auto"/>
          </w:tcPr>
          <w:p w14:paraId="11C0EC61">
            <w:pPr>
              <w:jc w:val="center"/>
              <w:rPr>
                <w:rFonts w:ascii="宋体" w:hAnsi="宋体"/>
                <w:sz w:val="28"/>
                <w:szCs w:val="28"/>
              </w:rPr>
            </w:pPr>
          </w:p>
        </w:tc>
      </w:tr>
      <w:tr w14:paraId="224E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tcPr>
          <w:p w14:paraId="4A502DFE">
            <w:pPr>
              <w:jc w:val="center"/>
              <w:rPr>
                <w:rFonts w:ascii="宋体" w:hAnsi="宋体"/>
                <w:sz w:val="28"/>
                <w:szCs w:val="28"/>
              </w:rPr>
            </w:pPr>
          </w:p>
        </w:tc>
        <w:tc>
          <w:tcPr>
            <w:tcW w:w="1559" w:type="dxa"/>
            <w:vMerge w:val="continue"/>
            <w:shd w:val="clear" w:color="auto" w:fill="auto"/>
          </w:tcPr>
          <w:p w14:paraId="6AB4E767">
            <w:pPr>
              <w:jc w:val="center"/>
              <w:rPr>
                <w:rFonts w:ascii="宋体" w:hAnsi="宋体"/>
                <w:sz w:val="28"/>
                <w:szCs w:val="28"/>
              </w:rPr>
            </w:pPr>
          </w:p>
        </w:tc>
        <w:tc>
          <w:tcPr>
            <w:tcW w:w="1170" w:type="dxa"/>
            <w:shd w:val="clear" w:color="auto" w:fill="auto"/>
          </w:tcPr>
          <w:p w14:paraId="1E0D3818">
            <w:pPr>
              <w:jc w:val="center"/>
              <w:rPr>
                <w:rFonts w:ascii="宋体" w:hAnsi="宋体"/>
                <w:sz w:val="28"/>
                <w:szCs w:val="28"/>
              </w:rPr>
            </w:pPr>
            <w:r>
              <w:rPr>
                <w:rFonts w:hint="eastAsia" w:ascii="宋体" w:hAnsi="宋体"/>
                <w:sz w:val="28"/>
                <w:szCs w:val="28"/>
              </w:rPr>
              <w:t xml:space="preserve">      中</w:t>
            </w:r>
          </w:p>
        </w:tc>
        <w:tc>
          <w:tcPr>
            <w:tcW w:w="1631" w:type="dxa"/>
            <w:shd w:val="clear" w:color="auto" w:fill="auto"/>
          </w:tcPr>
          <w:p w14:paraId="094432D0">
            <w:pPr>
              <w:jc w:val="center"/>
              <w:rPr>
                <w:rFonts w:ascii="宋体" w:hAnsi="宋体"/>
                <w:sz w:val="28"/>
                <w:szCs w:val="28"/>
              </w:rPr>
            </w:pPr>
          </w:p>
        </w:tc>
      </w:tr>
      <w:tr w14:paraId="25C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94" w:type="dxa"/>
            <w:gridSpan w:val="2"/>
            <w:vMerge w:val="continue"/>
            <w:shd w:val="clear" w:color="auto" w:fill="auto"/>
          </w:tcPr>
          <w:p w14:paraId="40DC8C7A">
            <w:pPr>
              <w:jc w:val="center"/>
              <w:rPr>
                <w:rFonts w:ascii="宋体" w:hAnsi="宋体"/>
                <w:sz w:val="28"/>
                <w:szCs w:val="28"/>
              </w:rPr>
            </w:pPr>
          </w:p>
        </w:tc>
        <w:tc>
          <w:tcPr>
            <w:tcW w:w="1559" w:type="dxa"/>
            <w:vMerge w:val="continue"/>
            <w:shd w:val="clear" w:color="auto" w:fill="auto"/>
          </w:tcPr>
          <w:p w14:paraId="5EB62F98">
            <w:pPr>
              <w:jc w:val="center"/>
              <w:rPr>
                <w:rFonts w:ascii="宋体" w:hAnsi="宋体"/>
                <w:sz w:val="28"/>
                <w:szCs w:val="28"/>
              </w:rPr>
            </w:pPr>
          </w:p>
        </w:tc>
        <w:tc>
          <w:tcPr>
            <w:tcW w:w="1170" w:type="dxa"/>
            <w:shd w:val="clear" w:color="auto" w:fill="auto"/>
          </w:tcPr>
          <w:p w14:paraId="7C68E2F9">
            <w:pPr>
              <w:jc w:val="center"/>
              <w:rPr>
                <w:rFonts w:ascii="宋体" w:hAnsi="宋体"/>
                <w:sz w:val="28"/>
                <w:szCs w:val="28"/>
              </w:rPr>
            </w:pPr>
            <w:r>
              <w:rPr>
                <w:rFonts w:hint="eastAsia" w:ascii="宋体" w:hAnsi="宋体"/>
                <w:sz w:val="28"/>
                <w:szCs w:val="28"/>
              </w:rPr>
              <w:t xml:space="preserve">      差</w:t>
            </w:r>
          </w:p>
        </w:tc>
        <w:tc>
          <w:tcPr>
            <w:tcW w:w="1631" w:type="dxa"/>
            <w:shd w:val="clear" w:color="auto" w:fill="auto"/>
          </w:tcPr>
          <w:p w14:paraId="2BF948EE">
            <w:pPr>
              <w:jc w:val="center"/>
              <w:rPr>
                <w:rFonts w:ascii="宋体" w:hAnsi="宋体"/>
                <w:sz w:val="28"/>
                <w:szCs w:val="28"/>
              </w:rPr>
            </w:pPr>
          </w:p>
        </w:tc>
      </w:tr>
    </w:tbl>
    <w:p w14:paraId="7B89A888">
      <w:pPr>
        <w:ind w:firstLine="880" w:firstLineChars="200"/>
        <w:jc w:val="center"/>
        <w:rPr>
          <w:rFonts w:ascii="方正小标宋简体" w:hAnsi="宋体" w:eastAsia="方正小标宋简体"/>
          <w:sz w:val="44"/>
          <w:szCs w:val="44"/>
        </w:rPr>
      </w:pPr>
    </w:p>
    <w:p w14:paraId="1D03DDD6">
      <w:pPr>
        <w:ind w:firstLine="880" w:firstLineChars="200"/>
        <w:jc w:val="center"/>
        <w:rPr>
          <w:rFonts w:ascii="方正小标宋简体" w:hAnsi="宋体" w:eastAsia="方正小标宋简体"/>
          <w:sz w:val="44"/>
          <w:szCs w:val="44"/>
        </w:rPr>
      </w:pPr>
    </w:p>
    <w:p w14:paraId="31612978">
      <w:pPr>
        <w:ind w:firstLine="880" w:firstLineChars="200"/>
        <w:jc w:val="center"/>
        <w:rPr>
          <w:rFonts w:ascii="方正小标宋简体" w:hAnsi="宋体" w:eastAsia="方正小标宋简体"/>
          <w:sz w:val="44"/>
          <w:szCs w:val="44"/>
        </w:rPr>
      </w:pPr>
    </w:p>
    <w:p w14:paraId="31EA4872">
      <w:pPr>
        <w:ind w:firstLine="563" w:firstLineChars="128"/>
        <w:jc w:val="center"/>
        <w:rPr>
          <w:rFonts w:ascii="方正小标宋简体" w:hAnsi="宋体" w:eastAsia="方正小标宋简体"/>
          <w:sz w:val="44"/>
          <w:szCs w:val="44"/>
        </w:rPr>
      </w:pPr>
    </w:p>
    <w:p w14:paraId="1027FC1E">
      <w:pPr>
        <w:jc w:val="center"/>
        <w:rPr>
          <w:rFonts w:hint="default" w:eastAsia="方正小标宋_GBK"/>
          <w:sz w:val="72"/>
          <w:szCs w:val="72"/>
          <w:lang w:val="en-US" w:eastAsia="zh-CN"/>
        </w:rPr>
      </w:pPr>
      <w:r>
        <w:rPr>
          <w:rFonts w:hint="eastAsia" w:ascii="方正小标宋_GBK" w:hAnsi="方正小标宋_GBK" w:eastAsia="方正小标宋_GBK" w:cs="方正小标宋_GBK"/>
          <w:sz w:val="72"/>
          <w:szCs w:val="72"/>
          <w:lang w:val="en-US" w:eastAsia="zh-CN"/>
        </w:rPr>
        <w:t>县委网信办</w:t>
      </w:r>
    </w:p>
    <w:p w14:paraId="7D92DC5E">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2021</w:t>
      </w:r>
      <w:r>
        <w:rPr>
          <w:rFonts w:hint="eastAsia" w:ascii="方正小标宋_GBK" w:hAnsi="方正小标宋_GBK" w:eastAsia="方正小标宋_GBK" w:cs="方正小标宋_GBK"/>
          <w:sz w:val="72"/>
          <w:szCs w:val="72"/>
        </w:rPr>
        <w:t>年预算项目绩效</w:t>
      </w:r>
    </w:p>
    <w:p w14:paraId="44AF4B67">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评价报告</w:t>
      </w:r>
    </w:p>
    <w:p w14:paraId="1AE114C1">
      <w:pPr>
        <w:rPr>
          <w:rFonts w:eastAsia="仿宋"/>
        </w:rPr>
      </w:pPr>
    </w:p>
    <w:p w14:paraId="6FD1E262">
      <w:pPr>
        <w:rPr>
          <w:rFonts w:eastAsia="仿宋"/>
        </w:rPr>
      </w:pPr>
    </w:p>
    <w:p w14:paraId="6F563D48">
      <w:pPr>
        <w:rPr>
          <w:rFonts w:eastAsia="仿宋"/>
        </w:rPr>
      </w:pPr>
    </w:p>
    <w:p w14:paraId="620DF73A">
      <w:pPr>
        <w:rPr>
          <w:rFonts w:eastAsia="仿宋"/>
        </w:rPr>
      </w:pPr>
    </w:p>
    <w:p w14:paraId="0DC925FB">
      <w:pPr>
        <w:rPr>
          <w:rFonts w:eastAsia="仿宋"/>
        </w:rPr>
      </w:pPr>
    </w:p>
    <w:p w14:paraId="23646A30">
      <w:pPr>
        <w:ind w:firstLine="1920" w:firstLineChars="600"/>
        <w:rPr>
          <w:rFonts w:eastAsia="仿宋"/>
          <w:sz w:val="32"/>
          <w:szCs w:val="32"/>
        </w:rPr>
      </w:pPr>
    </w:p>
    <w:p w14:paraId="23CA1956">
      <w:pPr>
        <w:ind w:firstLine="1920" w:firstLineChars="600"/>
        <w:rPr>
          <w:rFonts w:eastAsia="仿宋"/>
          <w:sz w:val="32"/>
          <w:szCs w:val="32"/>
        </w:rPr>
      </w:pPr>
    </w:p>
    <w:p w14:paraId="585FAB7B">
      <w:pPr>
        <w:ind w:firstLine="1920" w:firstLineChars="600"/>
        <w:rPr>
          <w:rFonts w:eastAsia="仿宋"/>
          <w:sz w:val="32"/>
          <w:szCs w:val="32"/>
        </w:rPr>
      </w:pPr>
    </w:p>
    <w:p w14:paraId="1118C6D1">
      <w:pPr>
        <w:ind w:firstLine="1920" w:firstLineChars="600"/>
        <w:rPr>
          <w:rFonts w:eastAsia="仿宋"/>
          <w:sz w:val="32"/>
          <w:szCs w:val="32"/>
        </w:rPr>
      </w:pPr>
    </w:p>
    <w:p w14:paraId="2B343941">
      <w:pPr>
        <w:ind w:firstLine="1920" w:firstLineChars="600"/>
        <w:rPr>
          <w:rFonts w:eastAsia="仿宋"/>
          <w:sz w:val="32"/>
          <w:szCs w:val="32"/>
        </w:rPr>
      </w:pPr>
    </w:p>
    <w:p w14:paraId="610F77E5">
      <w:pPr>
        <w:ind w:firstLine="1920" w:firstLineChars="600"/>
        <w:rPr>
          <w:rFonts w:eastAsia="仿宋"/>
          <w:sz w:val="32"/>
          <w:szCs w:val="32"/>
        </w:rPr>
      </w:pPr>
    </w:p>
    <w:p w14:paraId="028EF9C5">
      <w:pPr>
        <w:ind w:firstLine="1920" w:firstLineChars="600"/>
        <w:rPr>
          <w:rFonts w:eastAsia="仿宋"/>
          <w:sz w:val="32"/>
          <w:szCs w:val="32"/>
        </w:rPr>
      </w:pPr>
    </w:p>
    <w:p w14:paraId="3F0612C4">
      <w:pPr>
        <w:ind w:firstLine="1920" w:firstLineChars="600"/>
        <w:rPr>
          <w:rFonts w:eastAsia="仿宋"/>
          <w:sz w:val="32"/>
          <w:szCs w:val="32"/>
        </w:rPr>
      </w:pPr>
    </w:p>
    <w:p w14:paraId="64404612">
      <w:pPr>
        <w:ind w:firstLine="1920" w:firstLineChars="600"/>
        <w:rPr>
          <w:rFonts w:eastAsia="仿宋"/>
          <w:sz w:val="32"/>
          <w:szCs w:val="32"/>
        </w:rPr>
      </w:pPr>
    </w:p>
    <w:p w14:paraId="45F88D97">
      <w:pPr>
        <w:jc w:val="center"/>
        <w:rPr>
          <w:rFonts w:ascii="黑体" w:hAnsi="黑体" w:eastAsia="黑体"/>
          <w:b/>
          <w:sz w:val="32"/>
        </w:rPr>
      </w:pPr>
      <w:r>
        <w:rPr>
          <w:rFonts w:hint="eastAsia" w:ascii="黑体" w:hAnsi="黑体" w:eastAsia="黑体"/>
          <w:b/>
          <w:sz w:val="32"/>
          <w:lang w:val="en-US" w:eastAsia="zh-CN"/>
        </w:rPr>
        <w:t>县委网信办</w:t>
      </w:r>
      <w:r>
        <w:rPr>
          <w:rFonts w:hint="eastAsia" w:ascii="黑体" w:hAnsi="黑体" w:eastAsia="黑体"/>
          <w:b/>
          <w:sz w:val="32"/>
        </w:rPr>
        <w:t>编制（盖章）</w:t>
      </w:r>
    </w:p>
    <w:p w14:paraId="61BD2613">
      <w:pPr>
        <w:jc w:val="center"/>
        <w:rPr>
          <w:rFonts w:ascii="黑体" w:hAnsi="黑体" w:eastAsia="黑体"/>
          <w:b/>
          <w:sz w:val="32"/>
        </w:rPr>
      </w:pPr>
      <w:r>
        <w:rPr>
          <w:rFonts w:hint="eastAsia" w:ascii="黑体" w:hAnsi="黑体" w:eastAsia="黑体"/>
          <w:b/>
          <w:sz w:val="32"/>
          <w:lang w:val="en-US" w:eastAsia="zh-CN"/>
        </w:rPr>
        <w:t>2022</w:t>
      </w:r>
      <w:r>
        <w:rPr>
          <w:rFonts w:hint="eastAsia" w:ascii="黑体" w:hAnsi="黑体" w:eastAsia="黑体"/>
          <w:b/>
          <w:sz w:val="32"/>
        </w:rPr>
        <w:t>年</w:t>
      </w:r>
      <w:r>
        <w:rPr>
          <w:rFonts w:hint="eastAsia" w:ascii="黑体" w:hAnsi="黑体" w:eastAsia="黑体"/>
          <w:b/>
          <w:sz w:val="32"/>
          <w:lang w:val="en-US" w:eastAsia="zh-CN"/>
        </w:rPr>
        <w:t>3</w:t>
      </w:r>
      <w:r>
        <w:rPr>
          <w:rFonts w:hint="eastAsia" w:ascii="黑体" w:hAnsi="黑体" w:eastAsia="黑体"/>
          <w:b/>
          <w:sz w:val="32"/>
        </w:rPr>
        <w:t>月</w:t>
      </w:r>
      <w:r>
        <w:rPr>
          <w:rFonts w:hint="eastAsia" w:ascii="黑体" w:hAnsi="黑体" w:eastAsia="黑体"/>
          <w:b/>
          <w:sz w:val="32"/>
          <w:lang w:val="en-US" w:eastAsia="zh-CN"/>
        </w:rPr>
        <w:t>5</w:t>
      </w:r>
      <w:r>
        <w:rPr>
          <w:rFonts w:hint="eastAsia" w:ascii="黑体" w:hAnsi="黑体" w:eastAsia="黑体"/>
          <w:b/>
          <w:sz w:val="32"/>
        </w:rPr>
        <w:t>日</w:t>
      </w:r>
    </w:p>
    <w:p w14:paraId="281F122E">
      <w:pPr>
        <w:widowControl/>
        <w:jc w:val="left"/>
        <w:rPr>
          <w:rFonts w:ascii="黑体" w:hAnsi="黑体" w:eastAsia="黑体"/>
          <w:sz w:val="32"/>
          <w:szCs w:val="32"/>
        </w:rPr>
      </w:pPr>
      <w:r>
        <w:rPr>
          <w:rFonts w:ascii="黑体" w:hAnsi="黑体" w:eastAsia="黑体"/>
          <w:sz w:val="32"/>
          <w:szCs w:val="32"/>
        </w:rPr>
        <w:br w:type="page"/>
      </w:r>
    </w:p>
    <w:p w14:paraId="3D1E6AEE">
      <w:pPr>
        <w:spacing w:line="600" w:lineRule="atLeast"/>
        <w:jc w:val="center"/>
        <w:rPr>
          <w:rFonts w:ascii="方正小标宋_GBK" w:hAnsi="宋体" w:eastAsia="方正小标宋_GBK"/>
          <w:sz w:val="44"/>
          <w:szCs w:val="44"/>
        </w:rPr>
      </w:pPr>
      <w:r>
        <w:rPr>
          <w:rFonts w:hint="eastAsia" w:ascii="方正小标宋_GBK" w:hAnsi="宋体" w:eastAsia="方正小标宋_GBK"/>
          <w:sz w:val="44"/>
          <w:szCs w:val="44"/>
        </w:rPr>
        <w:t>部门整体绩效评价报告</w:t>
      </w:r>
    </w:p>
    <w:p w14:paraId="7D484418">
      <w:pPr>
        <w:spacing w:line="600" w:lineRule="atLeast"/>
        <w:ind w:firstLine="643" w:firstLineChars="200"/>
        <w:rPr>
          <w:rFonts w:eastAsia="黑体"/>
          <w:b/>
          <w:sz w:val="32"/>
          <w:szCs w:val="32"/>
        </w:rPr>
      </w:pPr>
    </w:p>
    <w:p w14:paraId="4A7F4E9A">
      <w:pPr>
        <w:spacing w:line="600" w:lineRule="atLeast"/>
        <w:ind w:firstLine="640" w:firstLineChars="200"/>
        <w:rPr>
          <w:rFonts w:eastAsia="黑体"/>
          <w:sz w:val="32"/>
          <w:szCs w:val="32"/>
        </w:rPr>
      </w:pPr>
      <w:r>
        <w:rPr>
          <w:rFonts w:eastAsia="黑体"/>
          <w:sz w:val="32"/>
          <w:szCs w:val="32"/>
        </w:rPr>
        <w:t>一、部门</w:t>
      </w:r>
      <w:r>
        <w:rPr>
          <w:rFonts w:hint="eastAsia" w:eastAsia="黑体"/>
          <w:sz w:val="32"/>
          <w:szCs w:val="32"/>
        </w:rPr>
        <w:t>整体</w:t>
      </w:r>
      <w:r>
        <w:rPr>
          <w:rFonts w:eastAsia="黑体"/>
          <w:sz w:val="32"/>
          <w:szCs w:val="32"/>
        </w:rPr>
        <w:t>概况</w:t>
      </w:r>
    </w:p>
    <w:p w14:paraId="72D2F1C2">
      <w:pPr>
        <w:spacing w:line="600" w:lineRule="atLeast"/>
        <w:ind w:firstLine="640" w:firstLineChars="200"/>
        <w:rPr>
          <w:rFonts w:ascii="仿宋" w:hAnsi="仿宋" w:eastAsia="仿宋"/>
          <w:sz w:val="32"/>
          <w:szCs w:val="32"/>
        </w:rPr>
      </w:pPr>
      <w:r>
        <w:rPr>
          <w:rFonts w:ascii="仿宋" w:hAnsi="仿宋" w:eastAsia="仿宋"/>
          <w:sz w:val="32"/>
          <w:szCs w:val="32"/>
        </w:rPr>
        <w:t>本部门20</w:t>
      </w:r>
      <w:r>
        <w:rPr>
          <w:rFonts w:hint="eastAsia" w:ascii="仿宋" w:hAnsi="仿宋" w:eastAsia="仿宋"/>
          <w:sz w:val="32"/>
          <w:szCs w:val="32"/>
          <w:lang w:val="en-US" w:eastAsia="zh-CN"/>
        </w:rPr>
        <w:t>21</w:t>
      </w:r>
      <w:r>
        <w:rPr>
          <w:rFonts w:ascii="仿宋" w:hAnsi="仿宋" w:eastAsia="仿宋"/>
          <w:sz w:val="32"/>
          <w:szCs w:val="32"/>
        </w:rPr>
        <w:t>年度申请预算</w:t>
      </w:r>
      <w:r>
        <w:rPr>
          <w:rFonts w:hint="eastAsia" w:ascii="仿宋" w:hAnsi="仿宋" w:eastAsia="仿宋"/>
          <w:sz w:val="32"/>
          <w:szCs w:val="32"/>
        </w:rPr>
        <w:t>资金</w:t>
      </w:r>
      <w:r>
        <w:rPr>
          <w:rFonts w:hint="eastAsia" w:ascii="仿宋" w:hAnsi="仿宋" w:eastAsia="仿宋"/>
          <w:sz w:val="32"/>
          <w:szCs w:val="32"/>
          <w:lang w:val="en-US" w:eastAsia="zh-CN"/>
        </w:rPr>
        <w:t>87</w:t>
      </w:r>
      <w:r>
        <w:rPr>
          <w:rFonts w:hint="eastAsia" w:ascii="仿宋" w:hAnsi="仿宋" w:eastAsia="仿宋"/>
          <w:sz w:val="32"/>
          <w:szCs w:val="32"/>
        </w:rPr>
        <w:t>万元，实际支出</w:t>
      </w:r>
      <w:r>
        <w:rPr>
          <w:rFonts w:hint="eastAsia" w:ascii="仿宋" w:hAnsi="仿宋" w:eastAsia="仿宋"/>
          <w:sz w:val="32"/>
          <w:szCs w:val="32"/>
          <w:lang w:val="en-US" w:eastAsia="zh-CN"/>
        </w:rPr>
        <w:t>87</w:t>
      </w:r>
      <w:r>
        <w:rPr>
          <w:rFonts w:hint="eastAsia" w:ascii="仿宋" w:hAnsi="仿宋" w:eastAsia="仿宋"/>
          <w:sz w:val="32"/>
          <w:szCs w:val="32"/>
        </w:rPr>
        <w:t>万元，预算执行率</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。其中：专项</w:t>
      </w:r>
      <w:r>
        <w:rPr>
          <w:rFonts w:ascii="仿宋" w:hAnsi="仿宋" w:eastAsia="仿宋"/>
          <w:sz w:val="32"/>
          <w:szCs w:val="32"/>
        </w:rPr>
        <w:t>项目</w:t>
      </w:r>
      <w:r>
        <w:rPr>
          <w:rFonts w:hint="eastAsia" w:ascii="仿宋" w:hAnsi="仿宋" w:eastAsia="仿宋"/>
          <w:sz w:val="32"/>
          <w:szCs w:val="32"/>
          <w:lang w:val="en-US" w:eastAsia="zh-CN"/>
        </w:rPr>
        <w:t>0</w:t>
      </w:r>
      <w:r>
        <w:rPr>
          <w:rFonts w:ascii="仿宋" w:hAnsi="仿宋" w:eastAsia="仿宋"/>
          <w:sz w:val="32"/>
          <w:szCs w:val="32"/>
        </w:rPr>
        <w:t>个。</w:t>
      </w:r>
    </w:p>
    <w:p w14:paraId="2F878165">
      <w:pPr>
        <w:spacing w:line="600" w:lineRule="atLeast"/>
        <w:ind w:firstLine="640" w:firstLineChars="200"/>
        <w:rPr>
          <w:rFonts w:eastAsia="黑体"/>
          <w:sz w:val="32"/>
          <w:szCs w:val="32"/>
        </w:rPr>
      </w:pPr>
      <w:r>
        <w:rPr>
          <w:rFonts w:eastAsia="黑体"/>
          <w:sz w:val="32"/>
          <w:szCs w:val="32"/>
        </w:rPr>
        <w:t>二、部门总体绩效目标和绩效指标设定情况</w:t>
      </w:r>
    </w:p>
    <w:p w14:paraId="7FC49140">
      <w:pPr>
        <w:spacing w:line="600" w:lineRule="atLeast"/>
        <w:ind w:firstLine="640" w:firstLineChars="200"/>
        <w:rPr>
          <w:rFonts w:ascii="仿宋" w:hAnsi="仿宋" w:eastAsia="仿宋"/>
          <w:sz w:val="32"/>
          <w:szCs w:val="32"/>
          <w:lang w:val="en-US" w:eastAsia="zh-CN"/>
        </w:rPr>
      </w:pPr>
      <w:r>
        <w:rPr>
          <w:rFonts w:ascii="仿宋" w:hAnsi="仿宋" w:eastAsia="仿宋"/>
          <w:sz w:val="32"/>
          <w:szCs w:val="32"/>
          <w:lang w:val="en-US" w:eastAsia="zh-CN"/>
        </w:rPr>
        <w:t>本部门年初设定的部门</w:t>
      </w:r>
      <w:r>
        <w:rPr>
          <w:rFonts w:hint="eastAsia" w:ascii="仿宋" w:hAnsi="仿宋" w:eastAsia="仿宋"/>
          <w:sz w:val="32"/>
          <w:szCs w:val="32"/>
          <w:lang w:val="en-US" w:eastAsia="zh-CN"/>
        </w:rPr>
        <w:t>整体</w:t>
      </w:r>
      <w:r>
        <w:rPr>
          <w:rFonts w:ascii="仿宋" w:hAnsi="仿宋" w:eastAsia="仿宋"/>
          <w:sz w:val="32"/>
          <w:szCs w:val="32"/>
          <w:lang w:val="en-US" w:eastAsia="zh-CN"/>
        </w:rPr>
        <w:t>绩效指标是：深入学习宣传习近平总书记重要讲话以及重大会议精神以及各项政策，协调处理网络安全和信息化重大突发事件与有关应急工作，统筹协调组织互联网宣传管理和舆论引导工作，组织开展网上评论，指导推动网络评论队伍建设，维护互联网意识形态安全；完成国家互联网信息办公室，省、市互联网信息办公室和县委、县政府，县委网络安全和信息化委员会、县委宣传部交办的各项工作。营造乐亭县积极向上的网络空间。</w:t>
      </w:r>
    </w:p>
    <w:p w14:paraId="6411372F">
      <w:pPr>
        <w:spacing w:line="600" w:lineRule="atLeast"/>
        <w:ind w:firstLine="640" w:firstLineChars="200"/>
        <w:rPr>
          <w:rFonts w:eastAsia="黑体"/>
          <w:sz w:val="32"/>
          <w:szCs w:val="32"/>
        </w:rPr>
      </w:pPr>
      <w:r>
        <w:rPr>
          <w:rFonts w:eastAsia="黑体"/>
          <w:sz w:val="32"/>
          <w:szCs w:val="32"/>
        </w:rPr>
        <w:t>三、绩效评价组织情况</w:t>
      </w:r>
    </w:p>
    <w:p w14:paraId="4D8DAB9B">
      <w:pPr>
        <w:spacing w:line="600" w:lineRule="atLeast"/>
        <w:ind w:firstLine="640" w:firstLineChars="200"/>
        <w:rPr>
          <w:rFonts w:ascii="仿宋" w:hAnsi="仿宋" w:eastAsia="仿宋"/>
          <w:sz w:val="32"/>
          <w:szCs w:val="32"/>
        </w:rPr>
      </w:pPr>
      <w:r>
        <w:rPr>
          <w:rFonts w:ascii="仿宋" w:hAnsi="仿宋" w:eastAsia="仿宋"/>
          <w:sz w:val="32"/>
          <w:szCs w:val="32"/>
        </w:rPr>
        <w:t>本次绩效评价项目</w:t>
      </w:r>
      <w:r>
        <w:rPr>
          <w:rFonts w:hint="eastAsia" w:ascii="仿宋" w:hAnsi="仿宋" w:eastAsia="仿宋"/>
          <w:sz w:val="32"/>
          <w:szCs w:val="32"/>
          <w:lang w:val="en-US" w:eastAsia="zh-CN"/>
        </w:rPr>
        <w:t>3</w:t>
      </w:r>
      <w:r>
        <w:rPr>
          <w:rFonts w:ascii="仿宋" w:hAnsi="仿宋" w:eastAsia="仿宋"/>
          <w:sz w:val="32"/>
          <w:szCs w:val="32"/>
        </w:rPr>
        <w:t>个，</w:t>
      </w:r>
      <w:r>
        <w:rPr>
          <w:rFonts w:hint="eastAsia" w:ascii="仿宋" w:hAnsi="仿宋" w:eastAsia="仿宋"/>
          <w:sz w:val="32"/>
          <w:szCs w:val="32"/>
        </w:rPr>
        <w:t>占</w:t>
      </w:r>
      <w:r>
        <w:rPr>
          <w:rFonts w:ascii="仿宋" w:hAnsi="仿宋" w:eastAsia="仿宋"/>
          <w:sz w:val="32"/>
          <w:szCs w:val="32"/>
        </w:rPr>
        <w:t>部门项目总数的</w:t>
      </w:r>
      <w:r>
        <w:rPr>
          <w:rFonts w:hint="eastAsia" w:ascii="仿宋" w:hAnsi="仿宋" w:eastAsia="仿宋"/>
          <w:sz w:val="32"/>
          <w:szCs w:val="32"/>
          <w:lang w:val="en-US" w:eastAsia="zh-CN"/>
        </w:rPr>
        <w:t>100</w:t>
      </w:r>
      <w:r>
        <w:rPr>
          <w:rFonts w:ascii="仿宋" w:hAnsi="仿宋" w:eastAsia="仿宋"/>
          <w:sz w:val="32"/>
          <w:szCs w:val="32"/>
        </w:rPr>
        <w:t>%，涉及金额</w:t>
      </w:r>
      <w:r>
        <w:rPr>
          <w:rFonts w:hint="eastAsia" w:ascii="仿宋" w:hAnsi="仿宋" w:eastAsia="仿宋"/>
          <w:sz w:val="32"/>
          <w:szCs w:val="32"/>
          <w:lang w:val="en-US" w:eastAsia="zh-CN"/>
        </w:rPr>
        <w:t>87</w:t>
      </w:r>
      <w:r>
        <w:rPr>
          <w:rFonts w:ascii="仿宋" w:hAnsi="仿宋" w:eastAsia="仿宋"/>
          <w:sz w:val="32"/>
          <w:szCs w:val="32"/>
        </w:rPr>
        <w:t>万元。采取成立本部门绩效自评工作组</w:t>
      </w:r>
      <w:r>
        <w:rPr>
          <w:rFonts w:hint="eastAsia" w:ascii="仿宋" w:hAnsi="仿宋" w:eastAsia="仿宋"/>
          <w:sz w:val="32"/>
          <w:szCs w:val="32"/>
        </w:rPr>
        <w:t>的</w:t>
      </w:r>
      <w:r>
        <w:rPr>
          <w:rFonts w:ascii="仿宋" w:hAnsi="仿宋" w:eastAsia="仿宋"/>
          <w:sz w:val="32"/>
          <w:szCs w:val="32"/>
        </w:rPr>
        <w:t>形式，本着客观、公正、公开的原则开展自评工作，所有项目的绩效自评均设计了合理、明晰、可考核的、关键性产出指标和效果指标。自评结果真实可靠。</w:t>
      </w:r>
    </w:p>
    <w:p w14:paraId="3AA4C8B6">
      <w:pPr>
        <w:spacing w:line="600" w:lineRule="atLeast"/>
        <w:ind w:firstLine="640" w:firstLineChars="200"/>
        <w:rPr>
          <w:rFonts w:eastAsia="黑体"/>
          <w:sz w:val="32"/>
          <w:szCs w:val="32"/>
        </w:rPr>
      </w:pPr>
      <w:r>
        <w:rPr>
          <w:rFonts w:eastAsia="黑体"/>
          <w:sz w:val="32"/>
          <w:szCs w:val="32"/>
        </w:rPr>
        <w:t>四、绩效实现情况分析</w:t>
      </w:r>
    </w:p>
    <w:p w14:paraId="513D0020">
      <w:pPr>
        <w:spacing w:line="560" w:lineRule="exact"/>
        <w:ind w:firstLine="640" w:firstLineChars="200"/>
        <w:rPr>
          <w:rFonts w:hint="eastAsia" w:ascii="宋体" w:hAnsi="宋体" w:eastAsia="方正仿宋简体" w:cs="方正仿宋简体"/>
          <w:sz w:val="32"/>
          <w:szCs w:val="32"/>
          <w:lang w:val="en-US" w:eastAsia="zh-CN"/>
        </w:rPr>
      </w:pPr>
      <w:r>
        <w:rPr>
          <w:rFonts w:ascii="宋体" w:hAnsi="宋体" w:eastAsia="方正仿宋简体" w:cs="方正仿宋简体"/>
          <w:sz w:val="32"/>
          <w:szCs w:val="32"/>
        </w:rPr>
        <w:t>1</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网信乐亭</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开辟《网络安全在身边》专栏，广泛宣传普及网络安全知识及其他地区先进经验；</w:t>
      </w:r>
      <w:r>
        <w:rPr>
          <w:rFonts w:ascii="宋体" w:hAnsi="宋体" w:eastAsia="方正仿宋简体" w:cs="方正仿宋简体"/>
          <w:sz w:val="32"/>
          <w:szCs w:val="32"/>
        </w:rPr>
        <w:t>开设【建党100周年】【李大钊</w:t>
      </w:r>
      <w:r>
        <w:rPr>
          <w:rFonts w:hint="eastAsia" w:ascii="宋体" w:hAnsi="宋体" w:eastAsia="方正仿宋简体" w:cs="方正仿宋简体"/>
          <w:sz w:val="32"/>
          <w:szCs w:val="32"/>
        </w:rPr>
        <w:t>故事绘</w:t>
      </w:r>
      <w:r>
        <w:rPr>
          <w:rFonts w:ascii="宋体" w:hAnsi="宋体" w:eastAsia="方正仿宋简体" w:cs="方正仿宋简体"/>
          <w:sz w:val="32"/>
          <w:szCs w:val="32"/>
        </w:rPr>
        <w:t>】【乐亭党史人物】等专题，推送各类信息</w:t>
      </w:r>
      <w:r>
        <w:rPr>
          <w:rFonts w:hint="eastAsia" w:ascii="宋体" w:hAnsi="宋体" w:eastAsia="方正仿宋简体" w:cs="方正仿宋简体"/>
          <w:sz w:val="32"/>
          <w:szCs w:val="32"/>
          <w:lang w:val="en-US" w:eastAsia="zh-CN"/>
        </w:rPr>
        <w:t>700</w:t>
      </w:r>
      <w:r>
        <w:rPr>
          <w:rFonts w:ascii="宋体" w:hAnsi="宋体" w:eastAsia="方正仿宋简体" w:cs="方正仿宋简体"/>
          <w:sz w:val="32"/>
          <w:szCs w:val="32"/>
        </w:rPr>
        <w:t>余条，营造了建党100周年的浓厚氛围</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用H5、短视频、长图、海报、音频等多个形式，展示抗疫正能量，为疫情防控宣传提供了鲜活的作品。今年以来，乐亭县内各类媒体发布疫情信息4000余条，阅读量1000余万人次，制作各类新媒体作品40余个，起到了良好的宣传作用，凝聚起全民抗疫的力量。</w:t>
      </w:r>
    </w:p>
    <w:p w14:paraId="22DC4CDD">
      <w:pPr>
        <w:pStyle w:val="7"/>
        <w:rPr>
          <w:rFonts w:hint="eastAsia"/>
          <w:lang w:val="en-US" w:eastAsia="zh-CN"/>
        </w:rPr>
      </w:pPr>
      <w:r>
        <w:rPr>
          <w:rFonts w:hint="eastAsia" w:ascii="宋体" w:hAnsi="宋体" w:eastAsia="方正仿宋简体" w:cs="方正仿宋简体"/>
          <w:kern w:val="2"/>
          <w:sz w:val="32"/>
          <w:szCs w:val="32"/>
          <w:lang w:val="en-US" w:eastAsia="zh-CN" w:bidi="ar-SA"/>
        </w:rPr>
        <w:t>2.上接“人民网”等网络宣传主流媒体，横联头条号、网易号、企鹅号、澎湃号、抖音等网络宣传平台，形</w:t>
      </w:r>
      <w:r>
        <w:rPr>
          <w:rFonts w:hint="eastAsia" w:ascii="宋体" w:hAnsi="宋体" w:eastAsia="方正仿宋简体" w:cs="方正仿宋简体"/>
          <w:sz w:val="32"/>
          <w:szCs w:val="32"/>
        </w:rPr>
        <w:t>成完备的网络宣传矩阵。围绕习近平新时代中国特色社会主义思想网络宣传，利用头条位置发布信息</w:t>
      </w:r>
      <w:r>
        <w:rPr>
          <w:rFonts w:hint="eastAsia" w:ascii="宋体" w:hAnsi="宋体" w:eastAsia="方正仿宋简体" w:cs="方正仿宋简体"/>
          <w:sz w:val="32"/>
          <w:szCs w:val="32"/>
          <w:lang w:val="en-US" w:eastAsia="zh-CN"/>
        </w:rPr>
        <w:t>400</w:t>
      </w:r>
      <w:r>
        <w:rPr>
          <w:rFonts w:hint="eastAsia" w:ascii="宋体" w:hAnsi="宋体" w:eastAsia="方正仿宋简体" w:cs="方正仿宋简体"/>
          <w:sz w:val="32"/>
          <w:szCs w:val="32"/>
        </w:rPr>
        <w:t>余条；围绕建党100周年开展专题宣传，发布信息300余条；围绕疫情防控宣传，发布各类公告、辟谣、措施、知识等信息</w:t>
      </w:r>
      <w:r>
        <w:rPr>
          <w:rFonts w:hint="eastAsia" w:ascii="宋体" w:hAnsi="宋体" w:eastAsia="方正仿宋简体" w:cs="方正仿宋简体"/>
          <w:sz w:val="32"/>
          <w:szCs w:val="32"/>
          <w:lang w:val="en-US" w:eastAsia="zh-CN"/>
        </w:rPr>
        <w:t>500</w:t>
      </w:r>
      <w:r>
        <w:rPr>
          <w:rFonts w:hint="eastAsia" w:ascii="宋体" w:hAnsi="宋体" w:eastAsia="方正仿宋简体" w:cs="方正仿宋简体"/>
          <w:sz w:val="32"/>
          <w:szCs w:val="32"/>
        </w:rPr>
        <w:t>余条，有效的发挥了政务新媒体的引领作用，同时协调县内自媒体同步跟进转发宣传，网民总阅读量1000万余人次，起到了宣传主力军作用。</w:t>
      </w:r>
    </w:p>
    <w:p w14:paraId="7A92DB1A">
      <w:pPr>
        <w:spacing w:line="560" w:lineRule="exact"/>
        <w:ind w:firstLine="640" w:firstLineChars="200"/>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val="en-US" w:eastAsia="zh-CN"/>
        </w:rPr>
        <w:t>3.</w:t>
      </w:r>
      <w:r>
        <w:rPr>
          <w:rFonts w:ascii="宋体" w:hAnsi="宋体" w:eastAsia="方正仿宋简体" w:cs="方正仿宋简体"/>
          <w:sz w:val="32"/>
          <w:szCs w:val="32"/>
        </w:rPr>
        <w:t>积极参加各类作品征集活动</w:t>
      </w:r>
      <w:r>
        <w:rPr>
          <w:rFonts w:hint="eastAsia" w:ascii="宋体" w:hAnsi="宋体" w:eastAsia="方正仿宋简体" w:cs="方正仿宋简体"/>
          <w:sz w:val="32"/>
          <w:szCs w:val="32"/>
          <w:lang w:eastAsia="zh-CN"/>
        </w:rPr>
        <w:t>，</w:t>
      </w:r>
      <w:r>
        <w:rPr>
          <w:rFonts w:ascii="宋体" w:hAnsi="宋体" w:eastAsia="方正仿宋简体" w:cs="方正仿宋简体"/>
          <w:sz w:val="32"/>
          <w:szCs w:val="32"/>
        </w:rPr>
        <w:t>制作、征集、推荐了</w:t>
      </w:r>
      <w:r>
        <w:rPr>
          <w:rFonts w:hint="eastAsia" w:ascii="宋体" w:hAnsi="宋体" w:eastAsia="方正仿宋简体" w:cs="方正仿宋简体"/>
          <w:sz w:val="32"/>
          <w:szCs w:val="32"/>
          <w:lang w:eastAsia="zh-CN"/>
        </w:rPr>
        <w:t>各类新媒体作品</w:t>
      </w:r>
      <w:r>
        <w:rPr>
          <w:rFonts w:hint="eastAsia" w:ascii="宋体" w:hAnsi="宋体" w:eastAsia="方正仿宋简体" w:cs="方正仿宋简体"/>
          <w:sz w:val="32"/>
          <w:szCs w:val="32"/>
          <w:lang w:val="en-US" w:eastAsia="zh-CN"/>
        </w:rPr>
        <w:t>20余件，其中</w:t>
      </w:r>
      <w:r>
        <w:rPr>
          <w:rFonts w:hint="eastAsia" w:ascii="宋体" w:hAnsi="宋体" w:eastAsia="方正仿宋简体" w:cs="方正仿宋简体"/>
          <w:sz w:val="32"/>
          <w:szCs w:val="32"/>
          <w:lang w:eastAsia="zh-CN"/>
        </w:rPr>
        <w:t>《追寻</w:t>
      </w:r>
      <w:r>
        <w:rPr>
          <w:rFonts w:hint="eastAsia" w:ascii="宋体" w:hAnsi="宋体" w:eastAsia="方正仿宋简体" w:cs="方正仿宋简体"/>
          <w:sz w:val="32"/>
          <w:szCs w:val="32"/>
          <w:lang w:val="en-US" w:eastAsia="zh-CN"/>
        </w:rPr>
        <w:t>·大钊先生</w:t>
      </w:r>
      <w:r>
        <w:rPr>
          <w:rFonts w:hint="eastAsia" w:ascii="宋体" w:hAnsi="宋体" w:eastAsia="方正仿宋简体" w:cs="方正仿宋简体"/>
          <w:sz w:val="32"/>
          <w:szCs w:val="32"/>
          <w:lang w:eastAsia="zh-CN"/>
        </w:rPr>
        <w:t>》荣获河北省“五个十”活动正能量微视频，《李大钊在乐亭的18年》在2021新媒体影响力评价和扶持工作中被河北省委网信办评为“新媒体千优作品”，《快板&lt;网络安全说&gt;》在2021“知网信、筑同心”网信公益宣传精品创作征集活动中被河北省委网信办评为网信公益宣传优良作品，</w:t>
      </w:r>
      <w:r>
        <w:rPr>
          <w:rFonts w:hint="eastAsia" w:ascii="宋体" w:hAnsi="宋体" w:eastAsia="方正仿宋简体" w:cs="方正仿宋简体"/>
          <w:sz w:val="32"/>
          <w:szCs w:val="32"/>
          <w:lang w:val="en-US" w:eastAsia="zh-CN"/>
        </w:rPr>
        <w:t>3张海报入选“百年百画”活动，</w:t>
      </w:r>
      <w:r>
        <w:rPr>
          <w:rFonts w:hint="eastAsia" w:ascii="宋体" w:hAnsi="宋体" w:eastAsia="方正仿宋简体" w:cs="方正仿宋简体"/>
          <w:sz w:val="32"/>
          <w:szCs w:val="32"/>
          <w:lang w:eastAsia="zh-CN"/>
        </w:rPr>
        <w:t>乐亭县委网信办获得唐山市委网信办“</w:t>
      </w:r>
      <w:r>
        <w:rPr>
          <w:rFonts w:hint="eastAsia" w:ascii="宋体" w:hAnsi="宋体" w:eastAsia="方正仿宋简体" w:cs="方正仿宋简体"/>
          <w:sz w:val="32"/>
          <w:szCs w:val="32"/>
          <w:lang w:val="en-US" w:eastAsia="zh-CN"/>
        </w:rPr>
        <w:t>2020年度新媒体作品创作组织工作先进单位</w:t>
      </w:r>
      <w:r>
        <w:rPr>
          <w:rFonts w:hint="eastAsia" w:ascii="宋体" w:hAnsi="宋体" w:eastAsia="方正仿宋简体" w:cs="方正仿宋简体"/>
          <w:sz w:val="32"/>
          <w:szCs w:val="32"/>
          <w:lang w:eastAsia="zh-CN"/>
        </w:rPr>
        <w:t>”。</w:t>
      </w:r>
    </w:p>
    <w:p w14:paraId="4F07C97F">
      <w:pPr>
        <w:pStyle w:val="7"/>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4.建立100余人的网信核心工作群，200余人的骨干群，完成各类网评任务350余次，转发各平台信息7万余条，完成各类评论引导2000余条，开展培训、业务指导10次。被唐山市委网信办评为“网络评论和社会化工作先进单位”。</w:t>
      </w:r>
    </w:p>
    <w:p w14:paraId="3A0C2E24">
      <w:pPr>
        <w:pStyle w:val="7"/>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5.处置不良信息30条，和公安局网安大队成功联合处置暴力血腥视频传播1起。积极开展网络举报和辟谣工作，今年以来制作原创辟谣小视频近600个，上报举报信息近9.3万条，每月排名均位居全市前列。</w:t>
      </w:r>
    </w:p>
    <w:p w14:paraId="7C8E4EEB">
      <w:pPr>
        <w:pStyle w:val="7"/>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6.选取典型的村庄、社区、城区广场，建立网络安全宣传栏，浓厚网络安全氛围；在网络安全宣传周、宪法日、国安日等各种节点，开展“六进”宣传活动，印发材料近10万份，有效提高了群众网络安全意识。</w:t>
      </w:r>
    </w:p>
    <w:p w14:paraId="79704C6A">
      <w:pPr>
        <w:pStyle w:val="7"/>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7.</w:t>
      </w:r>
      <w:r>
        <w:rPr>
          <w:rFonts w:hint="eastAsia" w:ascii="宋体" w:hAnsi="宋体" w:eastAsia="方正仿宋简体" w:cs="方正仿宋简体"/>
          <w:sz w:val="32"/>
          <w:szCs w:val="32"/>
        </w:rPr>
        <w:t>通过加大人力、物力的投入，拓展了人工搜索、微信群发现、自媒体爆料、软件监测与第三方服务相结合的五条舆情监测渠道</w:t>
      </w:r>
      <w:r>
        <w:rPr>
          <w:rFonts w:hint="eastAsia" w:ascii="宋体" w:hAnsi="宋体" w:eastAsia="方正仿宋简体" w:cs="方正仿宋简体"/>
          <w:sz w:val="32"/>
          <w:szCs w:val="32"/>
          <w:lang w:eastAsia="zh-CN"/>
        </w:rPr>
        <w:t>，同时</w:t>
      </w:r>
      <w:r>
        <w:rPr>
          <w:rFonts w:hint="eastAsia" w:ascii="宋体" w:hAnsi="宋体" w:eastAsia="方正仿宋简体" w:cs="方正仿宋简体"/>
          <w:sz w:val="32"/>
          <w:szCs w:val="32"/>
        </w:rPr>
        <w:t>把任务层层分解，每个人负责不同的网站、平台，对一些重点账号特别关注，施行全员</w:t>
      </w:r>
      <w:r>
        <w:rPr>
          <w:rFonts w:hint="eastAsia" w:ascii="宋体" w:hAnsi="宋体" w:eastAsia="方正仿宋简体" w:cs="方正仿宋简体"/>
          <w:sz w:val="32"/>
          <w:szCs w:val="32"/>
          <w:lang w:eastAsia="zh-CN"/>
        </w:rPr>
        <w:t>监测</w:t>
      </w:r>
      <w:r>
        <w:rPr>
          <w:rFonts w:hint="eastAsia" w:ascii="宋体" w:hAnsi="宋体" w:eastAsia="方正仿宋简体" w:cs="方正仿宋简体"/>
          <w:sz w:val="32"/>
          <w:szCs w:val="32"/>
        </w:rPr>
        <w:t>舆情，共上报涉唐舆情</w:t>
      </w:r>
      <w:r>
        <w:rPr>
          <w:rFonts w:hint="eastAsia" w:ascii="宋体" w:hAnsi="宋体" w:eastAsia="方正仿宋简体" w:cs="方正仿宋简体"/>
          <w:sz w:val="32"/>
          <w:szCs w:val="32"/>
          <w:lang w:val="en-US" w:eastAsia="zh-CN"/>
        </w:rPr>
        <w:t>50</w:t>
      </w:r>
      <w:r>
        <w:rPr>
          <w:rFonts w:hint="eastAsia" w:ascii="宋体" w:hAnsi="宋体" w:eastAsia="方正仿宋简体" w:cs="方正仿宋简体"/>
          <w:sz w:val="32"/>
          <w:szCs w:val="32"/>
        </w:rPr>
        <w:t>00余条，实现了涉唐舆情稳步前进的局面。今年以来县内预警信息</w:t>
      </w:r>
      <w:r>
        <w:rPr>
          <w:rFonts w:hint="eastAsia" w:ascii="宋体" w:hAnsi="宋体" w:eastAsia="方正仿宋简体" w:cs="方正仿宋简体"/>
          <w:sz w:val="32"/>
          <w:szCs w:val="32"/>
          <w:lang w:val="en-US" w:eastAsia="zh-CN"/>
        </w:rPr>
        <w:t>2</w:t>
      </w:r>
      <w:r>
        <w:rPr>
          <w:rFonts w:ascii="宋体" w:hAnsi="宋体" w:eastAsia="方正仿宋简体" w:cs="方正仿宋简体"/>
          <w:sz w:val="32"/>
          <w:szCs w:val="32"/>
        </w:rPr>
        <w:t>000</w:t>
      </w:r>
      <w:r>
        <w:rPr>
          <w:rFonts w:hint="eastAsia" w:ascii="宋体" w:hAnsi="宋体" w:eastAsia="方正仿宋简体" w:cs="方正仿宋简体"/>
          <w:sz w:val="32"/>
          <w:szCs w:val="32"/>
          <w:lang w:eastAsia="zh-CN"/>
        </w:rPr>
        <w:t>余</w:t>
      </w:r>
      <w:r>
        <w:rPr>
          <w:rFonts w:hint="eastAsia" w:ascii="宋体" w:hAnsi="宋体" w:eastAsia="方正仿宋简体" w:cs="方正仿宋简体"/>
          <w:sz w:val="32"/>
          <w:szCs w:val="32"/>
        </w:rPr>
        <w:t>条，转涉事单位处置</w:t>
      </w:r>
      <w:r>
        <w:rPr>
          <w:rFonts w:hint="eastAsia" w:ascii="宋体" w:hAnsi="宋体" w:eastAsia="方正仿宋简体" w:cs="方正仿宋简体"/>
          <w:sz w:val="32"/>
          <w:szCs w:val="32"/>
          <w:lang w:val="en-US" w:eastAsia="zh-CN"/>
        </w:rPr>
        <w:t>191</w:t>
      </w:r>
      <w:r>
        <w:rPr>
          <w:rFonts w:hint="eastAsia" w:ascii="宋体" w:hAnsi="宋体" w:eastAsia="方正仿宋简体" w:cs="方正仿宋简体"/>
          <w:sz w:val="32"/>
          <w:szCs w:val="32"/>
        </w:rPr>
        <w:t>条，有较大一部分敏感信息没有在网上流传，在微信群中即被发现，做到了舆情第一时间监测预警，为处置争取了时间</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今年上报的</w:t>
      </w:r>
      <w:r>
        <w:rPr>
          <w:rFonts w:hint="eastAsia" w:ascii="宋体" w:hAnsi="宋体" w:eastAsia="方正仿宋简体" w:cs="方正仿宋简体"/>
          <w:sz w:val="32"/>
          <w:szCs w:val="32"/>
          <w:lang w:val="en-US" w:eastAsia="zh-CN"/>
        </w:rPr>
        <w:t>25</w:t>
      </w:r>
      <w:r>
        <w:rPr>
          <w:rFonts w:hint="eastAsia" w:ascii="宋体" w:hAnsi="宋体" w:eastAsia="方正仿宋简体" w:cs="方正仿宋简体"/>
          <w:sz w:val="32"/>
          <w:szCs w:val="32"/>
        </w:rPr>
        <w:t>件较大舆情苗头，</w:t>
      </w:r>
      <w:r>
        <w:rPr>
          <w:rFonts w:hint="eastAsia" w:ascii="宋体" w:hAnsi="宋体" w:eastAsia="方正仿宋简体" w:cs="方正仿宋简体"/>
          <w:sz w:val="32"/>
          <w:szCs w:val="32"/>
          <w:lang w:eastAsia="zh-CN"/>
        </w:rPr>
        <w:t>县委县政府</w:t>
      </w:r>
      <w:r>
        <w:rPr>
          <w:rFonts w:hint="eastAsia" w:ascii="宋体" w:hAnsi="宋体" w:eastAsia="方正仿宋简体" w:cs="方正仿宋简体"/>
          <w:sz w:val="32"/>
          <w:szCs w:val="32"/>
        </w:rPr>
        <w:t>主要领导均明确批示，涉事单位妥善解决，均未形成炒作。4月，全市通报热点炒作舆情，我县</w:t>
      </w:r>
      <w:r>
        <w:rPr>
          <w:rFonts w:hint="eastAsia" w:ascii="宋体" w:hAnsi="宋体" w:eastAsia="方正仿宋简体" w:cs="方正仿宋简体"/>
          <w:sz w:val="32"/>
          <w:szCs w:val="32"/>
          <w:lang w:eastAsia="zh-CN"/>
        </w:rPr>
        <w:t>网络舆情数量在全市</w:t>
      </w:r>
      <w:r>
        <w:rPr>
          <w:rFonts w:hint="eastAsia" w:ascii="宋体" w:hAnsi="宋体" w:eastAsia="方正仿宋简体" w:cs="方正仿宋简体"/>
          <w:sz w:val="32"/>
          <w:szCs w:val="32"/>
          <w:lang w:val="en-US" w:eastAsia="zh-CN"/>
        </w:rPr>
        <w:t>14个县区中位居</w:t>
      </w:r>
      <w:r>
        <w:rPr>
          <w:rFonts w:hint="eastAsia" w:ascii="宋体" w:hAnsi="宋体" w:eastAsia="方正仿宋简体" w:cs="方正仿宋简体"/>
          <w:sz w:val="32"/>
          <w:szCs w:val="32"/>
        </w:rPr>
        <w:t>第12名，</w:t>
      </w:r>
      <w:r>
        <w:rPr>
          <w:rFonts w:hint="eastAsia" w:ascii="宋体" w:hAnsi="宋体" w:eastAsia="方正仿宋简体" w:cs="方正仿宋简体"/>
          <w:sz w:val="32"/>
          <w:szCs w:val="32"/>
          <w:lang w:eastAsia="zh-CN"/>
        </w:rPr>
        <w:t>是全市网络舆情最少的县区，</w:t>
      </w:r>
      <w:r>
        <w:rPr>
          <w:rFonts w:hint="eastAsia" w:ascii="宋体" w:hAnsi="宋体" w:eastAsia="方正仿宋简体" w:cs="方正仿宋简体"/>
          <w:sz w:val="32"/>
          <w:szCs w:val="32"/>
          <w:lang w:val="en-US" w:eastAsia="zh-CN"/>
        </w:rPr>
        <w:t>9月份，市里通报各县区重点网络舆情，我县没有一件</w:t>
      </w:r>
      <w:r>
        <w:rPr>
          <w:rFonts w:hint="eastAsia" w:ascii="宋体" w:hAnsi="宋体" w:eastAsia="方正仿宋简体" w:cs="方正仿宋简体"/>
          <w:sz w:val="32"/>
          <w:szCs w:val="32"/>
        </w:rPr>
        <w:t>炒作舆情。</w:t>
      </w:r>
    </w:p>
    <w:p w14:paraId="30419DC7">
      <w:pPr>
        <w:pStyle w:val="7"/>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8.</w:t>
      </w:r>
      <w:r>
        <w:rPr>
          <w:rFonts w:hint="eastAsia" w:ascii="宋体" w:hAnsi="宋体" w:eastAsia="方正仿宋简体" w:cs="方正仿宋简体"/>
          <w:sz w:val="32"/>
          <w:szCs w:val="32"/>
        </w:rPr>
        <w:t>与上市网络安全技术公司天融信合作，对全县机关事业单位网站建立线上网络安全监测体系，对病毒、木马等网络安全威胁攻击进行7×24小时监测，实现全天候全方位感知和有效防护，每月进行网站漏洞扫描，每季进行人工巡查并培训督导</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全市网络安全通报中，我县零事故</w:t>
      </w:r>
      <w:r>
        <w:rPr>
          <w:rFonts w:hint="eastAsia" w:ascii="宋体" w:hAnsi="宋体" w:eastAsia="方正仿宋简体" w:cs="方正仿宋简体"/>
          <w:sz w:val="32"/>
          <w:szCs w:val="32"/>
          <w:lang w:eastAsia="zh-CN"/>
        </w:rPr>
        <w:t>、零隐患</w:t>
      </w:r>
      <w:r>
        <w:rPr>
          <w:rFonts w:hint="eastAsia" w:ascii="宋体" w:hAnsi="宋体" w:eastAsia="方正仿宋简体" w:cs="方正仿宋简体"/>
          <w:sz w:val="32"/>
          <w:szCs w:val="32"/>
          <w:lang w:val="en-US" w:eastAsia="zh-CN"/>
        </w:rPr>
        <w:t>.</w:t>
      </w:r>
    </w:p>
    <w:p w14:paraId="192FBD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9.对辖区内10家机关事业单位网站、70家政务新媒体、311个政务邮箱进行重点监管，明确了相关单位的主体责任。不断完善属地网站平台数据库，加强互联网信息内容监管，现收录属地网站176个，新媒体账号267个，利用第三方软件和人工相结合的方式，对属地互联网信息内容进行严密监管。</w:t>
      </w:r>
    </w:p>
    <w:p w14:paraId="4DDFC07E">
      <w:pPr>
        <w:spacing w:line="600" w:lineRule="atLeast"/>
        <w:ind w:firstLine="640" w:firstLineChars="200"/>
        <w:rPr>
          <w:rFonts w:eastAsia="黑体"/>
          <w:sz w:val="32"/>
          <w:szCs w:val="32"/>
        </w:rPr>
      </w:pPr>
      <w:r>
        <w:rPr>
          <w:rFonts w:eastAsia="黑体"/>
          <w:sz w:val="32"/>
          <w:szCs w:val="32"/>
        </w:rPr>
        <w:t>五、存在的问题</w:t>
      </w:r>
    </w:p>
    <w:p w14:paraId="3302493B">
      <w:pPr>
        <w:spacing w:line="600" w:lineRule="atLeast"/>
        <w:ind w:firstLine="640" w:firstLineChars="200"/>
        <w:rPr>
          <w:rFonts w:hint="default"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一是自身监督管理制度仍需进一步健全。二是绩效目标需进一步细化、量化，对于资金的监督和管理还需加强。</w:t>
      </w:r>
    </w:p>
    <w:p w14:paraId="385923DB">
      <w:pPr>
        <w:spacing w:line="600" w:lineRule="atLeast"/>
        <w:ind w:firstLine="640" w:firstLineChars="200"/>
        <w:rPr>
          <w:rFonts w:eastAsia="黑体"/>
          <w:sz w:val="32"/>
          <w:szCs w:val="32"/>
        </w:rPr>
      </w:pPr>
      <w:r>
        <w:rPr>
          <w:rFonts w:hint="eastAsia" w:eastAsia="黑体"/>
          <w:sz w:val="32"/>
          <w:szCs w:val="32"/>
        </w:rPr>
        <w:t>六、相关</w:t>
      </w:r>
      <w:r>
        <w:rPr>
          <w:rFonts w:eastAsia="黑体"/>
          <w:sz w:val="32"/>
          <w:szCs w:val="32"/>
        </w:rPr>
        <w:t>建议</w:t>
      </w:r>
    </w:p>
    <w:p w14:paraId="5E62B14E">
      <w:pPr>
        <w:rPr>
          <w:rFonts w:hint="default" w:ascii="Times New Roman" w:hAnsi="Times New Roman" w:eastAsia="仿宋" w:cs="Times New Roman"/>
          <w:kern w:val="2"/>
          <w:sz w:val="32"/>
          <w:szCs w:val="32"/>
          <w:lang w:val="en-US" w:eastAsia="zh-CN" w:bidi="ar-SA"/>
        </w:rPr>
      </w:pPr>
      <w:r>
        <w:rPr>
          <w:rFonts w:hint="eastAsia" w:ascii="宋体" w:hAnsi="宋体" w:cs="宋体"/>
          <w:b/>
          <w:bCs/>
          <w:kern w:val="0"/>
          <w:sz w:val="32"/>
          <w:szCs w:val="32"/>
          <w:lang w:val="en-US" w:eastAsia="zh-CN"/>
        </w:rPr>
        <w:t xml:space="preserve">    </w:t>
      </w:r>
      <w:r>
        <w:rPr>
          <w:rFonts w:hint="eastAsia" w:eastAsia="仿宋" w:cs="Times New Roman"/>
          <w:kern w:val="2"/>
          <w:sz w:val="32"/>
          <w:szCs w:val="32"/>
          <w:lang w:val="en-US" w:eastAsia="zh-CN" w:bidi="ar-SA"/>
        </w:rPr>
        <w:t>建立和完善长效机制，把绩效评价作为部门的日常性工作，建立绩效评价管理工作考核的长效机制。</w:t>
      </w:r>
    </w:p>
    <w:p w14:paraId="202BB4AD">
      <w:pPr>
        <w:widowControl/>
        <w:spacing w:line="600" w:lineRule="atLeast"/>
        <w:jc w:val="left"/>
        <w:rPr>
          <w:rFonts w:ascii="宋体" w:hAnsi="宋体" w:cs="宋体"/>
          <w:b/>
          <w:bCs/>
          <w:kern w:val="0"/>
          <w:sz w:val="32"/>
          <w:szCs w:val="32"/>
        </w:rPr>
      </w:pPr>
      <w:r>
        <w:rPr>
          <w:rFonts w:ascii="宋体" w:hAnsi="宋体" w:cs="宋体"/>
          <w:b/>
          <w:bCs/>
          <w:kern w:val="0"/>
          <w:sz w:val="32"/>
          <w:szCs w:val="32"/>
        </w:rPr>
        <w:br w:type="page"/>
      </w:r>
    </w:p>
    <w:p w14:paraId="7706F961">
      <w:pPr>
        <w:widowControl/>
        <w:spacing w:line="600" w:lineRule="exact"/>
        <w:jc w:val="center"/>
        <w:rPr>
          <w:rFonts w:hint="eastAsia" w:ascii="方正小标宋_GBK" w:hAnsi="宋体" w:eastAsia="方正小标宋_GBK" w:cs="宋体"/>
          <w:bCs/>
          <w:kern w:val="0"/>
          <w:sz w:val="44"/>
          <w:szCs w:val="44"/>
        </w:rPr>
        <w:sectPr>
          <w:pgSz w:w="11906" w:h="16838"/>
          <w:pgMar w:top="1440" w:right="1984" w:bottom="1440" w:left="1984" w:header="851" w:footer="992" w:gutter="0"/>
          <w:cols w:space="720" w:num="1"/>
          <w:docGrid w:type="lines" w:linePitch="312" w:charSpace="0"/>
        </w:sectPr>
      </w:pPr>
    </w:p>
    <w:p w14:paraId="12467E68">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lang w:val="en-US" w:eastAsia="zh-CN"/>
        </w:rPr>
        <w:t>网信乐亭</w:t>
      </w:r>
      <w:r>
        <w:rPr>
          <w:rFonts w:hint="eastAsia" w:ascii="方正小标宋_GBK" w:hAnsi="宋体" w:eastAsia="方正小标宋_GBK" w:cs="宋体"/>
          <w:bCs/>
          <w:kern w:val="0"/>
          <w:sz w:val="44"/>
          <w:szCs w:val="44"/>
        </w:rPr>
        <w:t>项目支出绩效评价报告</w:t>
      </w:r>
    </w:p>
    <w:p w14:paraId="3AB42441">
      <w:pPr>
        <w:spacing w:line="600" w:lineRule="exact"/>
        <w:rPr>
          <w:rFonts w:ascii="仿宋_GB2312" w:eastAsia="仿宋_GB2312"/>
          <w:sz w:val="32"/>
          <w:szCs w:val="32"/>
        </w:rPr>
      </w:pPr>
    </w:p>
    <w:p w14:paraId="4239EDD0">
      <w:pPr>
        <w:spacing w:line="600" w:lineRule="exact"/>
        <w:ind w:firstLine="640" w:firstLineChars="200"/>
        <w:rPr>
          <w:rFonts w:eastAsia="黑体"/>
          <w:sz w:val="32"/>
          <w:szCs w:val="32"/>
        </w:rPr>
      </w:pPr>
      <w:r>
        <w:rPr>
          <w:rFonts w:hint="eastAsia" w:eastAsia="黑体"/>
          <w:sz w:val="32"/>
          <w:szCs w:val="32"/>
        </w:rPr>
        <w:t>一、基本情况</w:t>
      </w:r>
    </w:p>
    <w:p w14:paraId="371A7BE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（一）项目概况。</w:t>
      </w:r>
    </w:p>
    <w:p w14:paraId="68D7C104">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hint="default"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网信办承担有关网络新闻发布，网上理论宣传引导方面的组织工作，推动移动互联网发展，支持微博、微信、客户端等互联网新媒体新应用的创新发展推进移动端和手机报管理等相关工作。网信乐亭公众号，承接中央、省市县下达的宣传指令，承担网信办对外宣传、向省市推送工作信息以及新媒体制作、发布的工作。年初安排预算资金2万</w:t>
      </w:r>
      <w:r>
        <w:rPr>
          <w:rFonts w:hint="default" w:ascii="宋体" w:hAnsi="宋体" w:eastAsia="方正仿宋简体" w:cs="宋体"/>
          <w:b w:val="0"/>
          <w:i w:val="0"/>
          <w:caps w:val="0"/>
          <w:color w:val="333333"/>
          <w:spacing w:val="0"/>
          <w:kern w:val="0"/>
          <w:sz w:val="32"/>
          <w:szCs w:val="24"/>
          <w:shd w:val="clear" w:fill="FFFFFF"/>
          <w:lang w:val="en-US" w:eastAsia="zh-CN" w:bidi="ar"/>
        </w:rPr>
        <w:t>元用于</w:t>
      </w:r>
      <w:r>
        <w:rPr>
          <w:rFonts w:hint="eastAsia" w:ascii="宋体" w:hAnsi="宋体" w:eastAsia="方正仿宋简体" w:cs="宋体"/>
          <w:b w:val="0"/>
          <w:i w:val="0"/>
          <w:caps w:val="0"/>
          <w:color w:val="333333"/>
          <w:spacing w:val="0"/>
          <w:kern w:val="0"/>
          <w:sz w:val="32"/>
          <w:szCs w:val="24"/>
          <w:shd w:val="clear" w:fill="FFFFFF"/>
          <w:lang w:val="en-US" w:eastAsia="zh-CN" w:bidi="ar"/>
        </w:rPr>
        <w:t>保障网信乐亭的日常运营和新媒体作品创作。乐亭县财政局已全部批复和下达，截止2021年12月底，项目经费已全部执行，执行率100%。</w:t>
      </w:r>
    </w:p>
    <w:p w14:paraId="44FB54B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（二）项目绩效目标。包括总体目标和阶段性目标。</w:t>
      </w:r>
    </w:p>
    <w:p w14:paraId="0816336B">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总体目标：开发网信乐亭平台功能，增加平台板块栏目，维护平台正常运营，制作新媒体作品，畅通政务发布渠道，建立便民网络通道，走好网上群众路线，持续提高干群满意度。</w:t>
      </w:r>
    </w:p>
    <w:p w14:paraId="640264C9">
      <w:pPr>
        <w:pStyle w:val="2"/>
        <w:keepNext w:val="0"/>
        <w:keepLines w:val="0"/>
        <w:pageBreakBefore w:val="0"/>
        <w:kinsoku/>
        <w:wordWrap/>
        <w:overflowPunct/>
        <w:topLinePunct w:val="0"/>
        <w:autoSpaceDE/>
        <w:autoSpaceDN/>
        <w:bidi w:val="0"/>
        <w:adjustRightInd/>
        <w:snapToGrid/>
        <w:spacing w:before="0"/>
        <w:ind w:firstLine="640" w:firstLineChars="200"/>
        <w:jc w:val="both"/>
        <w:textAlignment w:val="auto"/>
        <w:rPr>
          <w:rFonts w:hint="default"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阶段性目标：按照春节、清明、端午、七一、十一等时间节点，征集、制作形式多样的新媒体作品，对县委县政府重大决策部署，开辟专栏，完成阶段性宣传任务。随时推送部门重要工作信息。</w:t>
      </w:r>
    </w:p>
    <w:p w14:paraId="7F83B90C">
      <w:pPr>
        <w:spacing w:line="600" w:lineRule="exact"/>
        <w:ind w:firstLine="640" w:firstLineChars="200"/>
        <w:rPr>
          <w:rFonts w:eastAsia="黑体"/>
          <w:sz w:val="32"/>
          <w:szCs w:val="32"/>
        </w:rPr>
      </w:pPr>
      <w:r>
        <w:rPr>
          <w:rFonts w:hint="eastAsia" w:eastAsia="黑体"/>
          <w:sz w:val="32"/>
          <w:szCs w:val="32"/>
        </w:rPr>
        <w:t>二、绩效评价工作开展情况</w:t>
      </w:r>
    </w:p>
    <w:p w14:paraId="5ECDA20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（一）绩效评价目的、对象和范围。</w:t>
      </w:r>
    </w:p>
    <w:p w14:paraId="7D4B8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1.绩效评价目的</w:t>
      </w:r>
    </w:p>
    <w:p w14:paraId="01717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default" w:ascii="宋体" w:hAnsi="宋体" w:eastAsia="方正仿宋简体" w:cs="宋体"/>
          <w:b w:val="0"/>
          <w:i w:val="0"/>
          <w:caps w:val="0"/>
          <w:color w:val="333333"/>
          <w:spacing w:val="0"/>
          <w:sz w:val="32"/>
          <w:szCs w:val="24"/>
          <w:shd w:val="clear" w:fill="FFFFFF"/>
        </w:rPr>
        <w:t>通过开展绩效评价工作，了解项目支出资金使用情况和管理情况、项目组织和实施情况，检验项目投入是否达到预期目标，总结经验，分析问题，进一步规范和加强专项资金管理，切实提高财政资金使用效益。</w:t>
      </w:r>
    </w:p>
    <w:p w14:paraId="4E84F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2.绩效评价对象和范围</w:t>
      </w:r>
    </w:p>
    <w:p w14:paraId="2E521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本次绩效评价对象</w:t>
      </w:r>
      <w:r>
        <w:rPr>
          <w:rFonts w:hint="eastAsia" w:ascii="宋体" w:hAnsi="宋体" w:eastAsia="方正仿宋简体" w:cs="宋体"/>
          <w:b w:val="0"/>
          <w:i w:val="0"/>
          <w:caps w:val="0"/>
          <w:color w:val="333333"/>
          <w:spacing w:val="0"/>
          <w:sz w:val="32"/>
          <w:szCs w:val="24"/>
          <w:shd w:val="clear" w:fill="FFFFFF"/>
          <w:lang w:val="en-US" w:eastAsia="zh-CN"/>
        </w:rPr>
        <w:t>和范围是</w:t>
      </w:r>
      <w:r>
        <w:rPr>
          <w:rFonts w:hint="default" w:ascii="宋体" w:hAnsi="宋体" w:eastAsia="方正仿宋简体" w:cs="宋体"/>
          <w:b w:val="0"/>
          <w:i w:val="0"/>
          <w:caps w:val="0"/>
          <w:color w:val="333333"/>
          <w:spacing w:val="0"/>
          <w:sz w:val="32"/>
          <w:szCs w:val="24"/>
          <w:shd w:val="clear" w:fill="FFFFFF"/>
        </w:rPr>
        <w:t>20</w:t>
      </w:r>
      <w:r>
        <w:rPr>
          <w:rFonts w:hint="eastAsia" w:ascii="宋体" w:hAnsi="宋体" w:eastAsia="方正仿宋简体" w:cs="宋体"/>
          <w:b w:val="0"/>
          <w:i w:val="0"/>
          <w:caps w:val="0"/>
          <w:color w:val="333333"/>
          <w:spacing w:val="0"/>
          <w:sz w:val="32"/>
          <w:szCs w:val="24"/>
          <w:shd w:val="clear" w:fill="FFFFFF"/>
          <w:lang w:val="en-US" w:eastAsia="zh-CN"/>
        </w:rPr>
        <w:t>21</w:t>
      </w:r>
      <w:r>
        <w:rPr>
          <w:rFonts w:hint="default" w:ascii="宋体" w:hAnsi="宋体" w:eastAsia="方正仿宋简体" w:cs="宋体"/>
          <w:b w:val="0"/>
          <w:i w:val="0"/>
          <w:caps w:val="0"/>
          <w:color w:val="333333"/>
          <w:spacing w:val="0"/>
          <w:sz w:val="32"/>
          <w:szCs w:val="24"/>
          <w:shd w:val="clear" w:fill="FFFFFF"/>
        </w:rPr>
        <w:t>年度</w:t>
      </w:r>
      <w:r>
        <w:rPr>
          <w:rFonts w:hint="eastAsia" w:ascii="宋体" w:hAnsi="宋体" w:eastAsia="方正仿宋简体" w:cs="宋体"/>
          <w:b w:val="0"/>
          <w:i w:val="0"/>
          <w:caps w:val="0"/>
          <w:color w:val="333333"/>
          <w:spacing w:val="0"/>
          <w:sz w:val="32"/>
          <w:szCs w:val="24"/>
          <w:shd w:val="clear" w:fill="FFFFFF"/>
          <w:lang w:val="en-US" w:eastAsia="zh-CN"/>
        </w:rPr>
        <w:t>网信办网信乐亭工作经费。</w:t>
      </w:r>
    </w:p>
    <w:p w14:paraId="62DD04AF">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绩效评价原则、评价指标体系（附表说明）、评价方法、评价标准等。</w:t>
      </w:r>
    </w:p>
    <w:p w14:paraId="74863A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1.绩效评价原则</w:t>
      </w:r>
    </w:p>
    <w:p w14:paraId="5E12B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（1）科学规范原则。绩效评价注重财政支出的经济性、效率性和有效性，严格执行规定的程序，合理确定绩效目标和评价内容，运用简便、实用、定量与定性分析相结合的方法，规范进行评价。</w:t>
      </w:r>
    </w:p>
    <w:p w14:paraId="3AA2D0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（2）公正公开原则。坚持客观、公平、公正，做到依据合法、标准统一、资料可靠、实事求是、公开透明，并接受监督。</w:t>
      </w:r>
    </w:p>
    <w:p w14:paraId="569543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（3）分级分类原则。本次绩效评价根据评价对象特点分类组织实施，发现问题提出明确整改措施和要求，并及时整改落实。</w:t>
      </w:r>
    </w:p>
    <w:p w14:paraId="09E4B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（4）绩效相关原则。绩效评价针对具体支出及其产出绩效进行，评价结果清晰反映支出和产出绩效之间的紧密对应关系。</w:t>
      </w:r>
    </w:p>
    <w:p w14:paraId="026BF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2.绩效评价指标体系</w:t>
      </w:r>
    </w:p>
    <w:p w14:paraId="098D5B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color w:val="333333"/>
          <w:sz w:val="32"/>
          <w:szCs w:val="24"/>
          <w:lang w:val="en-US" w:eastAsia="zh-CN"/>
        </w:rPr>
      </w:pPr>
      <w:r>
        <w:rPr>
          <w:rFonts w:hint="default" w:ascii="宋体" w:hAnsi="宋体" w:eastAsia="方正仿宋简体" w:cs="宋体"/>
          <w:b w:val="0"/>
          <w:i w:val="0"/>
          <w:caps w:val="0"/>
          <w:color w:val="333333"/>
          <w:spacing w:val="0"/>
          <w:sz w:val="32"/>
          <w:szCs w:val="24"/>
          <w:shd w:val="clear" w:fill="FFFFFF"/>
        </w:rPr>
        <w:t>根据《</w:t>
      </w:r>
      <w:r>
        <w:rPr>
          <w:rFonts w:hint="eastAsia" w:ascii="宋体" w:hAnsi="宋体" w:eastAsia="方正仿宋简体" w:cs="宋体"/>
          <w:b w:val="0"/>
          <w:i w:val="0"/>
          <w:caps w:val="0"/>
          <w:color w:val="333333"/>
          <w:spacing w:val="0"/>
          <w:sz w:val="32"/>
          <w:szCs w:val="24"/>
          <w:shd w:val="clear" w:fill="FFFFFF"/>
          <w:lang w:val="en-US" w:eastAsia="zh-CN"/>
        </w:rPr>
        <w:t>乐亭县财政支出绩效评价管理暂行办法（自评、重点评价、整体评价）</w:t>
      </w:r>
      <w:r>
        <w:rPr>
          <w:rFonts w:hint="default" w:ascii="宋体" w:hAnsi="宋体" w:eastAsia="方正仿宋简体" w:cs="宋体"/>
          <w:b w:val="0"/>
          <w:i w:val="0"/>
          <w:caps w:val="0"/>
          <w:color w:val="333333"/>
          <w:spacing w:val="0"/>
          <w:sz w:val="32"/>
          <w:szCs w:val="24"/>
          <w:shd w:val="clear" w:fill="FFFFFF"/>
        </w:rPr>
        <w:t>》（</w:t>
      </w:r>
      <w:r>
        <w:rPr>
          <w:rFonts w:hint="eastAsia" w:ascii="宋体" w:hAnsi="宋体" w:eastAsia="方正仿宋简体" w:cs="宋体"/>
          <w:b w:val="0"/>
          <w:i w:val="0"/>
          <w:caps w:val="0"/>
          <w:color w:val="333333"/>
          <w:spacing w:val="0"/>
          <w:sz w:val="32"/>
          <w:szCs w:val="24"/>
          <w:shd w:val="clear" w:fill="FFFFFF"/>
          <w:lang w:val="en-US" w:eastAsia="zh-CN"/>
        </w:rPr>
        <w:t>乐</w:t>
      </w:r>
      <w:r>
        <w:rPr>
          <w:rFonts w:hint="default" w:ascii="宋体" w:hAnsi="宋体" w:eastAsia="方正仿宋简体" w:cs="宋体"/>
          <w:b w:val="0"/>
          <w:i w:val="0"/>
          <w:caps w:val="0"/>
          <w:color w:val="333333"/>
          <w:spacing w:val="0"/>
          <w:sz w:val="32"/>
          <w:szCs w:val="24"/>
          <w:shd w:val="clear" w:fill="FFFFFF"/>
        </w:rPr>
        <w:t>财</w:t>
      </w:r>
      <w:r>
        <w:rPr>
          <w:rFonts w:hint="eastAsia" w:ascii="宋体" w:hAnsi="宋体" w:eastAsia="方正仿宋简体" w:cs="宋体"/>
          <w:b w:val="0"/>
          <w:i w:val="0"/>
          <w:caps w:val="0"/>
          <w:color w:val="333333"/>
          <w:spacing w:val="0"/>
          <w:sz w:val="32"/>
          <w:szCs w:val="24"/>
          <w:shd w:val="clear" w:fill="FFFFFF"/>
          <w:lang w:val="en-US" w:eastAsia="zh-CN"/>
        </w:rPr>
        <w:t>预</w:t>
      </w: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w:t>
      </w:r>
      <w:r>
        <w:rPr>
          <w:rFonts w:hint="eastAsia" w:ascii="宋体" w:hAnsi="宋体" w:eastAsia="方正仿宋简体" w:cs="宋体"/>
          <w:b w:val="0"/>
          <w:i w:val="0"/>
          <w:caps w:val="0"/>
          <w:color w:val="333333"/>
          <w:spacing w:val="0"/>
          <w:sz w:val="32"/>
          <w:szCs w:val="24"/>
          <w:shd w:val="clear" w:fill="FFFFFF"/>
          <w:lang w:val="en-US" w:eastAsia="zh-CN"/>
        </w:rPr>
        <w:t>9</w:t>
      </w:r>
      <w:r>
        <w:rPr>
          <w:rFonts w:hint="default" w:ascii="宋体" w:hAnsi="宋体" w:eastAsia="方正仿宋简体" w:cs="宋体"/>
          <w:b w:val="0"/>
          <w:i w:val="0"/>
          <w:caps w:val="0"/>
          <w:color w:val="333333"/>
          <w:spacing w:val="0"/>
          <w:sz w:val="32"/>
          <w:szCs w:val="24"/>
          <w:shd w:val="clear" w:fill="FFFFFF"/>
        </w:rPr>
        <w:t>号）相关要求，综合考虑项目绩效目标、项目管理特点、项目实施内容制定绩效评价指标体系。具体从产出、效益</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满意度3</w:t>
      </w:r>
      <w:r>
        <w:rPr>
          <w:rFonts w:hint="default" w:ascii="宋体" w:hAnsi="宋体" w:eastAsia="方正仿宋简体" w:cs="宋体"/>
          <w:b w:val="0"/>
          <w:i w:val="0"/>
          <w:caps w:val="0"/>
          <w:color w:val="333333"/>
          <w:spacing w:val="0"/>
          <w:sz w:val="32"/>
          <w:szCs w:val="24"/>
          <w:shd w:val="clear" w:fill="FFFFFF"/>
        </w:rPr>
        <w:t>个维度进行全过程评价，</w:t>
      </w:r>
      <w:r>
        <w:rPr>
          <w:rFonts w:hint="eastAsia" w:ascii="宋体" w:hAnsi="宋体" w:eastAsia="方正仿宋简体" w:cs="宋体"/>
          <w:b w:val="0"/>
          <w:i w:val="0"/>
          <w:caps w:val="0"/>
          <w:color w:val="333333"/>
          <w:spacing w:val="0"/>
          <w:sz w:val="32"/>
          <w:szCs w:val="24"/>
          <w:shd w:val="clear" w:fill="FFFFFF"/>
          <w:lang w:val="en-US" w:eastAsia="zh-CN"/>
        </w:rPr>
        <w:t>设计二级指标、三级指标、完成值和分值进行评价，具体指标体系详见项目支出自评表。</w:t>
      </w:r>
    </w:p>
    <w:p w14:paraId="6F183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本次评价采用百分制，评价标准是评价人员进行具体打分时依据的定量、定性标准。根据具体的绩效评价指标体系，评价人员根据评价情况对各级指标进行打分，最终得分由各评价指标得分加总得出。根据最终得分情况将评价标准分为四个等级：优（得分≥90分）；良（80分≤得分＜90分）；中（60≤得分＜80分）；差（得分＜60分）。</w:t>
      </w:r>
    </w:p>
    <w:p w14:paraId="6B880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3.绩效评价的方法</w:t>
      </w:r>
    </w:p>
    <w:p w14:paraId="0D9CB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结合本次绩效评价项目的具体情况，为确保本次绩效评价工作的真实可靠，主要通过审阅资料、实地评价、问卷调查、数据分析等方法进行评价。</w:t>
      </w:r>
    </w:p>
    <w:p w14:paraId="11F0D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4.绩效评价标准</w:t>
      </w:r>
    </w:p>
    <w:p w14:paraId="6E829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绩效评价标准通常包括计划标准、行业标准、历史标准等，用于对绩效指标完成情况进行比较。本次绩效评价主要采用计划标准。</w:t>
      </w:r>
    </w:p>
    <w:p w14:paraId="032E6F0C">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绩效评价工作过程。</w:t>
      </w:r>
    </w:p>
    <w:p w14:paraId="46D00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eastAsia" w:ascii="宋体" w:hAnsi="宋体" w:eastAsia="方正仿宋简体" w:cs="宋体"/>
          <w:b w:val="0"/>
          <w:i w:val="0"/>
          <w:caps w:val="0"/>
          <w:color w:val="333333"/>
          <w:spacing w:val="0"/>
          <w:sz w:val="32"/>
          <w:szCs w:val="24"/>
          <w:shd w:val="clear" w:fill="FFFFFF"/>
        </w:rPr>
        <w:t>根据绩效评价的要求，我们成立了自评工作领导小组，对照自评方案进行研究和部署，班子成员全程参与，按照自评方案的要求，对照各实施项目的内容逐条逐项自评。在自评过程发现问题，查找原因，及时纠正偏差，为下一步工作夯实基础。</w:t>
      </w:r>
    </w:p>
    <w:p w14:paraId="5398493F">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综合评价情况及评价结论</w:t>
      </w:r>
    </w:p>
    <w:p w14:paraId="5261B300">
      <w:pPr>
        <w:pStyle w:val="2"/>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网信乐亭”项目部门总体产出、效益、满意度指标完成良好。通过开辟党史学习教育、网络安全、疫情防控等多个专题，推送相关消息，制作H5、短视频、长图、海报、音频等多个形式的高质量新媒体作品，畅通政务渠道，吸引公众阅读，起到了宣传主力军作用。网信办2021</w:t>
      </w:r>
      <w:r>
        <w:rPr>
          <w:rFonts w:hint="default" w:ascii="宋体" w:hAnsi="宋体" w:eastAsia="方正仿宋简体" w:cs="宋体"/>
          <w:b w:val="0"/>
          <w:i w:val="0"/>
          <w:caps w:val="0"/>
          <w:color w:val="333333"/>
          <w:spacing w:val="0"/>
          <w:sz w:val="32"/>
          <w:szCs w:val="24"/>
          <w:shd w:val="clear" w:fill="FFFFFF"/>
          <w:lang w:val="en-US" w:eastAsia="zh-CN"/>
        </w:rPr>
        <w:t>年</w:t>
      </w:r>
      <w:r>
        <w:rPr>
          <w:rFonts w:hint="eastAsia" w:ascii="宋体" w:hAnsi="宋体" w:eastAsia="方正仿宋简体" w:cs="宋体"/>
          <w:b w:val="0"/>
          <w:i w:val="0"/>
          <w:caps w:val="0"/>
          <w:color w:val="333333"/>
          <w:spacing w:val="0"/>
          <w:sz w:val="32"/>
          <w:szCs w:val="24"/>
          <w:shd w:val="clear" w:fill="FFFFFF"/>
          <w:lang w:val="en-US" w:eastAsia="zh-CN"/>
        </w:rPr>
        <w:t>网信乐亭</w:t>
      </w:r>
      <w:r>
        <w:rPr>
          <w:rFonts w:hint="default" w:ascii="宋体" w:hAnsi="宋体" w:eastAsia="方正仿宋简体" w:cs="宋体"/>
          <w:b w:val="0"/>
          <w:i w:val="0"/>
          <w:caps w:val="0"/>
          <w:color w:val="333333"/>
          <w:spacing w:val="0"/>
          <w:sz w:val="32"/>
          <w:szCs w:val="24"/>
          <w:shd w:val="clear" w:fill="FFFFFF"/>
          <w:lang w:val="en-US" w:eastAsia="zh-CN"/>
        </w:rPr>
        <w:t>项目绩效评价得分</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lang w:val="en-US" w:eastAsia="zh-CN"/>
        </w:rPr>
        <w:t>分，评价等级为“优”。</w:t>
      </w:r>
    </w:p>
    <w:p w14:paraId="4618236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hint="eastAsia" w:eastAsia="黑体"/>
          <w:sz w:val="32"/>
          <w:szCs w:val="32"/>
        </w:rPr>
        <w:t>四、绩效评价指标分析</w:t>
      </w:r>
    </w:p>
    <w:p w14:paraId="21976AC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（一）项目决策情况。</w:t>
      </w:r>
    </w:p>
    <w:p w14:paraId="42B6A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kern w:val="2"/>
          <w:sz w:val="32"/>
          <w:szCs w:val="24"/>
          <w:shd w:val="clear" w:fill="FFFFFF"/>
          <w:lang w:val="en-US" w:eastAsia="zh-CN" w:bidi="ar-SA"/>
        </w:rPr>
      </w:pPr>
      <w:r>
        <w:rPr>
          <w:rFonts w:hint="default" w:ascii="宋体" w:hAnsi="宋体" w:eastAsia="方正仿宋简体" w:cs="宋体"/>
          <w:b w:val="0"/>
          <w:i w:val="0"/>
          <w:caps w:val="0"/>
          <w:color w:val="333333"/>
          <w:spacing w:val="0"/>
          <w:sz w:val="32"/>
          <w:szCs w:val="24"/>
          <w:shd w:val="clear" w:fill="FFFFFF"/>
        </w:rPr>
        <w:t>1.项目立项方面</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kern w:val="2"/>
          <w:sz w:val="32"/>
          <w:szCs w:val="24"/>
          <w:shd w:val="clear" w:fill="FFFFFF"/>
          <w:lang w:val="en-US" w:eastAsia="zh-CN" w:bidi="ar-SA"/>
        </w:rPr>
        <w:t>根据网信办职能配置的规定，结合中央、省、市委网信办的安排部署，落实县委县政府的重大决策，立项依据充分。</w:t>
      </w:r>
    </w:p>
    <w:p w14:paraId="2833A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绩效目标方面。项目申报预算时，将绩效目标设较为明确的绩效目标，符合国家相关法律法规、政府决策，与项目实施单位职责密切相关，预期产出效益和效果符合正常的业绩水平。绩效目标与项目年度计划数或任务相对应、与预算确定的项目资金相匹配，但绩效指标细化、量化不足，未能全面、清晰反映项目产出和效益情况。</w:t>
      </w:r>
    </w:p>
    <w:p w14:paraId="40EEA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3.资金投入方面。项目资金</w:t>
      </w:r>
      <w:r>
        <w:rPr>
          <w:rFonts w:hint="eastAsia" w:ascii="宋体" w:hAnsi="宋体" w:eastAsia="方正仿宋简体" w:cs="宋体"/>
          <w:b w:val="0"/>
          <w:i w:val="0"/>
          <w:caps w:val="0"/>
          <w:color w:val="333333"/>
          <w:spacing w:val="0"/>
          <w:sz w:val="32"/>
          <w:szCs w:val="24"/>
          <w:shd w:val="clear" w:fill="FFFFFF"/>
          <w:lang w:val="en-US" w:eastAsia="zh-CN"/>
        </w:rPr>
        <w:t>征集、制作新媒体作品，完成宣传任务，维护日常运营</w:t>
      </w:r>
      <w:r>
        <w:rPr>
          <w:rFonts w:hint="default" w:ascii="宋体" w:hAnsi="宋体" w:eastAsia="方正仿宋简体" w:cs="宋体"/>
          <w:b w:val="0"/>
          <w:i w:val="0"/>
          <w:caps w:val="0"/>
          <w:color w:val="333333"/>
          <w:spacing w:val="0"/>
          <w:sz w:val="32"/>
          <w:szCs w:val="24"/>
          <w:shd w:val="clear" w:fill="FFFFFF"/>
        </w:rPr>
        <w:t>为测算依据，预算额度测算、分配依据充分。项目下达资金2万元，实际到位项目资金2万元，资金到位率100%，到位及时率100%，项目资金及时到位有效保障项目实施。</w:t>
      </w:r>
    </w:p>
    <w:p w14:paraId="1D10AC8C">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项目过程情况。</w:t>
      </w:r>
    </w:p>
    <w:p w14:paraId="22941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color w:val="333333"/>
          <w:sz w:val="32"/>
          <w:szCs w:val="24"/>
          <w:lang w:eastAsia="zh-CN"/>
        </w:rPr>
      </w:pPr>
      <w:r>
        <w:rPr>
          <w:rFonts w:hint="default" w:ascii="宋体" w:hAnsi="宋体" w:eastAsia="方正仿宋简体" w:cs="宋体"/>
          <w:b w:val="0"/>
          <w:i w:val="0"/>
          <w:caps w:val="0"/>
          <w:color w:val="333333"/>
          <w:spacing w:val="0"/>
          <w:sz w:val="32"/>
          <w:szCs w:val="24"/>
          <w:shd w:val="clear" w:fill="FFFFFF"/>
        </w:rPr>
        <w:t>1.资金管理方面。</w:t>
      </w:r>
      <w:r>
        <w:rPr>
          <w:rFonts w:hint="eastAsia" w:ascii="宋体" w:hAnsi="宋体" w:eastAsia="方正仿宋简体" w:cs="宋体"/>
          <w:b w:val="0"/>
          <w:i w:val="0"/>
          <w:caps w:val="0"/>
          <w:color w:val="333333"/>
          <w:spacing w:val="0"/>
          <w:sz w:val="32"/>
          <w:szCs w:val="24"/>
          <w:shd w:val="clear" w:fill="FFFFFF"/>
          <w:lang w:val="en-US" w:eastAsia="zh-CN"/>
        </w:rPr>
        <w:t>根据《乐亭县预算绩效监控管理暂行办法》</w:t>
      </w:r>
      <w:r>
        <w:rPr>
          <w:rFonts w:hint="default" w:ascii="宋体" w:hAnsi="宋体" w:eastAsia="方正仿宋简体" w:cs="宋体"/>
          <w:b w:val="0"/>
          <w:i w:val="0"/>
          <w:caps w:val="0"/>
          <w:color w:val="333333"/>
          <w:spacing w:val="0"/>
          <w:sz w:val="32"/>
          <w:szCs w:val="24"/>
          <w:shd w:val="clear" w:fill="FFFFFF"/>
        </w:rPr>
        <w:t>相关要求，</w:t>
      </w:r>
      <w:r>
        <w:rPr>
          <w:rFonts w:hint="eastAsia" w:ascii="宋体" w:hAnsi="宋体" w:eastAsia="方正仿宋简体" w:cs="宋体"/>
          <w:b w:val="0"/>
          <w:i w:val="0"/>
          <w:caps w:val="0"/>
          <w:color w:val="333333"/>
          <w:spacing w:val="0"/>
          <w:sz w:val="32"/>
          <w:szCs w:val="24"/>
          <w:shd w:val="clear" w:fill="FFFFFF"/>
          <w:lang w:val="en-US" w:eastAsia="zh-CN"/>
        </w:rPr>
        <w:t>对项目资金执行情况进行监控，</w:t>
      </w:r>
      <w:r>
        <w:rPr>
          <w:rFonts w:hint="default" w:ascii="宋体" w:hAnsi="宋体" w:eastAsia="方正仿宋简体" w:cs="宋体"/>
          <w:b w:val="0"/>
          <w:i w:val="0"/>
          <w:caps w:val="0"/>
          <w:color w:val="333333"/>
          <w:spacing w:val="0"/>
          <w:sz w:val="32"/>
          <w:szCs w:val="24"/>
          <w:shd w:val="clear" w:fill="FFFFFF"/>
        </w:rPr>
        <w:t>未发现挪用、虚列支出等情况</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资金执行及时。</w:t>
      </w:r>
    </w:p>
    <w:p w14:paraId="1FD84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2.组织实施方面。</w:t>
      </w:r>
      <w:r>
        <w:rPr>
          <w:rFonts w:hint="eastAsia" w:ascii="宋体" w:hAnsi="宋体" w:eastAsia="方正仿宋简体" w:cs="宋体"/>
          <w:b w:val="0"/>
          <w:i w:val="0"/>
          <w:caps w:val="0"/>
          <w:color w:val="333333"/>
          <w:spacing w:val="0"/>
          <w:sz w:val="32"/>
          <w:szCs w:val="24"/>
          <w:shd w:val="clear" w:fill="FFFFFF"/>
          <w:lang w:val="en-US" w:eastAsia="zh-CN"/>
        </w:rPr>
        <w:t>按照上级宣传指令和宣传任务开设专栏、开辟专题，按期征集、制作新媒体作品，圆满完成各项宣传任务</w:t>
      </w:r>
      <w:r>
        <w:rPr>
          <w:rFonts w:hint="default" w:ascii="宋体" w:hAnsi="宋体" w:eastAsia="方正仿宋简体" w:cs="宋体"/>
          <w:b w:val="0"/>
          <w:i w:val="0"/>
          <w:caps w:val="0"/>
          <w:color w:val="333333"/>
          <w:spacing w:val="0"/>
          <w:sz w:val="32"/>
          <w:szCs w:val="24"/>
          <w:shd w:val="clear" w:fill="FFFFFF"/>
        </w:rPr>
        <w:t>。</w:t>
      </w:r>
    </w:p>
    <w:p w14:paraId="19FFF4E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（三）项目产出情况。</w:t>
      </w:r>
    </w:p>
    <w:p w14:paraId="4C39E14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项目产出包括产出数量、产出质量、产出时效</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产出成本四</w:t>
      </w:r>
      <w:r>
        <w:rPr>
          <w:rFonts w:hint="default" w:ascii="宋体" w:hAnsi="宋体" w:eastAsia="方正仿宋简体" w:cs="宋体"/>
          <w:b w:val="0"/>
          <w:i w:val="0"/>
          <w:caps w:val="0"/>
          <w:color w:val="333333"/>
          <w:spacing w:val="0"/>
          <w:sz w:val="32"/>
          <w:szCs w:val="24"/>
          <w:shd w:val="clear" w:fill="FFFFFF"/>
        </w:rPr>
        <w:t>个方面。该项满分为</w:t>
      </w:r>
      <w:r>
        <w:rPr>
          <w:rFonts w:hint="eastAsia" w:ascii="宋体" w:hAnsi="宋体" w:eastAsia="方正仿宋简体" w:cs="宋体"/>
          <w:b w:val="0"/>
          <w:i w:val="0"/>
          <w:caps w:val="0"/>
          <w:color w:val="333333"/>
          <w:spacing w:val="0"/>
          <w:sz w:val="32"/>
          <w:szCs w:val="24"/>
          <w:shd w:val="clear" w:fill="FFFFFF"/>
          <w:lang w:val="en-US" w:eastAsia="zh-CN"/>
        </w:rPr>
        <w:t>60</w:t>
      </w:r>
      <w:r>
        <w:rPr>
          <w:rFonts w:hint="default" w:ascii="宋体" w:hAnsi="宋体" w:eastAsia="方正仿宋简体" w:cs="宋体"/>
          <w:b w:val="0"/>
          <w:i w:val="0"/>
          <w:caps w:val="0"/>
          <w:color w:val="333333"/>
          <w:spacing w:val="0"/>
          <w:sz w:val="32"/>
          <w:szCs w:val="24"/>
          <w:shd w:val="clear" w:fill="FFFFFF"/>
        </w:rPr>
        <w:t>分，得分</w:t>
      </w:r>
      <w:r>
        <w:rPr>
          <w:rFonts w:hint="eastAsia" w:ascii="宋体" w:hAnsi="宋体" w:eastAsia="方正仿宋简体" w:cs="宋体"/>
          <w:b w:val="0"/>
          <w:i w:val="0"/>
          <w:caps w:val="0"/>
          <w:color w:val="333333"/>
          <w:spacing w:val="0"/>
          <w:sz w:val="32"/>
          <w:szCs w:val="24"/>
          <w:shd w:val="clear" w:fill="FFFFFF"/>
          <w:lang w:val="en-US" w:eastAsia="zh-CN"/>
        </w:rPr>
        <w:t>60</w:t>
      </w:r>
      <w:r>
        <w:rPr>
          <w:rFonts w:hint="default" w:ascii="宋体" w:hAnsi="宋体" w:eastAsia="方正仿宋简体" w:cs="宋体"/>
          <w:b w:val="0"/>
          <w:i w:val="0"/>
          <w:caps w:val="0"/>
          <w:color w:val="333333"/>
          <w:spacing w:val="0"/>
          <w:sz w:val="32"/>
          <w:szCs w:val="24"/>
          <w:shd w:val="clear" w:fill="FFFFFF"/>
        </w:rPr>
        <w:t>分，得分率</w:t>
      </w:r>
      <w:r>
        <w:rPr>
          <w:rFonts w:hint="eastAsia" w:ascii="宋体" w:hAnsi="宋体" w:eastAsia="方正仿宋简体" w:cs="宋体"/>
          <w:b w:val="0"/>
          <w:i w:val="0"/>
          <w:caps w:val="0"/>
          <w:color w:val="333333"/>
          <w:spacing w:val="0"/>
          <w:sz w:val="32"/>
          <w:szCs w:val="24"/>
          <w:shd w:val="clear" w:fill="FFFFFF"/>
          <w:lang w:val="en-US" w:eastAsia="zh-CN"/>
        </w:rPr>
        <w:t>100.00</w:t>
      </w:r>
      <w:r>
        <w:rPr>
          <w:rFonts w:hint="default" w:ascii="宋体" w:hAnsi="宋体" w:eastAsia="方正仿宋简体" w:cs="宋体"/>
          <w:b w:val="0"/>
          <w:i w:val="0"/>
          <w:caps w:val="0"/>
          <w:color w:val="333333"/>
          <w:spacing w:val="0"/>
          <w:sz w:val="32"/>
          <w:szCs w:val="24"/>
          <w:shd w:val="clear" w:fill="FFFFFF"/>
        </w:rPr>
        <w:t>%。具体绩效评价产出情况分析如下：</w:t>
      </w:r>
    </w:p>
    <w:p w14:paraId="6AC25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1.产出</w:t>
      </w:r>
      <w:r>
        <w:rPr>
          <w:rFonts w:hint="eastAsia" w:ascii="宋体" w:hAnsi="宋体" w:eastAsia="方正仿宋简体" w:cs="宋体"/>
          <w:b w:val="0"/>
          <w:i w:val="0"/>
          <w:caps w:val="0"/>
          <w:color w:val="333333"/>
          <w:spacing w:val="0"/>
          <w:sz w:val="32"/>
          <w:szCs w:val="27"/>
          <w:shd w:val="clear" w:fill="FFFFFF"/>
          <w:lang w:val="en-US" w:eastAsia="zh-CN"/>
        </w:rPr>
        <w:t>成本</w:t>
      </w:r>
      <w:r>
        <w:rPr>
          <w:rFonts w:hint="default" w:ascii="宋体" w:hAnsi="宋体" w:eastAsia="方正仿宋简体" w:cs="宋体"/>
          <w:b w:val="0"/>
          <w:i w:val="0"/>
          <w:caps w:val="0"/>
          <w:color w:val="333333"/>
          <w:spacing w:val="0"/>
          <w:sz w:val="32"/>
          <w:szCs w:val="27"/>
          <w:shd w:val="clear" w:fill="FFFFFF"/>
        </w:rPr>
        <w:t>方面。</w:t>
      </w:r>
    </w:p>
    <w:p w14:paraId="0835C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default" w:ascii="宋体" w:hAnsi="宋体" w:eastAsia="方正仿宋简体" w:cs="宋体"/>
          <w:b w:val="0"/>
          <w:i w:val="0"/>
          <w:caps w:val="0"/>
          <w:color w:val="333333"/>
          <w:spacing w:val="0"/>
          <w:sz w:val="32"/>
          <w:szCs w:val="24"/>
          <w:shd w:val="clear" w:fill="FFFFFF"/>
        </w:rPr>
        <w:t>项目到位资金2万元，实际使用资金2万元，资金使用率</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rPr>
        <w:t>%。</w:t>
      </w:r>
    </w:p>
    <w:p w14:paraId="142D1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color w:val="333333"/>
          <w:sz w:val="32"/>
          <w:szCs w:val="24"/>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2.产出数量方面。</w:t>
      </w:r>
      <w:r>
        <w:rPr>
          <w:rFonts w:hint="default" w:ascii="宋体" w:hAnsi="宋体" w:eastAsia="方正仿宋简体" w:cs="宋体"/>
          <w:b w:val="0"/>
          <w:i w:val="0"/>
          <w:caps w:val="0"/>
          <w:color w:val="333333"/>
          <w:spacing w:val="0"/>
          <w:sz w:val="32"/>
          <w:szCs w:val="24"/>
          <w:shd w:val="clear" w:fill="FFFFFF"/>
        </w:rPr>
        <w:t>根据</w:t>
      </w:r>
      <w:r>
        <w:rPr>
          <w:rFonts w:hint="eastAsia" w:ascii="宋体" w:hAnsi="宋体" w:eastAsia="方正仿宋简体" w:cs="宋体"/>
          <w:b w:val="0"/>
          <w:i w:val="0"/>
          <w:caps w:val="0"/>
          <w:color w:val="333333"/>
          <w:spacing w:val="0"/>
          <w:sz w:val="32"/>
          <w:szCs w:val="24"/>
          <w:shd w:val="clear" w:fill="FFFFFF"/>
          <w:lang w:val="en-US" w:eastAsia="zh-CN"/>
        </w:rPr>
        <w:t>上级宣传指令和时间节点，开设专栏、专题30余个，</w:t>
      </w:r>
      <w:r>
        <w:rPr>
          <w:rFonts w:hint="eastAsia" w:ascii="宋体" w:hAnsi="宋体" w:eastAsia="方正仿宋简体" w:cs="方正仿宋简体"/>
          <w:sz w:val="32"/>
          <w:szCs w:val="32"/>
        </w:rPr>
        <w:t>发布建党100周年信息300余条；发布疫情防控各类公告、辟谣、措施、知识等信息</w:t>
      </w:r>
      <w:r>
        <w:rPr>
          <w:rFonts w:hint="eastAsia" w:ascii="宋体" w:hAnsi="宋体" w:eastAsia="方正仿宋简体" w:cs="方正仿宋简体"/>
          <w:sz w:val="32"/>
          <w:szCs w:val="32"/>
          <w:lang w:val="en-US" w:eastAsia="zh-CN"/>
        </w:rPr>
        <w:t>500</w:t>
      </w:r>
      <w:r>
        <w:rPr>
          <w:rFonts w:hint="eastAsia" w:ascii="宋体" w:hAnsi="宋体" w:eastAsia="方正仿宋简体" w:cs="方正仿宋简体"/>
          <w:sz w:val="32"/>
          <w:szCs w:val="32"/>
        </w:rPr>
        <w:t>余条</w:t>
      </w:r>
      <w:r>
        <w:rPr>
          <w:rFonts w:hint="eastAsia" w:ascii="宋体" w:hAnsi="宋体" w:eastAsia="方正仿宋简体" w:cs="宋体"/>
          <w:b w:val="0"/>
          <w:i w:val="0"/>
          <w:caps w:val="0"/>
          <w:color w:val="333333"/>
          <w:spacing w:val="0"/>
          <w:sz w:val="32"/>
          <w:szCs w:val="24"/>
          <w:shd w:val="clear" w:fill="FFFFFF"/>
          <w:lang w:val="en-US" w:eastAsia="zh-CN"/>
        </w:rPr>
        <w:t>，制作新媒体作品</w:t>
      </w:r>
      <w:r>
        <w:rPr>
          <w:rFonts w:hint="eastAsia" w:ascii="宋体" w:hAnsi="宋体" w:eastAsia="方正仿宋简体" w:cs="方正仿宋简体"/>
          <w:sz w:val="32"/>
          <w:szCs w:val="32"/>
          <w:lang w:val="en-US" w:eastAsia="zh-CN"/>
        </w:rPr>
        <w:t>40</w:t>
      </w:r>
      <w:r>
        <w:rPr>
          <w:rFonts w:hint="eastAsia" w:ascii="宋体" w:hAnsi="宋体" w:eastAsia="方正仿宋简体" w:cs="宋体"/>
          <w:b w:val="0"/>
          <w:i w:val="0"/>
          <w:caps w:val="0"/>
          <w:color w:val="333333"/>
          <w:spacing w:val="0"/>
          <w:sz w:val="32"/>
          <w:szCs w:val="24"/>
          <w:shd w:val="clear" w:fill="FFFFFF"/>
          <w:lang w:val="en-US" w:eastAsia="zh-CN"/>
        </w:rPr>
        <w:t>余个</w:t>
      </w:r>
      <w:r>
        <w:rPr>
          <w:rFonts w:hint="default" w:ascii="宋体" w:hAnsi="宋体" w:eastAsia="方正仿宋简体" w:cs="宋体"/>
          <w:b w:val="0"/>
          <w:i w:val="0"/>
          <w:caps w:val="0"/>
          <w:color w:val="333333"/>
          <w:spacing w:val="0"/>
          <w:sz w:val="32"/>
          <w:szCs w:val="24"/>
          <w:shd w:val="clear" w:fill="FFFFFF"/>
        </w:rPr>
        <w:t>。</w:t>
      </w:r>
      <w:r>
        <w:rPr>
          <w:rFonts w:hint="eastAsia" w:ascii="宋体" w:hAnsi="宋体" w:eastAsia="方正仿宋简体" w:cs="宋体"/>
          <w:b w:val="0"/>
          <w:i w:val="0"/>
          <w:caps w:val="0"/>
          <w:color w:val="333333"/>
          <w:spacing w:val="0"/>
          <w:sz w:val="32"/>
          <w:szCs w:val="24"/>
          <w:shd w:val="clear" w:fill="FFFFFF"/>
          <w:lang w:val="en-US" w:eastAsia="zh-CN"/>
        </w:rPr>
        <w:t>其他各类消息1500余条，起到了宣传主力军作用。</w:t>
      </w:r>
    </w:p>
    <w:p w14:paraId="62BC679A">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eastAsia="方正仿宋简体"/>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3</w:t>
      </w:r>
      <w:r>
        <w:rPr>
          <w:rFonts w:hint="default" w:ascii="宋体" w:hAnsi="宋体" w:eastAsia="方正仿宋简体" w:cs="宋体"/>
          <w:b w:val="0"/>
          <w:i w:val="0"/>
          <w:caps w:val="0"/>
          <w:color w:val="333333"/>
          <w:spacing w:val="0"/>
          <w:sz w:val="32"/>
          <w:szCs w:val="24"/>
          <w:shd w:val="clear" w:fill="FFFFFF"/>
        </w:rPr>
        <w:t>.产出质量</w:t>
      </w:r>
      <w:r>
        <w:rPr>
          <w:rFonts w:hint="eastAsia" w:ascii="宋体" w:hAnsi="宋体" w:eastAsia="方正仿宋简体" w:cs="宋体"/>
          <w:b w:val="0"/>
          <w:i w:val="0"/>
          <w:caps w:val="0"/>
          <w:color w:val="333333"/>
          <w:spacing w:val="0"/>
          <w:sz w:val="32"/>
          <w:szCs w:val="24"/>
          <w:shd w:val="clear" w:fill="FFFFFF"/>
          <w:lang w:val="en-US" w:eastAsia="zh-CN"/>
        </w:rPr>
        <w:t>和时效</w:t>
      </w:r>
      <w:r>
        <w:rPr>
          <w:rFonts w:hint="default" w:ascii="宋体" w:hAnsi="宋体" w:eastAsia="方正仿宋简体" w:cs="宋体"/>
          <w:b w:val="0"/>
          <w:i w:val="0"/>
          <w:caps w:val="0"/>
          <w:color w:val="333333"/>
          <w:spacing w:val="0"/>
          <w:sz w:val="32"/>
          <w:szCs w:val="24"/>
          <w:shd w:val="clear" w:fill="FFFFFF"/>
        </w:rPr>
        <w:t>方面。</w:t>
      </w:r>
      <w:r>
        <w:rPr>
          <w:rFonts w:hint="eastAsia" w:ascii="宋体" w:hAnsi="宋体" w:eastAsia="方正仿宋简体" w:cs="宋体"/>
          <w:b w:val="0"/>
          <w:i w:val="0"/>
          <w:caps w:val="0"/>
          <w:color w:val="333333"/>
          <w:spacing w:val="0"/>
          <w:sz w:val="32"/>
          <w:szCs w:val="24"/>
          <w:shd w:val="clear" w:fill="FFFFFF"/>
          <w:lang w:val="en-US" w:eastAsia="zh-CN"/>
        </w:rPr>
        <w:t>作品质量有效和发布消息及时率都达到了100%，对征集、制作的新媒体作品进行严格筛选，优中选优，对宣传作品质量严格把关，把握正能量导向，按照宣传时间节点，及时进行宣传发布。</w:t>
      </w:r>
    </w:p>
    <w:p w14:paraId="6B7BB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（四）效益情况分析</w:t>
      </w:r>
    </w:p>
    <w:p w14:paraId="0CDEA0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效益情况包括</w:t>
      </w:r>
      <w:r>
        <w:rPr>
          <w:rFonts w:hint="eastAsia" w:ascii="宋体" w:hAnsi="宋体" w:eastAsia="方正仿宋简体" w:cs="宋体"/>
          <w:b w:val="0"/>
          <w:i w:val="0"/>
          <w:caps w:val="0"/>
          <w:color w:val="333333"/>
          <w:spacing w:val="0"/>
          <w:sz w:val="32"/>
          <w:szCs w:val="24"/>
          <w:shd w:val="clear" w:fill="FFFFFF"/>
          <w:lang w:val="en-US" w:eastAsia="zh-CN"/>
        </w:rPr>
        <w:t>社会</w:t>
      </w:r>
      <w:r>
        <w:rPr>
          <w:rFonts w:hint="default" w:ascii="宋体" w:hAnsi="宋体" w:eastAsia="方正仿宋简体" w:cs="宋体"/>
          <w:b w:val="0"/>
          <w:i w:val="0"/>
          <w:caps w:val="0"/>
          <w:color w:val="333333"/>
          <w:spacing w:val="0"/>
          <w:sz w:val="32"/>
          <w:szCs w:val="24"/>
          <w:shd w:val="clear" w:fill="FFFFFF"/>
        </w:rPr>
        <w:t>效益、满意度</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可持续影响三</w:t>
      </w:r>
      <w:r>
        <w:rPr>
          <w:rFonts w:hint="default" w:ascii="宋体" w:hAnsi="宋体" w:eastAsia="方正仿宋简体" w:cs="宋体"/>
          <w:b w:val="0"/>
          <w:i w:val="0"/>
          <w:caps w:val="0"/>
          <w:color w:val="333333"/>
          <w:spacing w:val="0"/>
          <w:sz w:val="32"/>
          <w:szCs w:val="24"/>
          <w:shd w:val="clear" w:fill="FFFFFF"/>
        </w:rPr>
        <w:t>方面，满分为</w:t>
      </w:r>
      <w:r>
        <w:rPr>
          <w:rFonts w:hint="eastAsia" w:ascii="宋体" w:hAnsi="宋体" w:eastAsia="方正仿宋简体" w:cs="宋体"/>
          <w:b w:val="0"/>
          <w:i w:val="0"/>
          <w:caps w:val="0"/>
          <w:color w:val="333333"/>
          <w:spacing w:val="0"/>
          <w:sz w:val="32"/>
          <w:szCs w:val="24"/>
          <w:shd w:val="clear" w:fill="FFFFFF"/>
          <w:lang w:val="en-US" w:eastAsia="zh-CN"/>
        </w:rPr>
        <w:t>30</w:t>
      </w:r>
      <w:r>
        <w:rPr>
          <w:rFonts w:hint="default" w:ascii="宋体" w:hAnsi="宋体" w:eastAsia="方正仿宋简体" w:cs="宋体"/>
          <w:b w:val="0"/>
          <w:i w:val="0"/>
          <w:caps w:val="0"/>
          <w:color w:val="333333"/>
          <w:spacing w:val="0"/>
          <w:sz w:val="32"/>
          <w:szCs w:val="24"/>
          <w:shd w:val="clear" w:fill="FFFFFF"/>
        </w:rPr>
        <w:t>分，得分</w:t>
      </w:r>
      <w:r>
        <w:rPr>
          <w:rFonts w:hint="eastAsia" w:ascii="宋体" w:hAnsi="宋体" w:eastAsia="方正仿宋简体" w:cs="宋体"/>
          <w:b w:val="0"/>
          <w:i w:val="0"/>
          <w:caps w:val="0"/>
          <w:color w:val="333333"/>
          <w:spacing w:val="0"/>
          <w:sz w:val="32"/>
          <w:szCs w:val="24"/>
          <w:shd w:val="clear" w:fill="FFFFFF"/>
          <w:lang w:val="en-US" w:eastAsia="zh-CN"/>
        </w:rPr>
        <w:t>30</w:t>
      </w:r>
      <w:r>
        <w:rPr>
          <w:rFonts w:hint="default" w:ascii="宋体" w:hAnsi="宋体" w:eastAsia="方正仿宋简体" w:cs="宋体"/>
          <w:b w:val="0"/>
          <w:i w:val="0"/>
          <w:caps w:val="0"/>
          <w:color w:val="333333"/>
          <w:spacing w:val="0"/>
          <w:sz w:val="32"/>
          <w:szCs w:val="24"/>
          <w:shd w:val="clear" w:fill="FFFFFF"/>
        </w:rPr>
        <w:t>分，得分率</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rPr>
        <w:t>%。具体绩效评价效果情况</w:t>
      </w:r>
      <w:r>
        <w:rPr>
          <w:rFonts w:hint="eastAsia" w:ascii="宋体" w:hAnsi="宋体" w:eastAsia="方正仿宋简体" w:cs="宋体"/>
          <w:b w:val="0"/>
          <w:i w:val="0"/>
          <w:caps w:val="0"/>
          <w:color w:val="333333"/>
          <w:spacing w:val="0"/>
          <w:sz w:val="32"/>
          <w:szCs w:val="24"/>
          <w:shd w:val="clear" w:fill="FFFFFF"/>
          <w:lang w:val="en-US" w:eastAsia="zh-CN"/>
        </w:rPr>
        <w:t>详见项目支出自评表。</w:t>
      </w:r>
    </w:p>
    <w:p w14:paraId="6A7FBC3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五、主要经验及做法、存在的问题及原因分析</w:t>
      </w:r>
    </w:p>
    <w:p w14:paraId="5BD1073E">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2"/>
          <w:sz w:val="32"/>
          <w:szCs w:val="24"/>
          <w:shd w:val="clear" w:fill="FFFFFF"/>
          <w:lang w:val="en-US" w:eastAsia="zh-CN" w:bidi="ar-SA"/>
        </w:rPr>
      </w:pPr>
      <w:r>
        <w:rPr>
          <w:rFonts w:hint="eastAsia" w:ascii="宋体" w:hAnsi="宋体" w:eastAsia="方正仿宋简体" w:cs="宋体"/>
          <w:b w:val="0"/>
          <w:i w:val="0"/>
          <w:caps w:val="0"/>
          <w:color w:val="333333"/>
          <w:spacing w:val="0"/>
          <w:kern w:val="2"/>
          <w:sz w:val="32"/>
          <w:szCs w:val="24"/>
          <w:shd w:val="clear" w:fill="FFFFFF"/>
          <w:lang w:val="en-US" w:eastAsia="zh-CN" w:bidi="ar-SA"/>
        </w:rPr>
        <w:t>单位领导高度重视，在部门预算的调整、资金的下达、部门预算的执行及项目后期的绩效评价过程中，凡属于“三重一大”的事项均通过集体研究通过。高度重视预算的执行及执行过程对资金使用的监督和指导，确保项目资金使用合理、合规。但也存在支出指标设置的不够细化、量化的问题，下一步将专门针对县委网信办部门整体支出的特点，强化预算绩效申报工作，强化项目实施方案预报，保证质量，在计划期内完成目标任务并达到预期效益。</w:t>
      </w:r>
    </w:p>
    <w:p w14:paraId="57657EEB">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有关建议</w:t>
      </w:r>
    </w:p>
    <w:p w14:paraId="1D439E18">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2"/>
          <w:sz w:val="32"/>
          <w:szCs w:val="24"/>
          <w:shd w:val="clear" w:fill="FFFFFF"/>
          <w:lang w:val="en-US" w:eastAsia="zh-CN" w:bidi="ar-SA"/>
        </w:rPr>
      </w:pPr>
      <w:r>
        <w:rPr>
          <w:rFonts w:hint="eastAsia" w:ascii="宋体" w:hAnsi="宋体" w:eastAsia="方正仿宋简体" w:cs="宋体"/>
          <w:b w:val="0"/>
          <w:i w:val="0"/>
          <w:caps w:val="0"/>
          <w:color w:val="333333"/>
          <w:spacing w:val="0"/>
          <w:kern w:val="2"/>
          <w:sz w:val="32"/>
          <w:szCs w:val="24"/>
          <w:shd w:val="clear" w:fill="FFFFFF"/>
          <w:lang w:val="en-US" w:eastAsia="zh-CN" w:bidi="ar-SA"/>
        </w:rPr>
        <w:t>建立和完善长效机制，把绩效评价作为部门的日常性工作，建立绩效评价管理工作考核的长效机制。</w:t>
      </w:r>
    </w:p>
    <w:p w14:paraId="1361DB3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hint="eastAsia" w:eastAsia="黑体"/>
          <w:sz w:val="32"/>
          <w:szCs w:val="32"/>
        </w:rPr>
        <w:t>七、其他需要说明的问题</w:t>
      </w:r>
    </w:p>
    <w:p w14:paraId="4D27BC4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hint="eastAsia" w:ascii="宋体" w:hAnsi="宋体" w:eastAsia="方正仿宋简体" w:cs="宋体"/>
          <w:b w:val="0"/>
          <w:i w:val="0"/>
          <w:caps w:val="0"/>
          <w:color w:val="333333"/>
          <w:spacing w:val="0"/>
          <w:kern w:val="2"/>
          <w:sz w:val="32"/>
          <w:szCs w:val="24"/>
          <w:shd w:val="clear" w:fill="FFFFFF"/>
          <w:lang w:val="en-US" w:eastAsia="zh-CN" w:bidi="ar-SA"/>
        </w:rPr>
        <w:t>无</w:t>
      </w:r>
      <w:r>
        <w:rPr>
          <w:rFonts w:eastAsia="黑体"/>
          <w:sz w:val="32"/>
          <w:szCs w:val="32"/>
        </w:rPr>
        <w:br w:type="page"/>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962"/>
        <w:gridCol w:w="172"/>
        <w:gridCol w:w="403"/>
        <w:gridCol w:w="306"/>
        <w:gridCol w:w="219"/>
        <w:gridCol w:w="632"/>
        <w:gridCol w:w="708"/>
      </w:tblGrid>
      <w:tr w14:paraId="66AC2890">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3BD7D90A">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61176B9">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03E38252">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3098BD98">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6B6C51A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18E1FFB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网信乐亭</w:t>
            </w:r>
          </w:p>
        </w:tc>
      </w:tr>
      <w:tr w14:paraId="5A402E34">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A31656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1EAE02E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443EE6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6C80485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网信办</w:t>
            </w:r>
          </w:p>
        </w:tc>
      </w:tr>
      <w:tr w14:paraId="78FA66AA">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6B026724">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59D6277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10913C4">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0AA43107">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vAlign w:val="center"/>
          </w:tcPr>
          <w:p w14:paraId="72E973C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7E6FF43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3DC3B10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4072B41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ED802B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48DA4A1">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6D78CCF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1024F42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100BF56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77FE9D8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14:paraId="36CB2E4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305BA34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49F6089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02B30AD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0C5E19D">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09A4B8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87A3CF2">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315406E0">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vAlign w:val="center"/>
          </w:tcPr>
          <w:p w14:paraId="6FD5417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vAlign w:val="center"/>
          </w:tcPr>
          <w:p w14:paraId="569329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06351CC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6F64AF4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939B40B">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1D12DF1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1C8B1D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66F2F69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4FFEC0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07A9992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4AE378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3783ACF">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75584B9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27B38FE">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425250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37ACEB0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6FB0365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5EBECFD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11CD06E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C617FF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407A5376">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26B36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DB1A2F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5F63D99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5F20228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6C59514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C18DE63">
        <w:tblPrEx>
          <w:tblCellMar>
            <w:top w:w="0" w:type="dxa"/>
            <w:left w:w="108" w:type="dxa"/>
            <w:bottom w:w="0" w:type="dxa"/>
            <w:right w:w="108" w:type="dxa"/>
          </w:tblCellMar>
        </w:tblPrEx>
        <w:trPr>
          <w:trHeight w:val="793"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06C595A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65BEA9E4">
            <w:pPr>
              <w:widowControl/>
              <w:spacing w:line="240" w:lineRule="exact"/>
              <w:jc w:val="center"/>
              <w:rPr>
                <w:rFonts w:ascii="宋体" w:hAnsi="宋体" w:cs="宋体"/>
                <w:kern w:val="0"/>
                <w:sz w:val="18"/>
                <w:szCs w:val="18"/>
              </w:rPr>
            </w:pPr>
            <w:r>
              <w:rPr>
                <w:rFonts w:hint="eastAsia" w:ascii="宋体" w:hAnsi="宋体" w:cs="宋体"/>
                <w:kern w:val="0"/>
                <w:sz w:val="18"/>
                <w:szCs w:val="18"/>
              </w:rPr>
              <w:t>畅通政务发布渠道，走好网上群众路线，开发平台多种便民功能和板块栏目，建立宣传矩阵；同时维护平台正常运营</w:t>
            </w:r>
          </w:p>
        </w:tc>
        <w:tc>
          <w:tcPr>
            <w:tcW w:w="3402" w:type="dxa"/>
            <w:gridSpan w:val="7"/>
            <w:tcBorders>
              <w:top w:val="single" w:color="auto" w:sz="4" w:space="0"/>
              <w:left w:val="nil"/>
              <w:bottom w:val="single" w:color="auto" w:sz="4" w:space="0"/>
              <w:right w:val="single" w:color="auto" w:sz="4" w:space="0"/>
            </w:tcBorders>
            <w:vAlign w:val="center"/>
          </w:tcPr>
          <w:p w14:paraId="3246B22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开辟党史学习教育、网络安全、疫情防控等多个专题，推送相关</w:t>
            </w:r>
            <w:bookmarkStart w:id="0" w:name="_GoBack"/>
            <w:bookmarkEnd w:id="0"/>
            <w:r>
              <w:rPr>
                <w:rFonts w:hint="eastAsia" w:ascii="宋体" w:hAnsi="宋体" w:cs="宋体"/>
                <w:kern w:val="0"/>
                <w:sz w:val="18"/>
                <w:szCs w:val="18"/>
                <w:lang w:val="en-US" w:eastAsia="zh-CN"/>
              </w:rPr>
              <w:t>消息，制作发布多种形式的新媒体作品，起到宣传主力军作用。</w:t>
            </w:r>
          </w:p>
        </w:tc>
      </w:tr>
      <w:tr w14:paraId="5D387DAA">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vAlign w:val="center"/>
          </w:tcPr>
          <w:p w14:paraId="06AB4905">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14:paraId="2CFD1923">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5620A6FA">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3B0AAE67">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596DD7A9">
            <w:pPr>
              <w:widowControl/>
              <w:jc w:val="center"/>
              <w:rPr>
                <w:rFonts w:ascii="宋体" w:hAnsi="宋体" w:cs="宋体"/>
                <w:kern w:val="0"/>
                <w:sz w:val="18"/>
                <w:szCs w:val="18"/>
              </w:rPr>
            </w:pPr>
            <w:r>
              <w:rPr>
                <w:rFonts w:hint="eastAsia" w:ascii="宋体" w:hAnsi="宋体" w:cs="宋体"/>
                <w:kern w:val="0"/>
                <w:sz w:val="18"/>
                <w:szCs w:val="18"/>
              </w:rPr>
              <w:t>年度</w:t>
            </w:r>
          </w:p>
          <w:p w14:paraId="6F19B57E">
            <w:pPr>
              <w:widowControl/>
              <w:jc w:val="center"/>
              <w:rPr>
                <w:rFonts w:ascii="宋体" w:hAnsi="宋体" w:cs="宋体"/>
                <w:kern w:val="0"/>
                <w:sz w:val="18"/>
                <w:szCs w:val="18"/>
              </w:rPr>
            </w:pPr>
            <w:r>
              <w:rPr>
                <w:rFonts w:hint="eastAsia" w:ascii="宋体" w:hAnsi="宋体" w:cs="宋体"/>
                <w:kern w:val="0"/>
                <w:sz w:val="18"/>
                <w:szCs w:val="18"/>
              </w:rPr>
              <w:t>指标值</w:t>
            </w:r>
          </w:p>
        </w:tc>
        <w:tc>
          <w:tcPr>
            <w:tcW w:w="962" w:type="dxa"/>
            <w:tcBorders>
              <w:top w:val="nil"/>
              <w:left w:val="nil"/>
              <w:bottom w:val="single" w:color="auto" w:sz="4" w:space="0"/>
              <w:right w:val="single" w:color="auto" w:sz="4" w:space="0"/>
            </w:tcBorders>
            <w:vAlign w:val="center"/>
          </w:tcPr>
          <w:p w14:paraId="457E91FF">
            <w:pPr>
              <w:widowControl/>
              <w:jc w:val="center"/>
              <w:rPr>
                <w:rFonts w:ascii="宋体" w:hAnsi="宋体" w:cs="宋体"/>
                <w:kern w:val="0"/>
                <w:sz w:val="18"/>
                <w:szCs w:val="18"/>
              </w:rPr>
            </w:pPr>
            <w:r>
              <w:rPr>
                <w:rFonts w:hint="eastAsia" w:ascii="宋体" w:hAnsi="宋体" w:cs="宋体"/>
                <w:kern w:val="0"/>
                <w:sz w:val="18"/>
                <w:szCs w:val="18"/>
              </w:rPr>
              <w:t>实际</w:t>
            </w:r>
          </w:p>
          <w:p w14:paraId="0DC515AE">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5" w:type="dxa"/>
            <w:gridSpan w:val="2"/>
            <w:tcBorders>
              <w:top w:val="nil"/>
              <w:left w:val="nil"/>
              <w:bottom w:val="single" w:color="auto" w:sz="4" w:space="0"/>
              <w:right w:val="single" w:color="auto" w:sz="4" w:space="0"/>
            </w:tcBorders>
            <w:vAlign w:val="center"/>
          </w:tcPr>
          <w:p w14:paraId="3036BF14">
            <w:pPr>
              <w:widowControl/>
              <w:jc w:val="center"/>
              <w:rPr>
                <w:rFonts w:ascii="宋体" w:hAnsi="宋体" w:cs="宋体"/>
                <w:kern w:val="0"/>
                <w:sz w:val="18"/>
                <w:szCs w:val="18"/>
              </w:rPr>
            </w:pPr>
            <w:r>
              <w:rPr>
                <w:rFonts w:hint="eastAsia" w:ascii="宋体" w:hAnsi="宋体" w:cs="宋体"/>
                <w:kern w:val="0"/>
                <w:sz w:val="18"/>
                <w:szCs w:val="18"/>
              </w:rPr>
              <w:t>分值</w:t>
            </w:r>
          </w:p>
        </w:tc>
        <w:tc>
          <w:tcPr>
            <w:tcW w:w="525" w:type="dxa"/>
            <w:gridSpan w:val="2"/>
            <w:tcBorders>
              <w:top w:val="nil"/>
              <w:left w:val="nil"/>
              <w:bottom w:val="single" w:color="auto" w:sz="4" w:space="0"/>
              <w:right w:val="single" w:color="auto" w:sz="4" w:space="0"/>
            </w:tcBorders>
            <w:vAlign w:val="center"/>
          </w:tcPr>
          <w:p w14:paraId="6CF3BD8A">
            <w:pPr>
              <w:widowControl/>
              <w:jc w:val="center"/>
              <w:rPr>
                <w:rFonts w:ascii="宋体" w:hAnsi="宋体" w:cs="宋体"/>
                <w:kern w:val="0"/>
                <w:sz w:val="18"/>
                <w:szCs w:val="18"/>
              </w:rPr>
            </w:pPr>
            <w:r>
              <w:rPr>
                <w:rFonts w:hint="eastAsia" w:ascii="宋体" w:hAnsi="宋体" w:cs="宋体"/>
                <w:kern w:val="0"/>
                <w:sz w:val="18"/>
                <w:szCs w:val="18"/>
              </w:rPr>
              <w:t>得分</w:t>
            </w:r>
          </w:p>
        </w:tc>
        <w:tc>
          <w:tcPr>
            <w:tcW w:w="1340" w:type="dxa"/>
            <w:gridSpan w:val="2"/>
            <w:tcBorders>
              <w:top w:val="single" w:color="auto" w:sz="4" w:space="0"/>
              <w:left w:val="nil"/>
              <w:bottom w:val="single" w:color="auto" w:sz="4" w:space="0"/>
              <w:right w:val="single" w:color="auto" w:sz="4" w:space="0"/>
            </w:tcBorders>
            <w:vAlign w:val="center"/>
          </w:tcPr>
          <w:p w14:paraId="173C7258">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60DEC8B">
        <w:tblPrEx>
          <w:tblCellMar>
            <w:top w:w="0" w:type="dxa"/>
            <w:left w:w="108" w:type="dxa"/>
            <w:bottom w:w="0" w:type="dxa"/>
            <w:right w:w="108" w:type="dxa"/>
          </w:tblCellMar>
        </w:tblPrEx>
        <w:trPr>
          <w:trHeight w:val="766" w:hRule="exact"/>
          <w:jc w:val="center"/>
        </w:trPr>
        <w:tc>
          <w:tcPr>
            <w:tcW w:w="588" w:type="dxa"/>
            <w:vMerge w:val="continue"/>
            <w:tcBorders>
              <w:left w:val="single" w:color="auto" w:sz="4" w:space="0"/>
              <w:right w:val="single" w:color="auto" w:sz="4" w:space="0"/>
            </w:tcBorders>
            <w:vAlign w:val="center"/>
          </w:tcPr>
          <w:p w14:paraId="2E08DF98">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6A97016B">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14:paraId="07304BC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4846B0AB">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根据工作要求开设专栏</w:t>
            </w:r>
          </w:p>
        </w:tc>
        <w:tc>
          <w:tcPr>
            <w:tcW w:w="850" w:type="dxa"/>
            <w:tcBorders>
              <w:top w:val="nil"/>
              <w:left w:val="nil"/>
              <w:bottom w:val="single" w:color="auto" w:sz="4" w:space="0"/>
              <w:right w:val="single" w:color="auto" w:sz="4" w:space="0"/>
            </w:tcBorders>
            <w:vAlign w:val="center"/>
          </w:tcPr>
          <w:p w14:paraId="6D5D4FB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长期</w:t>
            </w:r>
          </w:p>
        </w:tc>
        <w:tc>
          <w:tcPr>
            <w:tcW w:w="962" w:type="dxa"/>
            <w:tcBorders>
              <w:top w:val="nil"/>
              <w:left w:val="nil"/>
              <w:bottom w:val="single" w:color="auto" w:sz="4" w:space="0"/>
              <w:right w:val="single" w:color="auto" w:sz="4" w:space="0"/>
            </w:tcBorders>
            <w:vAlign w:val="center"/>
          </w:tcPr>
          <w:p w14:paraId="5B8178A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开设30余个专题</w:t>
            </w:r>
          </w:p>
        </w:tc>
        <w:tc>
          <w:tcPr>
            <w:tcW w:w="575" w:type="dxa"/>
            <w:gridSpan w:val="2"/>
            <w:tcBorders>
              <w:top w:val="nil"/>
              <w:left w:val="nil"/>
              <w:bottom w:val="single" w:color="auto" w:sz="4" w:space="0"/>
              <w:right w:val="single" w:color="auto" w:sz="4" w:space="0"/>
            </w:tcBorders>
            <w:vAlign w:val="center"/>
          </w:tcPr>
          <w:p w14:paraId="0AB9010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25" w:type="dxa"/>
            <w:gridSpan w:val="2"/>
            <w:tcBorders>
              <w:top w:val="nil"/>
              <w:left w:val="nil"/>
              <w:bottom w:val="single" w:color="auto" w:sz="4" w:space="0"/>
              <w:right w:val="single" w:color="auto" w:sz="4" w:space="0"/>
            </w:tcBorders>
            <w:vAlign w:val="center"/>
          </w:tcPr>
          <w:p w14:paraId="44891C48">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340" w:type="dxa"/>
            <w:gridSpan w:val="2"/>
            <w:tcBorders>
              <w:top w:val="single" w:color="auto" w:sz="4" w:space="0"/>
              <w:left w:val="nil"/>
              <w:bottom w:val="single" w:color="auto" w:sz="4" w:space="0"/>
              <w:right w:val="single" w:color="auto" w:sz="4" w:space="0"/>
            </w:tcBorders>
            <w:vAlign w:val="center"/>
          </w:tcPr>
          <w:p w14:paraId="41454714">
            <w:pPr>
              <w:widowControl/>
              <w:jc w:val="center"/>
              <w:rPr>
                <w:rFonts w:ascii="宋体" w:hAnsi="宋体" w:cs="宋体"/>
                <w:kern w:val="0"/>
                <w:sz w:val="18"/>
                <w:szCs w:val="18"/>
              </w:rPr>
            </w:pPr>
          </w:p>
        </w:tc>
      </w:tr>
      <w:tr w14:paraId="624BEC08">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543E4DE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E80009C">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78C6C7B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260A86A3">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作品质量有效率</w:t>
            </w:r>
          </w:p>
        </w:tc>
        <w:tc>
          <w:tcPr>
            <w:tcW w:w="850" w:type="dxa"/>
            <w:tcBorders>
              <w:top w:val="nil"/>
              <w:left w:val="nil"/>
              <w:bottom w:val="single" w:color="auto" w:sz="4" w:space="0"/>
              <w:right w:val="single" w:color="auto" w:sz="4" w:space="0"/>
            </w:tcBorders>
            <w:vAlign w:val="center"/>
          </w:tcPr>
          <w:p w14:paraId="3D13AEE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62" w:type="dxa"/>
            <w:tcBorders>
              <w:top w:val="nil"/>
              <w:left w:val="nil"/>
              <w:bottom w:val="single" w:color="auto" w:sz="4" w:space="0"/>
              <w:right w:val="single" w:color="auto" w:sz="4" w:space="0"/>
            </w:tcBorders>
            <w:vAlign w:val="center"/>
          </w:tcPr>
          <w:p w14:paraId="2872078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5" w:type="dxa"/>
            <w:gridSpan w:val="2"/>
            <w:tcBorders>
              <w:top w:val="nil"/>
              <w:left w:val="nil"/>
              <w:bottom w:val="single" w:color="auto" w:sz="4" w:space="0"/>
              <w:right w:val="single" w:color="auto" w:sz="4" w:space="0"/>
            </w:tcBorders>
            <w:vAlign w:val="center"/>
          </w:tcPr>
          <w:p w14:paraId="71F0F1A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25" w:type="dxa"/>
            <w:gridSpan w:val="2"/>
            <w:tcBorders>
              <w:top w:val="nil"/>
              <w:left w:val="nil"/>
              <w:bottom w:val="single" w:color="auto" w:sz="4" w:space="0"/>
              <w:right w:val="single" w:color="auto" w:sz="4" w:space="0"/>
            </w:tcBorders>
            <w:vAlign w:val="center"/>
          </w:tcPr>
          <w:p w14:paraId="45A08531">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340" w:type="dxa"/>
            <w:gridSpan w:val="2"/>
            <w:tcBorders>
              <w:top w:val="single" w:color="auto" w:sz="4" w:space="0"/>
              <w:left w:val="nil"/>
              <w:bottom w:val="single" w:color="auto" w:sz="4" w:space="0"/>
              <w:right w:val="single" w:color="auto" w:sz="4" w:space="0"/>
            </w:tcBorders>
            <w:vAlign w:val="center"/>
          </w:tcPr>
          <w:p w14:paraId="46A9EC43">
            <w:pPr>
              <w:widowControl/>
              <w:jc w:val="center"/>
              <w:rPr>
                <w:rFonts w:ascii="宋体" w:hAnsi="宋体" w:cs="宋体"/>
                <w:kern w:val="0"/>
                <w:sz w:val="18"/>
                <w:szCs w:val="18"/>
              </w:rPr>
            </w:pPr>
          </w:p>
        </w:tc>
      </w:tr>
      <w:tr w14:paraId="7F1C870D">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1A9236C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06513B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2FA59031">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36F21395">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作品发表时限</w:t>
            </w:r>
          </w:p>
        </w:tc>
        <w:tc>
          <w:tcPr>
            <w:tcW w:w="850" w:type="dxa"/>
            <w:tcBorders>
              <w:top w:val="nil"/>
              <w:left w:val="nil"/>
              <w:bottom w:val="single" w:color="auto" w:sz="4" w:space="0"/>
              <w:right w:val="single" w:color="auto" w:sz="4" w:space="0"/>
            </w:tcBorders>
            <w:vAlign w:val="center"/>
          </w:tcPr>
          <w:p w14:paraId="2B6C64B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及时性</w:t>
            </w:r>
          </w:p>
        </w:tc>
        <w:tc>
          <w:tcPr>
            <w:tcW w:w="962" w:type="dxa"/>
            <w:tcBorders>
              <w:top w:val="nil"/>
              <w:left w:val="nil"/>
              <w:bottom w:val="single" w:color="auto" w:sz="4" w:space="0"/>
              <w:right w:val="single" w:color="auto" w:sz="4" w:space="0"/>
            </w:tcBorders>
            <w:vAlign w:val="center"/>
          </w:tcPr>
          <w:p w14:paraId="471E26C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5" w:type="dxa"/>
            <w:gridSpan w:val="2"/>
            <w:tcBorders>
              <w:top w:val="nil"/>
              <w:left w:val="nil"/>
              <w:bottom w:val="single" w:color="auto" w:sz="4" w:space="0"/>
              <w:right w:val="single" w:color="auto" w:sz="4" w:space="0"/>
            </w:tcBorders>
            <w:vAlign w:val="center"/>
          </w:tcPr>
          <w:p w14:paraId="349D0AB0">
            <w:pPr>
              <w:widowControl/>
              <w:jc w:val="center"/>
              <w:rPr>
                <w:rFonts w:ascii="宋体" w:hAnsi="宋体" w:cs="宋体"/>
                <w:kern w:val="0"/>
                <w:sz w:val="18"/>
                <w:szCs w:val="18"/>
              </w:rPr>
            </w:pPr>
            <w:r>
              <w:rPr>
                <w:rFonts w:hint="eastAsia" w:ascii="宋体" w:hAnsi="宋体" w:cs="宋体"/>
                <w:kern w:val="0"/>
                <w:sz w:val="18"/>
                <w:szCs w:val="18"/>
              </w:rPr>
              <w:t>10</w:t>
            </w:r>
          </w:p>
        </w:tc>
        <w:tc>
          <w:tcPr>
            <w:tcW w:w="525" w:type="dxa"/>
            <w:gridSpan w:val="2"/>
            <w:tcBorders>
              <w:top w:val="nil"/>
              <w:left w:val="nil"/>
              <w:bottom w:val="single" w:color="auto" w:sz="4" w:space="0"/>
              <w:right w:val="single" w:color="auto" w:sz="4" w:space="0"/>
            </w:tcBorders>
            <w:vAlign w:val="center"/>
          </w:tcPr>
          <w:p w14:paraId="4D81C27A">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340" w:type="dxa"/>
            <w:gridSpan w:val="2"/>
            <w:tcBorders>
              <w:top w:val="single" w:color="auto" w:sz="4" w:space="0"/>
              <w:left w:val="nil"/>
              <w:bottom w:val="single" w:color="auto" w:sz="4" w:space="0"/>
              <w:right w:val="single" w:color="auto" w:sz="4" w:space="0"/>
            </w:tcBorders>
            <w:vAlign w:val="center"/>
          </w:tcPr>
          <w:p w14:paraId="13B743B6">
            <w:pPr>
              <w:widowControl/>
              <w:jc w:val="center"/>
              <w:rPr>
                <w:rFonts w:ascii="宋体" w:hAnsi="宋体" w:cs="宋体"/>
                <w:kern w:val="0"/>
                <w:sz w:val="18"/>
                <w:szCs w:val="18"/>
              </w:rPr>
            </w:pPr>
          </w:p>
        </w:tc>
      </w:tr>
      <w:tr w14:paraId="070EDD2D">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789B0466">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6C6408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5F99348C">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31FA5CBC">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专项资金使用率</w:t>
            </w:r>
          </w:p>
        </w:tc>
        <w:tc>
          <w:tcPr>
            <w:tcW w:w="850" w:type="dxa"/>
            <w:tcBorders>
              <w:top w:val="nil"/>
              <w:left w:val="nil"/>
              <w:bottom w:val="single" w:color="auto" w:sz="4" w:space="0"/>
              <w:right w:val="single" w:color="auto" w:sz="4" w:space="0"/>
            </w:tcBorders>
            <w:vAlign w:val="center"/>
          </w:tcPr>
          <w:p w14:paraId="6FDAC0D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≤2万</w:t>
            </w:r>
          </w:p>
        </w:tc>
        <w:tc>
          <w:tcPr>
            <w:tcW w:w="962" w:type="dxa"/>
            <w:tcBorders>
              <w:top w:val="nil"/>
              <w:left w:val="nil"/>
              <w:bottom w:val="single" w:color="auto" w:sz="4" w:space="0"/>
              <w:right w:val="single" w:color="auto" w:sz="4" w:space="0"/>
            </w:tcBorders>
            <w:vAlign w:val="center"/>
          </w:tcPr>
          <w:p w14:paraId="07E05D9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2万</w:t>
            </w:r>
          </w:p>
        </w:tc>
        <w:tc>
          <w:tcPr>
            <w:tcW w:w="575" w:type="dxa"/>
            <w:gridSpan w:val="2"/>
            <w:tcBorders>
              <w:top w:val="nil"/>
              <w:left w:val="nil"/>
              <w:bottom w:val="single" w:color="auto" w:sz="4" w:space="0"/>
              <w:right w:val="single" w:color="auto" w:sz="4" w:space="0"/>
            </w:tcBorders>
            <w:vAlign w:val="center"/>
          </w:tcPr>
          <w:p w14:paraId="2AFC6E41">
            <w:pPr>
              <w:widowControl/>
              <w:jc w:val="center"/>
              <w:rPr>
                <w:rFonts w:ascii="宋体" w:hAnsi="宋体" w:cs="宋体"/>
                <w:kern w:val="0"/>
                <w:sz w:val="18"/>
                <w:szCs w:val="18"/>
              </w:rPr>
            </w:pPr>
            <w:r>
              <w:rPr>
                <w:rFonts w:hint="eastAsia" w:ascii="宋体" w:hAnsi="宋体" w:cs="宋体"/>
                <w:kern w:val="0"/>
                <w:sz w:val="18"/>
                <w:szCs w:val="18"/>
              </w:rPr>
              <w:t>10</w:t>
            </w:r>
          </w:p>
        </w:tc>
        <w:tc>
          <w:tcPr>
            <w:tcW w:w="525" w:type="dxa"/>
            <w:gridSpan w:val="2"/>
            <w:tcBorders>
              <w:top w:val="nil"/>
              <w:left w:val="nil"/>
              <w:bottom w:val="single" w:color="auto" w:sz="4" w:space="0"/>
              <w:right w:val="single" w:color="auto" w:sz="4" w:space="0"/>
            </w:tcBorders>
            <w:vAlign w:val="center"/>
          </w:tcPr>
          <w:p w14:paraId="276C1FAA">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340" w:type="dxa"/>
            <w:gridSpan w:val="2"/>
            <w:tcBorders>
              <w:top w:val="single" w:color="auto" w:sz="4" w:space="0"/>
              <w:left w:val="nil"/>
              <w:bottom w:val="single" w:color="auto" w:sz="4" w:space="0"/>
              <w:right w:val="single" w:color="auto" w:sz="4" w:space="0"/>
            </w:tcBorders>
            <w:vAlign w:val="center"/>
          </w:tcPr>
          <w:p w14:paraId="4CD8D38B">
            <w:pPr>
              <w:widowControl/>
              <w:jc w:val="center"/>
              <w:rPr>
                <w:rFonts w:ascii="宋体" w:hAnsi="宋体" w:cs="宋体"/>
                <w:kern w:val="0"/>
                <w:sz w:val="18"/>
                <w:szCs w:val="18"/>
              </w:rPr>
            </w:pPr>
          </w:p>
        </w:tc>
      </w:tr>
      <w:tr w14:paraId="2623C817">
        <w:tblPrEx>
          <w:tblCellMar>
            <w:top w:w="0" w:type="dxa"/>
            <w:left w:w="108" w:type="dxa"/>
            <w:bottom w:w="0" w:type="dxa"/>
            <w:right w:w="108" w:type="dxa"/>
          </w:tblCellMar>
        </w:tblPrEx>
        <w:trPr>
          <w:trHeight w:val="667" w:hRule="exact"/>
          <w:jc w:val="center"/>
        </w:trPr>
        <w:tc>
          <w:tcPr>
            <w:tcW w:w="588" w:type="dxa"/>
            <w:vMerge w:val="continue"/>
            <w:tcBorders>
              <w:left w:val="single" w:color="auto" w:sz="4" w:space="0"/>
              <w:right w:val="single" w:color="auto" w:sz="4" w:space="0"/>
            </w:tcBorders>
            <w:vAlign w:val="center"/>
          </w:tcPr>
          <w:p w14:paraId="67975DD8">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1D0E207">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7984B022">
            <w:pPr>
              <w:widowControl/>
              <w:jc w:val="center"/>
              <w:rPr>
                <w:rFonts w:ascii="宋体" w:hAnsi="宋体" w:cs="宋体"/>
                <w:kern w:val="0"/>
                <w:sz w:val="18"/>
                <w:szCs w:val="18"/>
              </w:rPr>
            </w:pPr>
            <w:r>
              <w:rPr>
                <w:rFonts w:hint="eastAsia" w:ascii="宋体" w:hAnsi="宋体" w:cs="宋体"/>
                <w:kern w:val="0"/>
                <w:sz w:val="18"/>
                <w:szCs w:val="18"/>
              </w:rPr>
              <w:t>社会效益</w:t>
            </w:r>
          </w:p>
          <w:p w14:paraId="2D657A07">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48647E0F">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建立便民网络通道，畅通信息</w:t>
            </w:r>
          </w:p>
        </w:tc>
        <w:tc>
          <w:tcPr>
            <w:tcW w:w="850" w:type="dxa"/>
            <w:tcBorders>
              <w:top w:val="nil"/>
              <w:left w:val="nil"/>
              <w:bottom w:val="single" w:color="auto" w:sz="4" w:space="0"/>
              <w:right w:val="single" w:color="auto" w:sz="4" w:space="0"/>
            </w:tcBorders>
            <w:vAlign w:val="center"/>
          </w:tcPr>
          <w:p w14:paraId="04118EC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长期</w:t>
            </w:r>
          </w:p>
        </w:tc>
        <w:tc>
          <w:tcPr>
            <w:tcW w:w="962" w:type="dxa"/>
            <w:tcBorders>
              <w:top w:val="nil"/>
              <w:left w:val="nil"/>
              <w:bottom w:val="single" w:color="auto" w:sz="4" w:space="0"/>
              <w:right w:val="single" w:color="auto" w:sz="4" w:space="0"/>
            </w:tcBorders>
            <w:vAlign w:val="center"/>
          </w:tcPr>
          <w:p w14:paraId="4717BA7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不断增强</w:t>
            </w:r>
          </w:p>
        </w:tc>
        <w:tc>
          <w:tcPr>
            <w:tcW w:w="575" w:type="dxa"/>
            <w:gridSpan w:val="2"/>
            <w:tcBorders>
              <w:top w:val="nil"/>
              <w:left w:val="nil"/>
              <w:bottom w:val="single" w:color="auto" w:sz="4" w:space="0"/>
              <w:right w:val="single" w:color="auto" w:sz="4" w:space="0"/>
            </w:tcBorders>
            <w:vAlign w:val="center"/>
          </w:tcPr>
          <w:p w14:paraId="5D4AA6A6">
            <w:pPr>
              <w:widowControl/>
              <w:jc w:val="center"/>
              <w:rPr>
                <w:rFonts w:ascii="宋体" w:hAnsi="宋体" w:cs="宋体"/>
                <w:kern w:val="0"/>
                <w:sz w:val="18"/>
                <w:szCs w:val="18"/>
              </w:rPr>
            </w:pPr>
            <w:r>
              <w:rPr>
                <w:rFonts w:hint="eastAsia" w:ascii="宋体" w:hAnsi="宋体" w:cs="宋体"/>
                <w:kern w:val="0"/>
                <w:sz w:val="18"/>
                <w:szCs w:val="18"/>
              </w:rPr>
              <w:t>10</w:t>
            </w:r>
          </w:p>
        </w:tc>
        <w:tc>
          <w:tcPr>
            <w:tcW w:w="525" w:type="dxa"/>
            <w:gridSpan w:val="2"/>
            <w:tcBorders>
              <w:top w:val="nil"/>
              <w:left w:val="nil"/>
              <w:bottom w:val="single" w:color="auto" w:sz="4" w:space="0"/>
              <w:right w:val="single" w:color="auto" w:sz="4" w:space="0"/>
            </w:tcBorders>
            <w:vAlign w:val="center"/>
          </w:tcPr>
          <w:p w14:paraId="7FA55093">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340" w:type="dxa"/>
            <w:gridSpan w:val="2"/>
            <w:tcBorders>
              <w:top w:val="single" w:color="auto" w:sz="4" w:space="0"/>
              <w:left w:val="nil"/>
              <w:bottom w:val="single" w:color="auto" w:sz="4" w:space="0"/>
              <w:right w:val="single" w:color="auto" w:sz="4" w:space="0"/>
            </w:tcBorders>
            <w:vAlign w:val="center"/>
          </w:tcPr>
          <w:p w14:paraId="18133BF8">
            <w:pPr>
              <w:widowControl/>
              <w:jc w:val="center"/>
              <w:rPr>
                <w:rFonts w:ascii="宋体" w:hAnsi="宋体" w:cs="宋体"/>
                <w:kern w:val="0"/>
                <w:sz w:val="18"/>
                <w:szCs w:val="18"/>
              </w:rPr>
            </w:pPr>
          </w:p>
        </w:tc>
      </w:tr>
      <w:tr w14:paraId="1A20AED2">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vAlign w:val="center"/>
          </w:tcPr>
          <w:p w14:paraId="3517994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E684046">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7551FEE1">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5FB4CFA3">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社会影响力</w:t>
            </w:r>
          </w:p>
        </w:tc>
        <w:tc>
          <w:tcPr>
            <w:tcW w:w="850" w:type="dxa"/>
            <w:tcBorders>
              <w:top w:val="nil"/>
              <w:left w:val="nil"/>
              <w:bottom w:val="single" w:color="auto" w:sz="4" w:space="0"/>
              <w:right w:val="single" w:color="auto" w:sz="4" w:space="0"/>
            </w:tcBorders>
            <w:vAlign w:val="center"/>
          </w:tcPr>
          <w:p w14:paraId="30A49E6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长期</w:t>
            </w:r>
          </w:p>
        </w:tc>
        <w:tc>
          <w:tcPr>
            <w:tcW w:w="962" w:type="dxa"/>
            <w:tcBorders>
              <w:top w:val="nil"/>
              <w:left w:val="nil"/>
              <w:bottom w:val="single" w:color="auto" w:sz="4" w:space="0"/>
              <w:right w:val="single" w:color="auto" w:sz="4" w:space="0"/>
            </w:tcBorders>
            <w:vAlign w:val="center"/>
          </w:tcPr>
          <w:p w14:paraId="7128EF3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不断提高</w:t>
            </w:r>
          </w:p>
        </w:tc>
        <w:tc>
          <w:tcPr>
            <w:tcW w:w="575" w:type="dxa"/>
            <w:gridSpan w:val="2"/>
            <w:tcBorders>
              <w:top w:val="nil"/>
              <w:left w:val="nil"/>
              <w:bottom w:val="single" w:color="auto" w:sz="4" w:space="0"/>
              <w:right w:val="single" w:color="auto" w:sz="4" w:space="0"/>
            </w:tcBorders>
            <w:vAlign w:val="center"/>
          </w:tcPr>
          <w:p w14:paraId="05621371">
            <w:pPr>
              <w:widowControl/>
              <w:jc w:val="center"/>
              <w:rPr>
                <w:rFonts w:ascii="宋体" w:hAnsi="宋体" w:cs="宋体"/>
                <w:kern w:val="0"/>
                <w:sz w:val="18"/>
                <w:szCs w:val="18"/>
              </w:rPr>
            </w:pPr>
            <w:r>
              <w:rPr>
                <w:rFonts w:hint="eastAsia" w:ascii="宋体" w:hAnsi="宋体" w:cs="宋体"/>
                <w:kern w:val="0"/>
                <w:sz w:val="18"/>
                <w:szCs w:val="18"/>
              </w:rPr>
              <w:t>10</w:t>
            </w:r>
          </w:p>
        </w:tc>
        <w:tc>
          <w:tcPr>
            <w:tcW w:w="525" w:type="dxa"/>
            <w:gridSpan w:val="2"/>
            <w:tcBorders>
              <w:top w:val="nil"/>
              <w:left w:val="nil"/>
              <w:bottom w:val="single" w:color="auto" w:sz="4" w:space="0"/>
              <w:right w:val="single" w:color="auto" w:sz="4" w:space="0"/>
            </w:tcBorders>
            <w:vAlign w:val="center"/>
          </w:tcPr>
          <w:p w14:paraId="1225807B">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340" w:type="dxa"/>
            <w:gridSpan w:val="2"/>
            <w:tcBorders>
              <w:top w:val="single" w:color="auto" w:sz="4" w:space="0"/>
              <w:left w:val="nil"/>
              <w:bottom w:val="single" w:color="auto" w:sz="4" w:space="0"/>
              <w:right w:val="single" w:color="auto" w:sz="4" w:space="0"/>
            </w:tcBorders>
            <w:vAlign w:val="center"/>
          </w:tcPr>
          <w:p w14:paraId="425CBFA4">
            <w:pPr>
              <w:widowControl/>
              <w:jc w:val="center"/>
              <w:rPr>
                <w:rFonts w:ascii="宋体" w:hAnsi="宋体" w:cs="宋体"/>
                <w:kern w:val="0"/>
                <w:sz w:val="18"/>
                <w:szCs w:val="18"/>
              </w:rPr>
            </w:pPr>
          </w:p>
        </w:tc>
      </w:tr>
      <w:tr w14:paraId="011D2B1E">
        <w:tblPrEx>
          <w:tblCellMar>
            <w:top w:w="0" w:type="dxa"/>
            <w:left w:w="108" w:type="dxa"/>
            <w:bottom w:w="0" w:type="dxa"/>
            <w:right w:w="108" w:type="dxa"/>
          </w:tblCellMar>
        </w:tblPrEx>
        <w:trPr>
          <w:trHeight w:val="713" w:hRule="exact"/>
          <w:jc w:val="center"/>
        </w:trPr>
        <w:tc>
          <w:tcPr>
            <w:tcW w:w="588" w:type="dxa"/>
            <w:vMerge w:val="continue"/>
            <w:tcBorders>
              <w:left w:val="single" w:color="auto" w:sz="4" w:space="0"/>
              <w:right w:val="single" w:color="auto" w:sz="4" w:space="0"/>
            </w:tcBorders>
            <w:vAlign w:val="center"/>
          </w:tcPr>
          <w:p w14:paraId="5CB1318E">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vAlign w:val="center"/>
          </w:tcPr>
          <w:p w14:paraId="31BE474B">
            <w:pPr>
              <w:widowControl/>
              <w:jc w:val="center"/>
              <w:rPr>
                <w:rFonts w:ascii="宋体" w:hAnsi="宋体" w:cs="宋体"/>
                <w:kern w:val="0"/>
                <w:sz w:val="18"/>
                <w:szCs w:val="18"/>
              </w:rPr>
            </w:pPr>
            <w:r>
              <w:rPr>
                <w:rFonts w:hint="eastAsia" w:ascii="宋体" w:hAnsi="宋体" w:cs="宋体"/>
                <w:kern w:val="0"/>
                <w:sz w:val="18"/>
                <w:szCs w:val="18"/>
              </w:rPr>
              <w:t>满意度</w:t>
            </w:r>
          </w:p>
          <w:p w14:paraId="05647296">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14:paraId="38B3E42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6D0B470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干群满意度</w:t>
            </w:r>
          </w:p>
        </w:tc>
        <w:tc>
          <w:tcPr>
            <w:tcW w:w="850" w:type="dxa"/>
            <w:tcBorders>
              <w:top w:val="nil"/>
              <w:left w:val="nil"/>
              <w:bottom w:val="single" w:color="auto" w:sz="4" w:space="0"/>
              <w:right w:val="single" w:color="auto" w:sz="4" w:space="0"/>
            </w:tcBorders>
            <w:vAlign w:val="center"/>
          </w:tcPr>
          <w:p w14:paraId="285C49D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962" w:type="dxa"/>
            <w:tcBorders>
              <w:top w:val="nil"/>
              <w:left w:val="nil"/>
              <w:bottom w:val="single" w:color="auto" w:sz="4" w:space="0"/>
              <w:right w:val="single" w:color="auto" w:sz="4" w:space="0"/>
            </w:tcBorders>
            <w:vAlign w:val="center"/>
          </w:tcPr>
          <w:p w14:paraId="7A28FFB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575" w:type="dxa"/>
            <w:gridSpan w:val="2"/>
            <w:tcBorders>
              <w:top w:val="nil"/>
              <w:left w:val="nil"/>
              <w:bottom w:val="single" w:color="auto" w:sz="4" w:space="0"/>
              <w:right w:val="single" w:color="auto" w:sz="4" w:space="0"/>
            </w:tcBorders>
            <w:vAlign w:val="center"/>
          </w:tcPr>
          <w:p w14:paraId="212F4ABE">
            <w:pPr>
              <w:widowControl/>
              <w:jc w:val="center"/>
              <w:rPr>
                <w:rFonts w:ascii="宋体" w:hAnsi="宋体" w:cs="宋体"/>
                <w:kern w:val="0"/>
                <w:sz w:val="18"/>
                <w:szCs w:val="18"/>
              </w:rPr>
            </w:pPr>
            <w:r>
              <w:rPr>
                <w:rFonts w:hint="eastAsia" w:ascii="宋体" w:hAnsi="宋体" w:cs="宋体"/>
                <w:kern w:val="0"/>
                <w:sz w:val="18"/>
                <w:szCs w:val="18"/>
              </w:rPr>
              <w:t>10</w:t>
            </w:r>
          </w:p>
        </w:tc>
        <w:tc>
          <w:tcPr>
            <w:tcW w:w="525" w:type="dxa"/>
            <w:gridSpan w:val="2"/>
            <w:tcBorders>
              <w:top w:val="nil"/>
              <w:left w:val="nil"/>
              <w:bottom w:val="single" w:color="auto" w:sz="4" w:space="0"/>
              <w:right w:val="single" w:color="auto" w:sz="4" w:space="0"/>
            </w:tcBorders>
            <w:vAlign w:val="center"/>
          </w:tcPr>
          <w:p w14:paraId="44C9FA73">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340" w:type="dxa"/>
            <w:gridSpan w:val="2"/>
            <w:tcBorders>
              <w:top w:val="single" w:color="auto" w:sz="4" w:space="0"/>
              <w:left w:val="nil"/>
              <w:bottom w:val="single" w:color="auto" w:sz="4" w:space="0"/>
              <w:right w:val="single" w:color="auto" w:sz="4" w:space="0"/>
            </w:tcBorders>
            <w:vAlign w:val="center"/>
          </w:tcPr>
          <w:p w14:paraId="3C10FF7E">
            <w:pPr>
              <w:widowControl/>
              <w:jc w:val="center"/>
              <w:rPr>
                <w:rFonts w:ascii="宋体" w:hAnsi="宋体" w:cs="宋体"/>
                <w:kern w:val="0"/>
                <w:sz w:val="18"/>
                <w:szCs w:val="18"/>
              </w:rPr>
            </w:pPr>
          </w:p>
        </w:tc>
      </w:tr>
      <w:tr w14:paraId="39FB3B49">
        <w:tblPrEx>
          <w:tblCellMar>
            <w:top w:w="0" w:type="dxa"/>
            <w:left w:w="108" w:type="dxa"/>
            <w:bottom w:w="0" w:type="dxa"/>
            <w:right w:w="108" w:type="dxa"/>
          </w:tblCellMar>
        </w:tblPrEx>
        <w:trPr>
          <w:trHeight w:val="454" w:hRule="exact"/>
          <w:jc w:val="center"/>
        </w:trPr>
        <w:tc>
          <w:tcPr>
            <w:tcW w:w="6640" w:type="dxa"/>
            <w:gridSpan w:val="8"/>
            <w:tcBorders>
              <w:top w:val="single" w:color="auto" w:sz="4" w:space="0"/>
              <w:left w:val="single" w:color="auto" w:sz="4" w:space="0"/>
              <w:bottom w:val="single" w:color="auto" w:sz="4" w:space="0"/>
              <w:right w:val="single" w:color="auto" w:sz="4" w:space="0"/>
            </w:tcBorders>
            <w:vAlign w:val="center"/>
          </w:tcPr>
          <w:p w14:paraId="06A0CE0D">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5" w:type="dxa"/>
            <w:gridSpan w:val="2"/>
            <w:tcBorders>
              <w:top w:val="nil"/>
              <w:left w:val="nil"/>
              <w:bottom w:val="single" w:color="auto" w:sz="4" w:space="0"/>
              <w:right w:val="single" w:color="auto" w:sz="4" w:space="0"/>
            </w:tcBorders>
            <w:vAlign w:val="center"/>
          </w:tcPr>
          <w:p w14:paraId="4230D69C">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5" w:type="dxa"/>
            <w:gridSpan w:val="2"/>
            <w:tcBorders>
              <w:top w:val="nil"/>
              <w:left w:val="nil"/>
              <w:bottom w:val="single" w:color="auto" w:sz="4" w:space="0"/>
              <w:right w:val="single" w:color="auto" w:sz="4" w:space="0"/>
            </w:tcBorders>
            <w:vAlign w:val="center"/>
          </w:tcPr>
          <w:p w14:paraId="0DE8142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40" w:type="dxa"/>
            <w:gridSpan w:val="2"/>
            <w:tcBorders>
              <w:top w:val="single" w:color="auto" w:sz="4" w:space="0"/>
              <w:left w:val="nil"/>
              <w:bottom w:val="single" w:color="auto" w:sz="4" w:space="0"/>
              <w:right w:val="single" w:color="auto" w:sz="4" w:space="0"/>
            </w:tcBorders>
            <w:vAlign w:val="center"/>
          </w:tcPr>
          <w:p w14:paraId="154C6D7F">
            <w:pPr>
              <w:widowControl/>
              <w:jc w:val="center"/>
              <w:rPr>
                <w:rFonts w:ascii="宋体" w:hAnsi="宋体" w:cs="宋体"/>
                <w:kern w:val="0"/>
                <w:sz w:val="18"/>
                <w:szCs w:val="18"/>
              </w:rPr>
            </w:pPr>
          </w:p>
        </w:tc>
      </w:tr>
    </w:tbl>
    <w:p w14:paraId="418DC3DB">
      <w:pPr>
        <w:rPr>
          <w:rFonts w:hint="eastAsia" w:ascii="方正小标宋简体" w:hAnsi="宋体" w:eastAsia="方正小标宋简体"/>
          <w:sz w:val="44"/>
          <w:szCs w:val="44"/>
        </w:rPr>
      </w:pPr>
    </w:p>
    <w:p w14:paraId="32780EDE">
      <w:pPr>
        <w:widowControl/>
        <w:spacing w:line="600" w:lineRule="exact"/>
        <w:jc w:val="center"/>
        <w:rPr>
          <w:rFonts w:hint="eastAsia" w:ascii="方正小标宋_GBK" w:hAnsi="宋体" w:eastAsia="方正小标宋_GBK" w:cs="宋体"/>
          <w:bCs/>
          <w:kern w:val="0"/>
          <w:sz w:val="44"/>
          <w:szCs w:val="44"/>
        </w:rPr>
        <w:sectPr>
          <w:pgSz w:w="11906" w:h="16838"/>
          <w:pgMar w:top="1440" w:right="1984" w:bottom="1440" w:left="1984" w:header="851" w:footer="992" w:gutter="0"/>
          <w:cols w:space="720" w:num="1"/>
          <w:docGrid w:type="lines" w:linePitch="312" w:charSpace="0"/>
        </w:sectPr>
      </w:pPr>
    </w:p>
    <w:p w14:paraId="4A604467">
      <w:pPr>
        <w:widowControl/>
        <w:spacing w:line="600" w:lineRule="exact"/>
        <w:jc w:val="center"/>
        <w:rPr>
          <w:rFonts w:hint="eastAsia" w:ascii="方正小标宋_GBK" w:hAnsi="宋体" w:eastAsia="方正小标宋_GBK" w:cs="宋体"/>
          <w:bCs/>
          <w:kern w:val="0"/>
          <w:sz w:val="44"/>
          <w:szCs w:val="44"/>
          <w:lang w:val="en-US" w:eastAsia="zh-CN"/>
        </w:rPr>
      </w:pPr>
      <w:r>
        <w:rPr>
          <w:rFonts w:hint="eastAsia" w:ascii="方正小标宋_GBK" w:hAnsi="宋体" w:eastAsia="方正小标宋_GBK" w:cs="宋体"/>
          <w:bCs/>
          <w:kern w:val="0"/>
          <w:sz w:val="44"/>
          <w:szCs w:val="44"/>
          <w:lang w:val="en-US" w:eastAsia="zh-CN"/>
        </w:rPr>
        <w:t>网络强军工程建设与宣传</w:t>
      </w:r>
    </w:p>
    <w:p w14:paraId="2ABBAA1A">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项目支出绩效评价报告</w:t>
      </w:r>
    </w:p>
    <w:p w14:paraId="2EFE9E27">
      <w:pPr>
        <w:spacing w:line="600" w:lineRule="exact"/>
        <w:rPr>
          <w:rFonts w:ascii="仿宋_GB2312" w:eastAsia="仿宋_GB2312"/>
          <w:sz w:val="32"/>
          <w:szCs w:val="32"/>
        </w:rPr>
      </w:pPr>
    </w:p>
    <w:p w14:paraId="4A43D362">
      <w:pPr>
        <w:spacing w:line="600" w:lineRule="exact"/>
        <w:ind w:firstLine="640" w:firstLineChars="200"/>
        <w:rPr>
          <w:rFonts w:eastAsia="黑体"/>
          <w:sz w:val="32"/>
          <w:szCs w:val="32"/>
        </w:rPr>
      </w:pPr>
      <w:r>
        <w:rPr>
          <w:rFonts w:hint="eastAsia" w:eastAsia="黑体"/>
          <w:sz w:val="32"/>
          <w:szCs w:val="32"/>
        </w:rPr>
        <w:t>一、基本情况</w:t>
      </w:r>
    </w:p>
    <w:p w14:paraId="1267389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（一）项目概况。</w:t>
      </w:r>
    </w:p>
    <w:p w14:paraId="6243D15C">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hint="default"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网信办负责全县互联网信息内容管理，推动全县网络社会共作和网络文化、网络文明建设，组织开展网信系统干部教育培训和人才队伍建设等工作。年初安排预算资金35万</w:t>
      </w:r>
      <w:r>
        <w:rPr>
          <w:rFonts w:hint="default" w:ascii="宋体" w:hAnsi="宋体" w:eastAsia="方正仿宋简体" w:cs="宋体"/>
          <w:b w:val="0"/>
          <w:i w:val="0"/>
          <w:caps w:val="0"/>
          <w:color w:val="333333"/>
          <w:spacing w:val="0"/>
          <w:kern w:val="0"/>
          <w:sz w:val="32"/>
          <w:szCs w:val="24"/>
          <w:shd w:val="clear" w:fill="FFFFFF"/>
          <w:lang w:val="en-US" w:eastAsia="zh-CN" w:bidi="ar"/>
        </w:rPr>
        <w:t>元用于</w:t>
      </w:r>
      <w:r>
        <w:rPr>
          <w:rFonts w:hint="eastAsia" w:ascii="仿宋" w:hAnsi="仿宋" w:eastAsia="仿宋" w:cs="Arial"/>
          <w:color w:val="333333"/>
          <w:sz w:val="32"/>
          <w:szCs w:val="32"/>
        </w:rPr>
        <w:t>统筹协调组织互联网宣传管理和舆论引导工作，组织开展网上评论，指导推动网络评论队伍建设，</w:t>
      </w:r>
      <w:r>
        <w:rPr>
          <w:rFonts w:hint="eastAsia" w:ascii="宋体" w:hAnsi="宋体" w:eastAsia="方正仿宋简体" w:cs="宋体"/>
          <w:b w:val="0"/>
          <w:i w:val="0"/>
          <w:caps w:val="0"/>
          <w:color w:val="333333"/>
          <w:spacing w:val="0"/>
          <w:kern w:val="0"/>
          <w:sz w:val="32"/>
          <w:szCs w:val="24"/>
          <w:shd w:val="clear" w:fill="FFFFFF"/>
          <w:lang w:val="en-US" w:eastAsia="zh-CN" w:bidi="ar"/>
        </w:rPr>
        <w:t>举办网络宣传活动，制作网络宣传作品等。乐亭县财政局已全部批复和下达，截止2021年12月底，项目经费已全部执行，执行率100%。</w:t>
      </w:r>
    </w:p>
    <w:p w14:paraId="2764A1F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（二）项目绩效目标。包括总体目标和阶段性目标。</w:t>
      </w:r>
    </w:p>
    <w:p w14:paraId="69A95264">
      <w:pPr>
        <w:ind w:firstLine="640" w:firstLineChars="200"/>
        <w:rPr>
          <w:rFonts w:hint="default" w:ascii="仿宋" w:hAnsi="仿宋" w:eastAsia="仿宋" w:cs="Arial"/>
          <w:color w:val="333333"/>
          <w:sz w:val="32"/>
          <w:szCs w:val="32"/>
          <w:lang w:val="en-US" w:eastAsia="zh-CN"/>
        </w:rPr>
      </w:pPr>
      <w:r>
        <w:rPr>
          <w:rFonts w:hint="eastAsia" w:ascii="宋体" w:hAnsi="宋体" w:eastAsia="方正仿宋简体" w:cs="宋体"/>
          <w:b w:val="0"/>
          <w:i w:val="0"/>
          <w:caps w:val="0"/>
          <w:color w:val="333333"/>
          <w:spacing w:val="0"/>
          <w:kern w:val="0"/>
          <w:sz w:val="32"/>
          <w:szCs w:val="24"/>
          <w:shd w:val="clear" w:fill="FFFFFF"/>
          <w:lang w:val="en-US" w:eastAsia="zh-CN" w:bidi="ar"/>
        </w:rPr>
        <w:t>总体目标：</w:t>
      </w:r>
      <w:r>
        <w:rPr>
          <w:rFonts w:hint="eastAsia" w:ascii="仿宋" w:hAnsi="仿宋" w:eastAsia="仿宋" w:cs="Arial"/>
          <w:color w:val="333333"/>
          <w:sz w:val="32"/>
          <w:szCs w:val="32"/>
          <w:lang w:val="en-US" w:eastAsia="zh-CN"/>
        </w:rPr>
        <w:t>组织各级网评员学习培训，提高受训人员的新媒体制作、应急处置、舆论引导水平。与各网络媒体合作，制作新媒体宣传品宣传推介乐亭，提高乐亭的影响力和美誉度。按照上级要求组织开展网络宣传活动。</w:t>
      </w:r>
    </w:p>
    <w:p w14:paraId="0A705CC4">
      <w:pPr>
        <w:pStyle w:val="2"/>
        <w:keepNext w:val="0"/>
        <w:keepLines w:val="0"/>
        <w:pageBreakBefore w:val="0"/>
        <w:kinsoku/>
        <w:wordWrap/>
        <w:overflowPunct/>
        <w:topLinePunct w:val="0"/>
        <w:autoSpaceDE/>
        <w:autoSpaceDN/>
        <w:bidi w:val="0"/>
        <w:adjustRightInd/>
        <w:snapToGrid/>
        <w:spacing w:before="0"/>
        <w:ind w:firstLine="640" w:firstLineChars="200"/>
        <w:jc w:val="both"/>
        <w:textAlignment w:val="auto"/>
        <w:rPr>
          <w:rFonts w:hint="default"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阶段性目标：1.按照时间节点，开展网络安全宣传周、国家安全日、国家宪法日等宣传活动。2.按照上级工作任务，组织网评员进行评论引导。对网评员进行业务培训与指导，每季度进行综合评比。3.积极参加各类作品征集活动。4.联合省市委网信办组织建党一百周年党史学习教育。</w:t>
      </w:r>
    </w:p>
    <w:p w14:paraId="13D7F527">
      <w:pPr>
        <w:spacing w:line="600" w:lineRule="exact"/>
        <w:ind w:firstLine="640" w:firstLineChars="200"/>
        <w:rPr>
          <w:rFonts w:eastAsia="黑体"/>
          <w:sz w:val="32"/>
          <w:szCs w:val="32"/>
        </w:rPr>
      </w:pPr>
      <w:r>
        <w:rPr>
          <w:rFonts w:hint="eastAsia" w:eastAsia="黑体"/>
          <w:sz w:val="32"/>
          <w:szCs w:val="32"/>
        </w:rPr>
        <w:t>二、绩效评价工作开展情况</w:t>
      </w:r>
    </w:p>
    <w:p w14:paraId="2FED890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（一）绩效评价目的、对象和范围。</w:t>
      </w:r>
    </w:p>
    <w:p w14:paraId="63BFB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1.绩效评价目的</w:t>
      </w:r>
    </w:p>
    <w:p w14:paraId="66273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default" w:ascii="宋体" w:hAnsi="宋体" w:eastAsia="方正仿宋简体" w:cs="宋体"/>
          <w:b w:val="0"/>
          <w:i w:val="0"/>
          <w:caps w:val="0"/>
          <w:color w:val="333333"/>
          <w:spacing w:val="0"/>
          <w:sz w:val="32"/>
          <w:szCs w:val="24"/>
          <w:shd w:val="clear" w:fill="FFFFFF"/>
        </w:rPr>
        <w:t>通过开展绩效评价工作，了解项目支出资金使用情况和管理情况、项目组织和实施情况，检验项目投入是否达到预期目标，总结经验，分析问题，进一步规范和加强专项资金管理，切实提高财政资金使用效益。</w:t>
      </w:r>
    </w:p>
    <w:p w14:paraId="159B4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2.绩效评价对象和范围</w:t>
      </w:r>
    </w:p>
    <w:p w14:paraId="651FF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本次绩效评价对象</w:t>
      </w:r>
      <w:r>
        <w:rPr>
          <w:rFonts w:hint="eastAsia" w:ascii="宋体" w:hAnsi="宋体" w:eastAsia="方正仿宋简体" w:cs="宋体"/>
          <w:b w:val="0"/>
          <w:i w:val="0"/>
          <w:caps w:val="0"/>
          <w:color w:val="333333"/>
          <w:spacing w:val="0"/>
          <w:sz w:val="32"/>
          <w:szCs w:val="24"/>
          <w:shd w:val="clear" w:fill="FFFFFF"/>
          <w:lang w:val="en-US" w:eastAsia="zh-CN"/>
        </w:rPr>
        <w:t>和范围是</w:t>
      </w:r>
      <w:r>
        <w:rPr>
          <w:rFonts w:hint="default" w:ascii="宋体" w:hAnsi="宋体" w:eastAsia="方正仿宋简体" w:cs="宋体"/>
          <w:b w:val="0"/>
          <w:i w:val="0"/>
          <w:caps w:val="0"/>
          <w:color w:val="333333"/>
          <w:spacing w:val="0"/>
          <w:sz w:val="32"/>
          <w:szCs w:val="24"/>
          <w:shd w:val="clear" w:fill="FFFFFF"/>
        </w:rPr>
        <w:t>20</w:t>
      </w:r>
      <w:r>
        <w:rPr>
          <w:rFonts w:hint="eastAsia" w:ascii="宋体" w:hAnsi="宋体" w:eastAsia="方正仿宋简体" w:cs="宋体"/>
          <w:b w:val="0"/>
          <w:i w:val="0"/>
          <w:caps w:val="0"/>
          <w:color w:val="333333"/>
          <w:spacing w:val="0"/>
          <w:sz w:val="32"/>
          <w:szCs w:val="24"/>
          <w:shd w:val="clear" w:fill="FFFFFF"/>
          <w:lang w:val="en-US" w:eastAsia="zh-CN"/>
        </w:rPr>
        <w:t>21</w:t>
      </w:r>
      <w:r>
        <w:rPr>
          <w:rFonts w:hint="default" w:ascii="宋体" w:hAnsi="宋体" w:eastAsia="方正仿宋简体" w:cs="宋体"/>
          <w:b w:val="0"/>
          <w:i w:val="0"/>
          <w:caps w:val="0"/>
          <w:color w:val="333333"/>
          <w:spacing w:val="0"/>
          <w:sz w:val="32"/>
          <w:szCs w:val="24"/>
          <w:shd w:val="clear" w:fill="FFFFFF"/>
        </w:rPr>
        <w:t>年度</w:t>
      </w:r>
      <w:r>
        <w:rPr>
          <w:rFonts w:hint="eastAsia" w:ascii="宋体" w:hAnsi="宋体" w:eastAsia="方正仿宋简体" w:cs="宋体"/>
          <w:b w:val="0"/>
          <w:i w:val="0"/>
          <w:caps w:val="0"/>
          <w:color w:val="333333"/>
          <w:spacing w:val="0"/>
          <w:sz w:val="32"/>
          <w:szCs w:val="24"/>
          <w:shd w:val="clear" w:fill="FFFFFF"/>
          <w:lang w:val="en-US" w:eastAsia="zh-CN"/>
        </w:rPr>
        <w:t>网信办网络强军工程建设与宣传工作经费。</w:t>
      </w:r>
    </w:p>
    <w:p w14:paraId="493BE0D2">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绩效评价原则、评价指标体系（附表说明）、评价方法、评价标准等。</w:t>
      </w:r>
    </w:p>
    <w:p w14:paraId="28BA9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1.绩效评价原则</w:t>
      </w:r>
    </w:p>
    <w:p w14:paraId="4E4FF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（1）科学规范原则。绩效评价注重财政支出的经济性、效率性和有效性，严格执行规定的程序，合理确定绩效目标和评价内容，运用简便、实用、定量与定性分析相结合的方法，规范进行评价。</w:t>
      </w:r>
    </w:p>
    <w:p w14:paraId="3DA279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（2）公正公开原则。坚持客观、公平、公正，做到依据合法、标准统一、资料可靠、实事求是、公开透明，并接受监督。</w:t>
      </w:r>
    </w:p>
    <w:p w14:paraId="17505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（3）分级分类原则。本次绩效评价根据评价对象特点分类组织实施，发现问题提出明确整改措施和要求，并及时整改落实。</w:t>
      </w:r>
    </w:p>
    <w:p w14:paraId="655BA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（4）绩效相关原则。绩效评价针对具体支出及其产出绩效进行，评价结果清晰反映支出和产出绩效之间的紧密对应关系。</w:t>
      </w:r>
    </w:p>
    <w:p w14:paraId="018FC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2.绩效评价指标体系</w:t>
      </w:r>
    </w:p>
    <w:p w14:paraId="67DED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color w:val="333333"/>
          <w:sz w:val="32"/>
          <w:szCs w:val="24"/>
          <w:lang w:val="en-US" w:eastAsia="zh-CN"/>
        </w:rPr>
      </w:pPr>
      <w:r>
        <w:rPr>
          <w:rFonts w:hint="default" w:ascii="宋体" w:hAnsi="宋体" w:eastAsia="方正仿宋简体" w:cs="宋体"/>
          <w:b w:val="0"/>
          <w:i w:val="0"/>
          <w:caps w:val="0"/>
          <w:color w:val="333333"/>
          <w:spacing w:val="0"/>
          <w:sz w:val="32"/>
          <w:szCs w:val="24"/>
          <w:shd w:val="clear" w:fill="FFFFFF"/>
        </w:rPr>
        <w:t>根据《</w:t>
      </w:r>
      <w:r>
        <w:rPr>
          <w:rFonts w:hint="eastAsia" w:ascii="宋体" w:hAnsi="宋体" w:eastAsia="方正仿宋简体" w:cs="宋体"/>
          <w:b w:val="0"/>
          <w:i w:val="0"/>
          <w:caps w:val="0"/>
          <w:color w:val="333333"/>
          <w:spacing w:val="0"/>
          <w:sz w:val="32"/>
          <w:szCs w:val="24"/>
          <w:shd w:val="clear" w:fill="FFFFFF"/>
          <w:lang w:val="en-US" w:eastAsia="zh-CN"/>
        </w:rPr>
        <w:t>乐亭县财政支出绩效评价管理暂行办法（自评、重点评价、整体评价）</w:t>
      </w:r>
      <w:r>
        <w:rPr>
          <w:rFonts w:hint="default" w:ascii="宋体" w:hAnsi="宋体" w:eastAsia="方正仿宋简体" w:cs="宋体"/>
          <w:b w:val="0"/>
          <w:i w:val="0"/>
          <w:caps w:val="0"/>
          <w:color w:val="333333"/>
          <w:spacing w:val="0"/>
          <w:sz w:val="32"/>
          <w:szCs w:val="24"/>
          <w:shd w:val="clear" w:fill="FFFFFF"/>
        </w:rPr>
        <w:t>》（</w:t>
      </w:r>
      <w:r>
        <w:rPr>
          <w:rFonts w:hint="eastAsia" w:ascii="宋体" w:hAnsi="宋体" w:eastAsia="方正仿宋简体" w:cs="宋体"/>
          <w:b w:val="0"/>
          <w:i w:val="0"/>
          <w:caps w:val="0"/>
          <w:color w:val="333333"/>
          <w:spacing w:val="0"/>
          <w:sz w:val="32"/>
          <w:szCs w:val="24"/>
          <w:shd w:val="clear" w:fill="FFFFFF"/>
          <w:lang w:val="en-US" w:eastAsia="zh-CN"/>
        </w:rPr>
        <w:t>乐</w:t>
      </w:r>
      <w:r>
        <w:rPr>
          <w:rFonts w:hint="default" w:ascii="宋体" w:hAnsi="宋体" w:eastAsia="方正仿宋简体" w:cs="宋体"/>
          <w:b w:val="0"/>
          <w:i w:val="0"/>
          <w:caps w:val="0"/>
          <w:color w:val="333333"/>
          <w:spacing w:val="0"/>
          <w:sz w:val="32"/>
          <w:szCs w:val="24"/>
          <w:shd w:val="clear" w:fill="FFFFFF"/>
        </w:rPr>
        <w:t>财</w:t>
      </w:r>
      <w:r>
        <w:rPr>
          <w:rFonts w:hint="eastAsia" w:ascii="宋体" w:hAnsi="宋体" w:eastAsia="方正仿宋简体" w:cs="宋体"/>
          <w:b w:val="0"/>
          <w:i w:val="0"/>
          <w:caps w:val="0"/>
          <w:color w:val="333333"/>
          <w:spacing w:val="0"/>
          <w:sz w:val="32"/>
          <w:szCs w:val="24"/>
          <w:shd w:val="clear" w:fill="FFFFFF"/>
          <w:lang w:val="en-US" w:eastAsia="zh-CN"/>
        </w:rPr>
        <w:t>预</w:t>
      </w: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w:t>
      </w:r>
      <w:r>
        <w:rPr>
          <w:rFonts w:hint="eastAsia" w:ascii="宋体" w:hAnsi="宋体" w:eastAsia="方正仿宋简体" w:cs="宋体"/>
          <w:b w:val="0"/>
          <w:i w:val="0"/>
          <w:caps w:val="0"/>
          <w:color w:val="333333"/>
          <w:spacing w:val="0"/>
          <w:sz w:val="32"/>
          <w:szCs w:val="24"/>
          <w:shd w:val="clear" w:fill="FFFFFF"/>
          <w:lang w:val="en-US" w:eastAsia="zh-CN"/>
        </w:rPr>
        <w:t>9</w:t>
      </w:r>
      <w:r>
        <w:rPr>
          <w:rFonts w:hint="default" w:ascii="宋体" w:hAnsi="宋体" w:eastAsia="方正仿宋简体" w:cs="宋体"/>
          <w:b w:val="0"/>
          <w:i w:val="0"/>
          <w:caps w:val="0"/>
          <w:color w:val="333333"/>
          <w:spacing w:val="0"/>
          <w:sz w:val="32"/>
          <w:szCs w:val="24"/>
          <w:shd w:val="clear" w:fill="FFFFFF"/>
        </w:rPr>
        <w:t>号）的相关要求，综合考虑项目绩效目标、项目管理特点、项目实施内容制定了绩效评价指标体系。具体从产出、效益</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满意度3</w:t>
      </w:r>
      <w:r>
        <w:rPr>
          <w:rFonts w:hint="default" w:ascii="宋体" w:hAnsi="宋体" w:eastAsia="方正仿宋简体" w:cs="宋体"/>
          <w:b w:val="0"/>
          <w:i w:val="0"/>
          <w:caps w:val="0"/>
          <w:color w:val="333333"/>
          <w:spacing w:val="0"/>
          <w:sz w:val="32"/>
          <w:szCs w:val="24"/>
          <w:shd w:val="clear" w:fill="FFFFFF"/>
        </w:rPr>
        <w:t>个维度进行全过程评价，</w:t>
      </w:r>
      <w:r>
        <w:rPr>
          <w:rFonts w:hint="eastAsia" w:ascii="宋体" w:hAnsi="宋体" w:eastAsia="方正仿宋简体" w:cs="宋体"/>
          <w:b w:val="0"/>
          <w:i w:val="0"/>
          <w:caps w:val="0"/>
          <w:color w:val="333333"/>
          <w:spacing w:val="0"/>
          <w:sz w:val="32"/>
          <w:szCs w:val="24"/>
          <w:shd w:val="clear" w:fill="FFFFFF"/>
          <w:lang w:val="en-US" w:eastAsia="zh-CN"/>
        </w:rPr>
        <w:t>设计二级指标、三级指标、完成值和分值进行评价，具体指标体系详见项目支出自评表。</w:t>
      </w:r>
    </w:p>
    <w:p w14:paraId="13B49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本次评价采用百分制，评价标准是评价人员进行具体打分时依据的定量、定性标准。根据具体的绩效评价指标体系，评价人员根据评价情况对各级指标进行打分，最终得分由各评价指标得分加总得出。根据最终得分情况将评价标准分为四个等级：优（得分≥90分）；良（80分≤得分＜90分）；中（60≤得分＜80分）；差（得分＜60分）。</w:t>
      </w:r>
    </w:p>
    <w:p w14:paraId="741C2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3.绩效评价的方法</w:t>
      </w:r>
    </w:p>
    <w:p w14:paraId="78035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结合本次绩效评价项目的具体情况，为确保本次绩效评价工作的真实可靠，主要通过审阅资料、实地评价、问卷调查、数据分析等方法进行评价。</w:t>
      </w:r>
    </w:p>
    <w:p w14:paraId="3775C9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4.绩效评价标准</w:t>
      </w:r>
    </w:p>
    <w:p w14:paraId="3FB5C5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绩效评价标准通常包括计划标准、行业标准、历史标准等，用于对绩效指标完成情况进行比较。本次绩效评价主要采用计划标准。</w:t>
      </w:r>
    </w:p>
    <w:p w14:paraId="0EE6D2DA">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绩效评价工作过程。</w:t>
      </w:r>
    </w:p>
    <w:p w14:paraId="06CC01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eastAsia" w:ascii="宋体" w:hAnsi="宋体" w:eastAsia="方正仿宋简体" w:cs="宋体"/>
          <w:b w:val="0"/>
          <w:i w:val="0"/>
          <w:caps w:val="0"/>
          <w:color w:val="333333"/>
          <w:spacing w:val="0"/>
          <w:sz w:val="32"/>
          <w:szCs w:val="24"/>
          <w:shd w:val="clear" w:fill="FFFFFF"/>
        </w:rPr>
        <w:t>根据绩效评价的要求，我们成立了自评工作领导小组，对照自评方案进行研究和部署，班子成员全程参与，按照自评方案的要求，对照各实施项目的内容逐条逐项自评。在自评过程发现问题，查找原因，及时纠正偏差，为下一步工作夯实基础。</w:t>
      </w:r>
    </w:p>
    <w:p w14:paraId="61FBED06">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综合评价情况及评价结论</w:t>
      </w:r>
    </w:p>
    <w:p w14:paraId="150B1738">
      <w:pPr>
        <w:pStyle w:val="2"/>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部门总体产出、效果绩效指标完成良好。精心组织“网络安全宣传周”，</w:t>
      </w:r>
      <w:r>
        <w:rPr>
          <w:rFonts w:hint="eastAsia" w:ascii="宋体" w:hAnsi="宋体" w:eastAsia="方正仿宋简体" w:cs="方正仿宋简体"/>
          <w:kern w:val="2"/>
          <w:sz w:val="32"/>
          <w:szCs w:val="32"/>
          <w:lang w:val="en-US" w:eastAsia="zh-CN" w:bidi="ar-SA"/>
        </w:rPr>
        <w:t>开展“六进”宣传活动，印发材料近10万份，有</w:t>
      </w:r>
      <w:r>
        <w:rPr>
          <w:rFonts w:hint="eastAsia" w:ascii="宋体" w:hAnsi="宋体" w:eastAsia="方正仿宋简体" w:cs="宋体"/>
          <w:b w:val="0"/>
          <w:i w:val="0"/>
          <w:caps w:val="0"/>
          <w:color w:val="333333"/>
          <w:spacing w:val="0"/>
          <w:sz w:val="32"/>
          <w:szCs w:val="24"/>
          <w:shd w:val="clear" w:fill="FFFFFF"/>
          <w:lang w:val="en-US" w:eastAsia="zh-CN"/>
        </w:rPr>
        <w:t>效提高了群众网络安全意识。加强网上舆论引导，发展健康向上网络文化，组织网上正面宣传，营造良好网络舆论氛围，形成良好的网络生态环境，被唐山市委网信办评为“网络评论和社会化工作先进单位”。积极参加各类作品征集活动，制作、征集、推荐了各类新媒体作品20余件，乐亭县委网信办获得唐山市委网信办“2020年度新媒体作品创作组织工作先进单位”。网信办2021</w:t>
      </w:r>
      <w:r>
        <w:rPr>
          <w:rFonts w:hint="default" w:ascii="宋体" w:hAnsi="宋体" w:eastAsia="方正仿宋简体" w:cs="宋体"/>
          <w:b w:val="0"/>
          <w:i w:val="0"/>
          <w:caps w:val="0"/>
          <w:color w:val="333333"/>
          <w:spacing w:val="0"/>
          <w:sz w:val="32"/>
          <w:szCs w:val="24"/>
          <w:shd w:val="clear" w:fill="FFFFFF"/>
          <w:lang w:val="en-US" w:eastAsia="zh-CN"/>
        </w:rPr>
        <w:t>年</w:t>
      </w:r>
      <w:r>
        <w:rPr>
          <w:rFonts w:hint="eastAsia" w:ascii="宋体" w:hAnsi="宋体" w:eastAsia="方正仿宋简体" w:cs="宋体"/>
          <w:b w:val="0"/>
          <w:i w:val="0"/>
          <w:caps w:val="0"/>
          <w:color w:val="333333"/>
          <w:spacing w:val="0"/>
          <w:sz w:val="32"/>
          <w:szCs w:val="24"/>
          <w:shd w:val="clear" w:fill="FFFFFF"/>
          <w:lang w:val="en-US" w:eastAsia="zh-CN"/>
        </w:rPr>
        <w:t>网络强军工程建设与宣传</w:t>
      </w:r>
      <w:r>
        <w:rPr>
          <w:rFonts w:hint="default" w:ascii="宋体" w:hAnsi="宋体" w:eastAsia="方正仿宋简体" w:cs="宋体"/>
          <w:b w:val="0"/>
          <w:i w:val="0"/>
          <w:caps w:val="0"/>
          <w:color w:val="333333"/>
          <w:spacing w:val="0"/>
          <w:sz w:val="32"/>
          <w:szCs w:val="24"/>
          <w:shd w:val="clear" w:fill="FFFFFF"/>
          <w:lang w:val="en-US" w:eastAsia="zh-CN"/>
        </w:rPr>
        <w:t>项目绩效评价得分</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lang w:val="en-US" w:eastAsia="zh-CN"/>
        </w:rPr>
        <w:t>分，评价等级为“优”。</w:t>
      </w:r>
    </w:p>
    <w:p w14:paraId="4AB7ADE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hint="eastAsia" w:eastAsia="黑体"/>
          <w:sz w:val="32"/>
          <w:szCs w:val="32"/>
        </w:rPr>
        <w:t>四、绩效评价指标分析</w:t>
      </w:r>
    </w:p>
    <w:p w14:paraId="7A55699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（一）项目决策情况。</w:t>
      </w:r>
    </w:p>
    <w:p w14:paraId="15C37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kern w:val="2"/>
          <w:sz w:val="32"/>
          <w:szCs w:val="24"/>
          <w:shd w:val="clear" w:fill="FFFFFF"/>
          <w:lang w:val="en-US" w:eastAsia="zh-CN" w:bidi="ar-SA"/>
        </w:rPr>
      </w:pPr>
      <w:r>
        <w:rPr>
          <w:rFonts w:hint="default" w:ascii="宋体" w:hAnsi="宋体" w:eastAsia="方正仿宋简体" w:cs="宋体"/>
          <w:b w:val="0"/>
          <w:i w:val="0"/>
          <w:caps w:val="0"/>
          <w:color w:val="333333"/>
          <w:spacing w:val="0"/>
          <w:sz w:val="32"/>
          <w:szCs w:val="24"/>
          <w:shd w:val="clear" w:fill="FFFFFF"/>
        </w:rPr>
        <w:t>1.项目立项方面</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kern w:val="2"/>
          <w:sz w:val="32"/>
          <w:szCs w:val="24"/>
          <w:shd w:val="clear" w:fill="FFFFFF"/>
          <w:lang w:val="en-US" w:eastAsia="zh-CN" w:bidi="ar-SA"/>
        </w:rPr>
        <w:t>根据网信办职能配置的规定，结合中央、省、市委网信办的安排部署，落实县委县政府的重大决策，立项依据充分。</w:t>
      </w:r>
    </w:p>
    <w:p w14:paraId="15E72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绩效目标方面。项目申报预算时，将绩效目标设较为明确的绩效目标，符合国家相关法律法规、政府决策，与项目实施单位职责密切相关，预期产出效益和效果符合正常的业绩水平。绩效目标与项目年度计划数或任务相对应、与预算确定的项目资金相匹配，但绩效指标细化、量化不足，未能全面、清晰反映项目产出和效益情况。</w:t>
      </w:r>
    </w:p>
    <w:p w14:paraId="667FC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3.资金投入方面。项目资金</w:t>
      </w:r>
      <w:r>
        <w:rPr>
          <w:rFonts w:hint="eastAsia" w:ascii="宋体" w:hAnsi="宋体" w:eastAsia="方正仿宋简体" w:cs="宋体"/>
          <w:b w:val="0"/>
          <w:i w:val="0"/>
          <w:caps w:val="0"/>
          <w:color w:val="333333"/>
          <w:spacing w:val="0"/>
          <w:sz w:val="32"/>
          <w:szCs w:val="24"/>
          <w:shd w:val="clear" w:fill="FFFFFF"/>
          <w:lang w:val="en-US" w:eastAsia="zh-CN"/>
        </w:rPr>
        <w:t>举办宣传活动，完成宣传任务，参加各类征集制作新媒体作品的比赛，组织培训网评员队伍为</w:t>
      </w:r>
      <w:r>
        <w:rPr>
          <w:rFonts w:hint="default" w:ascii="宋体" w:hAnsi="宋体" w:eastAsia="方正仿宋简体" w:cs="宋体"/>
          <w:b w:val="0"/>
          <w:i w:val="0"/>
          <w:caps w:val="0"/>
          <w:color w:val="333333"/>
          <w:spacing w:val="0"/>
          <w:sz w:val="32"/>
          <w:szCs w:val="24"/>
          <w:shd w:val="clear" w:fill="FFFFFF"/>
        </w:rPr>
        <w:t>测算依据，预算额度测算、分配依据充分。项目下达资金</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rPr>
        <w:t>万元，实际到位项目资金</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rPr>
        <w:t>万元，资金到位率100%，到位及时率100%，项目资金及时到位有效保障项目实施。</w:t>
      </w:r>
    </w:p>
    <w:p w14:paraId="144D2734">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项目过程情况。</w:t>
      </w:r>
    </w:p>
    <w:p w14:paraId="1C18A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color w:val="333333"/>
          <w:sz w:val="32"/>
          <w:szCs w:val="24"/>
          <w:lang w:eastAsia="zh-CN"/>
        </w:rPr>
      </w:pPr>
      <w:r>
        <w:rPr>
          <w:rFonts w:hint="default" w:ascii="宋体" w:hAnsi="宋体" w:eastAsia="方正仿宋简体" w:cs="宋体"/>
          <w:b w:val="0"/>
          <w:i w:val="0"/>
          <w:caps w:val="0"/>
          <w:color w:val="333333"/>
          <w:spacing w:val="0"/>
          <w:sz w:val="32"/>
          <w:szCs w:val="24"/>
          <w:shd w:val="clear" w:fill="FFFFFF"/>
        </w:rPr>
        <w:t>1.资金管理方面。</w:t>
      </w:r>
      <w:r>
        <w:rPr>
          <w:rFonts w:hint="eastAsia" w:ascii="宋体" w:hAnsi="宋体" w:eastAsia="方正仿宋简体" w:cs="宋体"/>
          <w:b w:val="0"/>
          <w:i w:val="0"/>
          <w:caps w:val="0"/>
          <w:color w:val="333333"/>
          <w:spacing w:val="0"/>
          <w:sz w:val="32"/>
          <w:szCs w:val="24"/>
          <w:shd w:val="clear" w:fill="FFFFFF"/>
          <w:lang w:val="en-US" w:eastAsia="zh-CN"/>
        </w:rPr>
        <w:t>根据《乐亭县预算绩效监控管理暂行办法》</w:t>
      </w:r>
      <w:r>
        <w:rPr>
          <w:rFonts w:hint="default" w:ascii="宋体" w:hAnsi="宋体" w:eastAsia="方正仿宋简体" w:cs="宋体"/>
          <w:b w:val="0"/>
          <w:i w:val="0"/>
          <w:caps w:val="0"/>
          <w:color w:val="333333"/>
          <w:spacing w:val="0"/>
          <w:sz w:val="32"/>
          <w:szCs w:val="24"/>
          <w:shd w:val="clear" w:fill="FFFFFF"/>
        </w:rPr>
        <w:t>相关要求，</w:t>
      </w:r>
      <w:r>
        <w:rPr>
          <w:rFonts w:hint="eastAsia" w:ascii="宋体" w:hAnsi="宋体" w:eastAsia="方正仿宋简体" w:cs="宋体"/>
          <w:b w:val="0"/>
          <w:i w:val="0"/>
          <w:caps w:val="0"/>
          <w:color w:val="333333"/>
          <w:spacing w:val="0"/>
          <w:sz w:val="32"/>
          <w:szCs w:val="24"/>
          <w:shd w:val="clear" w:fill="FFFFFF"/>
          <w:lang w:val="en-US" w:eastAsia="zh-CN"/>
        </w:rPr>
        <w:t>对项目资金执行情况进行监控，</w:t>
      </w:r>
      <w:r>
        <w:rPr>
          <w:rFonts w:hint="default" w:ascii="宋体" w:hAnsi="宋体" w:eastAsia="方正仿宋简体" w:cs="宋体"/>
          <w:b w:val="0"/>
          <w:i w:val="0"/>
          <w:caps w:val="0"/>
          <w:color w:val="333333"/>
          <w:spacing w:val="0"/>
          <w:sz w:val="32"/>
          <w:szCs w:val="24"/>
          <w:shd w:val="clear" w:fill="FFFFFF"/>
        </w:rPr>
        <w:t>未发现挪用、虚列支出等情况</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资金执行及时。</w:t>
      </w:r>
    </w:p>
    <w:p w14:paraId="25D923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lang w:val="en-US"/>
        </w:rPr>
      </w:pPr>
      <w:r>
        <w:rPr>
          <w:rFonts w:hint="default" w:ascii="宋体" w:hAnsi="宋体" w:eastAsia="方正仿宋简体" w:cs="宋体"/>
          <w:b w:val="0"/>
          <w:i w:val="0"/>
          <w:caps w:val="0"/>
          <w:color w:val="333333"/>
          <w:spacing w:val="0"/>
          <w:sz w:val="32"/>
          <w:szCs w:val="24"/>
          <w:shd w:val="clear" w:fill="FFFFFF"/>
        </w:rPr>
        <w:t>2.组织实施方面。</w:t>
      </w:r>
      <w:r>
        <w:rPr>
          <w:rFonts w:hint="eastAsia" w:ascii="宋体" w:hAnsi="宋体" w:eastAsia="方正仿宋简体" w:cs="宋体"/>
          <w:b w:val="0"/>
          <w:i w:val="0"/>
          <w:caps w:val="0"/>
          <w:color w:val="333333"/>
          <w:spacing w:val="0"/>
          <w:sz w:val="32"/>
          <w:szCs w:val="24"/>
          <w:shd w:val="clear" w:fill="FFFFFF"/>
          <w:lang w:val="en-US" w:eastAsia="zh-CN"/>
        </w:rPr>
        <w:t>按照上级要求开展各项宣传活动，通过“六进”活动促进网络安全深入人心。及时组织各级网评员完成上级下达的工作任务。征集、制作形式多样的新媒体作品，并获得表彰奖励。</w:t>
      </w:r>
    </w:p>
    <w:p w14:paraId="15B4D84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（三）项目产出情况。</w:t>
      </w:r>
    </w:p>
    <w:p w14:paraId="2F3D780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项目产出包括产出数量、产出质量、产出时效</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产出成本四</w:t>
      </w:r>
      <w:r>
        <w:rPr>
          <w:rFonts w:hint="default" w:ascii="宋体" w:hAnsi="宋体" w:eastAsia="方正仿宋简体" w:cs="宋体"/>
          <w:b w:val="0"/>
          <w:i w:val="0"/>
          <w:caps w:val="0"/>
          <w:color w:val="333333"/>
          <w:spacing w:val="0"/>
          <w:sz w:val="32"/>
          <w:szCs w:val="24"/>
          <w:shd w:val="clear" w:fill="FFFFFF"/>
        </w:rPr>
        <w:t>个方面。该项满分为</w:t>
      </w:r>
      <w:r>
        <w:rPr>
          <w:rFonts w:hint="eastAsia" w:ascii="宋体" w:hAnsi="宋体" w:eastAsia="方正仿宋简体" w:cs="宋体"/>
          <w:b w:val="0"/>
          <w:i w:val="0"/>
          <w:caps w:val="0"/>
          <w:color w:val="333333"/>
          <w:spacing w:val="0"/>
          <w:sz w:val="32"/>
          <w:szCs w:val="24"/>
          <w:shd w:val="clear" w:fill="FFFFFF"/>
          <w:lang w:val="en-US" w:eastAsia="zh-CN"/>
        </w:rPr>
        <w:t>60</w:t>
      </w:r>
      <w:r>
        <w:rPr>
          <w:rFonts w:hint="default" w:ascii="宋体" w:hAnsi="宋体" w:eastAsia="方正仿宋简体" w:cs="宋体"/>
          <w:b w:val="0"/>
          <w:i w:val="0"/>
          <w:caps w:val="0"/>
          <w:color w:val="333333"/>
          <w:spacing w:val="0"/>
          <w:sz w:val="32"/>
          <w:szCs w:val="24"/>
          <w:shd w:val="clear" w:fill="FFFFFF"/>
        </w:rPr>
        <w:t>分，得分</w:t>
      </w:r>
      <w:r>
        <w:rPr>
          <w:rFonts w:hint="eastAsia" w:ascii="宋体" w:hAnsi="宋体" w:eastAsia="方正仿宋简体" w:cs="宋体"/>
          <w:b w:val="0"/>
          <w:i w:val="0"/>
          <w:caps w:val="0"/>
          <w:color w:val="333333"/>
          <w:spacing w:val="0"/>
          <w:sz w:val="32"/>
          <w:szCs w:val="24"/>
          <w:shd w:val="clear" w:fill="FFFFFF"/>
          <w:lang w:val="en-US" w:eastAsia="zh-CN"/>
        </w:rPr>
        <w:t>60</w:t>
      </w:r>
      <w:r>
        <w:rPr>
          <w:rFonts w:hint="default" w:ascii="宋体" w:hAnsi="宋体" w:eastAsia="方正仿宋简体" w:cs="宋体"/>
          <w:b w:val="0"/>
          <w:i w:val="0"/>
          <w:caps w:val="0"/>
          <w:color w:val="333333"/>
          <w:spacing w:val="0"/>
          <w:sz w:val="32"/>
          <w:szCs w:val="24"/>
          <w:shd w:val="clear" w:fill="FFFFFF"/>
        </w:rPr>
        <w:t>分，得分率</w:t>
      </w:r>
      <w:r>
        <w:rPr>
          <w:rFonts w:hint="eastAsia" w:ascii="宋体" w:hAnsi="宋体" w:eastAsia="方正仿宋简体" w:cs="宋体"/>
          <w:b w:val="0"/>
          <w:i w:val="0"/>
          <w:caps w:val="0"/>
          <w:color w:val="333333"/>
          <w:spacing w:val="0"/>
          <w:sz w:val="32"/>
          <w:szCs w:val="24"/>
          <w:shd w:val="clear" w:fill="FFFFFF"/>
          <w:lang w:val="en-US" w:eastAsia="zh-CN"/>
        </w:rPr>
        <w:t>100.00</w:t>
      </w:r>
      <w:r>
        <w:rPr>
          <w:rFonts w:hint="default" w:ascii="宋体" w:hAnsi="宋体" w:eastAsia="方正仿宋简体" w:cs="宋体"/>
          <w:b w:val="0"/>
          <w:i w:val="0"/>
          <w:caps w:val="0"/>
          <w:color w:val="333333"/>
          <w:spacing w:val="0"/>
          <w:sz w:val="32"/>
          <w:szCs w:val="24"/>
          <w:shd w:val="clear" w:fill="FFFFFF"/>
        </w:rPr>
        <w:t>%。具体绩效评价产出情况分析如下：</w:t>
      </w:r>
    </w:p>
    <w:p w14:paraId="6F3B8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1.产出</w:t>
      </w:r>
      <w:r>
        <w:rPr>
          <w:rFonts w:hint="eastAsia" w:ascii="宋体" w:hAnsi="宋体" w:eastAsia="方正仿宋简体" w:cs="宋体"/>
          <w:b w:val="0"/>
          <w:i w:val="0"/>
          <w:caps w:val="0"/>
          <w:color w:val="333333"/>
          <w:spacing w:val="0"/>
          <w:sz w:val="32"/>
          <w:szCs w:val="27"/>
          <w:shd w:val="clear" w:fill="FFFFFF"/>
          <w:lang w:val="en-US" w:eastAsia="zh-CN"/>
        </w:rPr>
        <w:t>成本</w:t>
      </w:r>
      <w:r>
        <w:rPr>
          <w:rFonts w:hint="default" w:ascii="宋体" w:hAnsi="宋体" w:eastAsia="方正仿宋简体" w:cs="宋体"/>
          <w:b w:val="0"/>
          <w:i w:val="0"/>
          <w:caps w:val="0"/>
          <w:color w:val="333333"/>
          <w:spacing w:val="0"/>
          <w:sz w:val="32"/>
          <w:szCs w:val="27"/>
          <w:shd w:val="clear" w:fill="FFFFFF"/>
        </w:rPr>
        <w:t>方面。</w:t>
      </w:r>
    </w:p>
    <w:p w14:paraId="199EF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default" w:ascii="宋体" w:hAnsi="宋体" w:eastAsia="方正仿宋简体" w:cs="宋体"/>
          <w:b w:val="0"/>
          <w:i w:val="0"/>
          <w:caps w:val="0"/>
          <w:color w:val="333333"/>
          <w:spacing w:val="0"/>
          <w:sz w:val="32"/>
          <w:szCs w:val="24"/>
          <w:shd w:val="clear" w:fill="FFFFFF"/>
        </w:rPr>
        <w:t>项目到位资金</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rPr>
        <w:t>万元，实际使用资金</w:t>
      </w:r>
      <w:r>
        <w:rPr>
          <w:rFonts w:hint="eastAsia" w:ascii="宋体" w:hAnsi="宋体" w:eastAsia="方正仿宋简体" w:cs="宋体"/>
          <w:b w:val="0"/>
          <w:i w:val="0"/>
          <w:caps w:val="0"/>
          <w:color w:val="333333"/>
          <w:spacing w:val="0"/>
          <w:sz w:val="32"/>
          <w:szCs w:val="24"/>
          <w:shd w:val="clear" w:fill="FFFFFF"/>
          <w:lang w:val="en-US" w:eastAsia="zh-CN"/>
        </w:rPr>
        <w:t>35</w:t>
      </w:r>
      <w:r>
        <w:rPr>
          <w:rFonts w:hint="default" w:ascii="宋体" w:hAnsi="宋体" w:eastAsia="方正仿宋简体" w:cs="宋体"/>
          <w:b w:val="0"/>
          <w:i w:val="0"/>
          <w:caps w:val="0"/>
          <w:color w:val="333333"/>
          <w:spacing w:val="0"/>
          <w:sz w:val="32"/>
          <w:szCs w:val="24"/>
          <w:shd w:val="clear" w:fill="FFFFFF"/>
        </w:rPr>
        <w:t>万元，资金使用率</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rPr>
        <w:t>%。</w:t>
      </w:r>
    </w:p>
    <w:p w14:paraId="758329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color w:val="333333"/>
          <w:sz w:val="32"/>
          <w:szCs w:val="24"/>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2.产出数量方面。建立300余人的网评员队伍，</w:t>
      </w:r>
      <w:r>
        <w:rPr>
          <w:rFonts w:hint="eastAsia" w:ascii="宋体" w:hAnsi="宋体" w:eastAsia="方正仿宋简体" w:cs="方正仿宋简体"/>
          <w:kern w:val="2"/>
          <w:sz w:val="32"/>
          <w:szCs w:val="32"/>
          <w:lang w:val="en-US" w:eastAsia="zh-CN" w:bidi="ar-SA"/>
        </w:rPr>
        <w:t>完成各类网评任务350余次，转发各平台信息7万余条，完成各类评论引导2000余条。开展14场网络宣传活动，印发材料近10万份。</w:t>
      </w:r>
      <w:r>
        <w:rPr>
          <w:rFonts w:ascii="宋体" w:hAnsi="宋体" w:eastAsia="方正仿宋简体" w:cs="方正仿宋简体"/>
          <w:sz w:val="32"/>
          <w:szCs w:val="32"/>
        </w:rPr>
        <w:t>积极参加各类作品征集活动</w:t>
      </w:r>
      <w:r>
        <w:rPr>
          <w:rFonts w:hint="eastAsia" w:ascii="宋体" w:hAnsi="宋体" w:eastAsia="方正仿宋简体" w:cs="方正仿宋简体"/>
          <w:sz w:val="32"/>
          <w:szCs w:val="32"/>
          <w:lang w:eastAsia="zh-CN"/>
        </w:rPr>
        <w:t>，</w:t>
      </w:r>
      <w:r>
        <w:rPr>
          <w:rFonts w:ascii="宋体" w:hAnsi="宋体" w:eastAsia="方正仿宋简体" w:cs="方正仿宋简体"/>
          <w:sz w:val="32"/>
          <w:szCs w:val="32"/>
        </w:rPr>
        <w:t>制作、征集、推荐了</w:t>
      </w:r>
      <w:r>
        <w:rPr>
          <w:rFonts w:hint="eastAsia" w:ascii="宋体" w:hAnsi="宋体" w:eastAsia="方正仿宋简体" w:cs="方正仿宋简体"/>
          <w:sz w:val="32"/>
          <w:szCs w:val="32"/>
          <w:lang w:eastAsia="zh-CN"/>
        </w:rPr>
        <w:t>各类新媒体作品</w:t>
      </w:r>
      <w:r>
        <w:rPr>
          <w:rFonts w:hint="eastAsia" w:ascii="宋体" w:hAnsi="宋体" w:eastAsia="方正仿宋简体" w:cs="方正仿宋简体"/>
          <w:sz w:val="32"/>
          <w:szCs w:val="32"/>
          <w:lang w:val="en-US" w:eastAsia="zh-CN"/>
        </w:rPr>
        <w:t>20余件。</w:t>
      </w:r>
    </w:p>
    <w:p w14:paraId="2013C7EF">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eastAsia="方正仿宋简体"/>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3</w:t>
      </w:r>
      <w:r>
        <w:rPr>
          <w:rFonts w:hint="default" w:ascii="宋体" w:hAnsi="宋体" w:eastAsia="方正仿宋简体" w:cs="宋体"/>
          <w:b w:val="0"/>
          <w:i w:val="0"/>
          <w:caps w:val="0"/>
          <w:color w:val="333333"/>
          <w:spacing w:val="0"/>
          <w:sz w:val="32"/>
          <w:szCs w:val="24"/>
          <w:shd w:val="clear" w:fill="FFFFFF"/>
        </w:rPr>
        <w:t>.产出质量</w:t>
      </w:r>
      <w:r>
        <w:rPr>
          <w:rFonts w:hint="eastAsia" w:ascii="宋体" w:hAnsi="宋体" w:eastAsia="方正仿宋简体" w:cs="宋体"/>
          <w:b w:val="0"/>
          <w:i w:val="0"/>
          <w:caps w:val="0"/>
          <w:color w:val="333333"/>
          <w:spacing w:val="0"/>
          <w:sz w:val="32"/>
          <w:szCs w:val="24"/>
          <w:shd w:val="clear" w:fill="FFFFFF"/>
          <w:lang w:val="en-US" w:eastAsia="zh-CN"/>
        </w:rPr>
        <w:t>和时效</w:t>
      </w:r>
      <w:r>
        <w:rPr>
          <w:rFonts w:hint="default" w:ascii="宋体" w:hAnsi="宋体" w:eastAsia="方正仿宋简体" w:cs="宋体"/>
          <w:b w:val="0"/>
          <w:i w:val="0"/>
          <w:caps w:val="0"/>
          <w:color w:val="333333"/>
          <w:spacing w:val="0"/>
          <w:sz w:val="32"/>
          <w:szCs w:val="24"/>
          <w:shd w:val="clear" w:fill="FFFFFF"/>
        </w:rPr>
        <w:t>方面。</w:t>
      </w:r>
      <w:r>
        <w:rPr>
          <w:rFonts w:hint="eastAsia" w:ascii="宋体" w:hAnsi="宋体" w:eastAsia="方正仿宋简体" w:cs="宋体"/>
          <w:b w:val="0"/>
          <w:i w:val="0"/>
          <w:caps w:val="0"/>
          <w:color w:val="333333"/>
          <w:spacing w:val="0"/>
          <w:sz w:val="32"/>
          <w:szCs w:val="24"/>
          <w:shd w:val="clear" w:fill="FFFFFF"/>
          <w:lang w:val="en-US" w:eastAsia="zh-CN"/>
        </w:rPr>
        <w:t>对网评员进行培训和业务指导，整体的新媒体制作、应急处置、舆论引导水平都得到提升，培训合格率达98%。及时组织网评员完成上级工作任务，并按时汇总上报。</w:t>
      </w:r>
    </w:p>
    <w:p w14:paraId="7703E7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（四）效益情况分析</w:t>
      </w:r>
    </w:p>
    <w:p w14:paraId="51754C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效益情况包括</w:t>
      </w:r>
      <w:r>
        <w:rPr>
          <w:rFonts w:hint="eastAsia" w:ascii="宋体" w:hAnsi="宋体" w:eastAsia="方正仿宋简体" w:cs="宋体"/>
          <w:b w:val="0"/>
          <w:i w:val="0"/>
          <w:caps w:val="0"/>
          <w:color w:val="333333"/>
          <w:spacing w:val="0"/>
          <w:sz w:val="32"/>
          <w:szCs w:val="24"/>
          <w:shd w:val="clear" w:fill="FFFFFF"/>
          <w:lang w:val="en-US" w:eastAsia="zh-CN"/>
        </w:rPr>
        <w:t>社会</w:t>
      </w:r>
      <w:r>
        <w:rPr>
          <w:rFonts w:hint="default" w:ascii="宋体" w:hAnsi="宋体" w:eastAsia="方正仿宋简体" w:cs="宋体"/>
          <w:b w:val="0"/>
          <w:i w:val="0"/>
          <w:caps w:val="0"/>
          <w:color w:val="333333"/>
          <w:spacing w:val="0"/>
          <w:sz w:val="32"/>
          <w:szCs w:val="24"/>
          <w:shd w:val="clear" w:fill="FFFFFF"/>
        </w:rPr>
        <w:t>效益、满意度</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可持续影响三</w:t>
      </w:r>
      <w:r>
        <w:rPr>
          <w:rFonts w:hint="default" w:ascii="宋体" w:hAnsi="宋体" w:eastAsia="方正仿宋简体" w:cs="宋体"/>
          <w:b w:val="0"/>
          <w:i w:val="0"/>
          <w:caps w:val="0"/>
          <w:color w:val="333333"/>
          <w:spacing w:val="0"/>
          <w:sz w:val="32"/>
          <w:szCs w:val="24"/>
          <w:shd w:val="clear" w:fill="FFFFFF"/>
        </w:rPr>
        <w:t>方面，满分为</w:t>
      </w:r>
      <w:r>
        <w:rPr>
          <w:rFonts w:hint="eastAsia" w:ascii="宋体" w:hAnsi="宋体" w:eastAsia="方正仿宋简体" w:cs="宋体"/>
          <w:b w:val="0"/>
          <w:i w:val="0"/>
          <w:caps w:val="0"/>
          <w:color w:val="333333"/>
          <w:spacing w:val="0"/>
          <w:sz w:val="32"/>
          <w:szCs w:val="24"/>
          <w:shd w:val="clear" w:fill="FFFFFF"/>
          <w:lang w:val="en-US" w:eastAsia="zh-CN"/>
        </w:rPr>
        <w:t>30</w:t>
      </w:r>
      <w:r>
        <w:rPr>
          <w:rFonts w:hint="default" w:ascii="宋体" w:hAnsi="宋体" w:eastAsia="方正仿宋简体" w:cs="宋体"/>
          <w:b w:val="0"/>
          <w:i w:val="0"/>
          <w:caps w:val="0"/>
          <w:color w:val="333333"/>
          <w:spacing w:val="0"/>
          <w:sz w:val="32"/>
          <w:szCs w:val="24"/>
          <w:shd w:val="clear" w:fill="FFFFFF"/>
        </w:rPr>
        <w:t>分，得分</w:t>
      </w:r>
      <w:r>
        <w:rPr>
          <w:rFonts w:hint="eastAsia" w:ascii="宋体" w:hAnsi="宋体" w:eastAsia="方正仿宋简体" w:cs="宋体"/>
          <w:b w:val="0"/>
          <w:i w:val="0"/>
          <w:caps w:val="0"/>
          <w:color w:val="333333"/>
          <w:spacing w:val="0"/>
          <w:sz w:val="32"/>
          <w:szCs w:val="24"/>
          <w:shd w:val="clear" w:fill="FFFFFF"/>
          <w:lang w:val="en-US" w:eastAsia="zh-CN"/>
        </w:rPr>
        <w:t>30</w:t>
      </w:r>
      <w:r>
        <w:rPr>
          <w:rFonts w:hint="default" w:ascii="宋体" w:hAnsi="宋体" w:eastAsia="方正仿宋简体" w:cs="宋体"/>
          <w:b w:val="0"/>
          <w:i w:val="0"/>
          <w:caps w:val="0"/>
          <w:color w:val="333333"/>
          <w:spacing w:val="0"/>
          <w:sz w:val="32"/>
          <w:szCs w:val="24"/>
          <w:shd w:val="clear" w:fill="FFFFFF"/>
        </w:rPr>
        <w:t>分，得分率</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rPr>
        <w:t>%。具体绩效评价效果情况</w:t>
      </w:r>
      <w:r>
        <w:rPr>
          <w:rFonts w:hint="eastAsia" w:ascii="宋体" w:hAnsi="宋体" w:eastAsia="方正仿宋简体" w:cs="宋体"/>
          <w:b w:val="0"/>
          <w:i w:val="0"/>
          <w:caps w:val="0"/>
          <w:color w:val="333333"/>
          <w:spacing w:val="0"/>
          <w:sz w:val="32"/>
          <w:szCs w:val="24"/>
          <w:shd w:val="clear" w:fill="FFFFFF"/>
          <w:lang w:val="en-US" w:eastAsia="zh-CN"/>
        </w:rPr>
        <w:t>详见项目支出自评表。</w:t>
      </w:r>
    </w:p>
    <w:p w14:paraId="54F26A0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五、主要经验及做法、存在的问题及原因分析</w:t>
      </w:r>
    </w:p>
    <w:p w14:paraId="782BF6C2">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2"/>
          <w:sz w:val="32"/>
          <w:szCs w:val="24"/>
          <w:shd w:val="clear" w:fill="FFFFFF"/>
          <w:lang w:val="en-US" w:eastAsia="zh-CN" w:bidi="ar-SA"/>
        </w:rPr>
      </w:pPr>
      <w:r>
        <w:rPr>
          <w:rFonts w:hint="eastAsia" w:ascii="宋体" w:hAnsi="宋体" w:eastAsia="方正仿宋简体" w:cs="宋体"/>
          <w:b w:val="0"/>
          <w:i w:val="0"/>
          <w:caps w:val="0"/>
          <w:color w:val="333333"/>
          <w:spacing w:val="0"/>
          <w:kern w:val="2"/>
          <w:sz w:val="32"/>
          <w:szCs w:val="24"/>
          <w:shd w:val="clear" w:fill="FFFFFF"/>
          <w:lang w:val="en-US" w:eastAsia="zh-CN" w:bidi="ar-SA"/>
        </w:rPr>
        <w:t>单位领导高度重视，在部门预算的调整、资金的下达、部门预算的执行及项目后期的绩效评价过程中，凡属于“三重一大”的事项均通过集体研究通过。特别是在部门预算的执行过程中，高度重视预算的执行及执行过程对资金使用的监督和指导，确保项目资金使用合理、合规。但也存在支出指标设置的不够细化、量化的问题，下一步将专门针对县委网信办部门整体支出的特点，强化预算绩效申报工作，强化项目实施方案预报，保证质量，在计划期内完成目标任务并达到预期效益。</w:t>
      </w:r>
    </w:p>
    <w:p w14:paraId="120671CA">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有关建议</w:t>
      </w:r>
    </w:p>
    <w:p w14:paraId="3CA4FCD4">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2"/>
          <w:sz w:val="32"/>
          <w:szCs w:val="24"/>
          <w:shd w:val="clear" w:fill="FFFFFF"/>
          <w:lang w:val="en-US" w:eastAsia="zh-CN" w:bidi="ar-SA"/>
        </w:rPr>
      </w:pPr>
      <w:r>
        <w:rPr>
          <w:rFonts w:hint="eastAsia" w:ascii="宋体" w:hAnsi="宋体" w:eastAsia="方正仿宋简体" w:cs="宋体"/>
          <w:b w:val="0"/>
          <w:i w:val="0"/>
          <w:caps w:val="0"/>
          <w:color w:val="333333"/>
          <w:spacing w:val="0"/>
          <w:kern w:val="2"/>
          <w:sz w:val="32"/>
          <w:szCs w:val="24"/>
          <w:shd w:val="clear" w:fill="FFFFFF"/>
          <w:lang w:val="en-US" w:eastAsia="zh-CN" w:bidi="ar-SA"/>
        </w:rPr>
        <w:t>建立和完善长效机制，把绩效评价作为部门的日常性工作，建立绩效评价管理工作考核的长效机制。</w:t>
      </w:r>
    </w:p>
    <w:p w14:paraId="70B0EAB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hint="eastAsia" w:eastAsia="黑体"/>
          <w:sz w:val="32"/>
          <w:szCs w:val="32"/>
        </w:rPr>
        <w:t>七、其他需要说明的问题</w:t>
      </w:r>
    </w:p>
    <w:p w14:paraId="438EF6CB">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2"/>
          <w:sz w:val="32"/>
          <w:szCs w:val="24"/>
          <w:shd w:val="clear" w:fill="FFFFFF"/>
          <w:lang w:val="en-US" w:eastAsia="zh-CN" w:bidi="ar-SA"/>
        </w:rPr>
      </w:pPr>
      <w:r>
        <w:rPr>
          <w:rFonts w:hint="eastAsia" w:ascii="宋体" w:hAnsi="宋体" w:eastAsia="方正仿宋简体" w:cs="宋体"/>
          <w:b w:val="0"/>
          <w:i w:val="0"/>
          <w:caps w:val="0"/>
          <w:color w:val="333333"/>
          <w:spacing w:val="0"/>
          <w:kern w:val="2"/>
          <w:sz w:val="32"/>
          <w:szCs w:val="24"/>
          <w:shd w:val="clear" w:fill="FFFFFF"/>
          <w:lang w:val="en-US" w:eastAsia="zh-CN" w:bidi="ar-SA"/>
        </w:rPr>
        <w:t>无</w:t>
      </w:r>
    </w:p>
    <w:p w14:paraId="6EDE4E53">
      <w:pPr>
        <w:pStyle w:val="2"/>
        <w:rPr>
          <w:rFonts w:hint="eastAsia" w:eastAsia="仿宋" w:cs="Times New Roman"/>
          <w:kern w:val="2"/>
          <w:sz w:val="32"/>
          <w:szCs w:val="32"/>
          <w:lang w:val="en-US" w:eastAsia="zh-CN" w:bidi="ar-SA"/>
        </w:rPr>
      </w:pPr>
    </w:p>
    <w:p w14:paraId="11CE6630">
      <w:pPr>
        <w:rPr>
          <w:rFonts w:hint="eastAsia" w:eastAsia="仿宋" w:cs="Times New Roman"/>
          <w:kern w:val="2"/>
          <w:sz w:val="32"/>
          <w:szCs w:val="32"/>
          <w:lang w:val="en-US" w:eastAsia="zh-CN" w:bidi="ar-SA"/>
        </w:rPr>
      </w:pPr>
    </w:p>
    <w:p w14:paraId="24364D36">
      <w:pPr>
        <w:pStyle w:val="2"/>
        <w:rPr>
          <w:rFonts w:hint="eastAsia" w:eastAsia="仿宋" w:cs="Times New Roman"/>
          <w:kern w:val="2"/>
          <w:sz w:val="32"/>
          <w:szCs w:val="32"/>
          <w:lang w:val="en-US" w:eastAsia="zh-CN" w:bidi="ar-SA"/>
        </w:rPr>
      </w:pPr>
    </w:p>
    <w:p w14:paraId="2FFB4AC4">
      <w:pPr>
        <w:rPr>
          <w:rFonts w:hint="eastAsia" w:eastAsia="仿宋" w:cs="Times New Roman"/>
          <w:kern w:val="2"/>
          <w:sz w:val="32"/>
          <w:szCs w:val="32"/>
          <w:lang w:val="en-US" w:eastAsia="zh-CN" w:bidi="ar-SA"/>
        </w:rPr>
      </w:pPr>
    </w:p>
    <w:p w14:paraId="31018AD3">
      <w:pPr>
        <w:pStyle w:val="2"/>
        <w:rPr>
          <w:rFonts w:hint="eastAsia" w:eastAsia="仿宋" w:cs="Times New Roman"/>
          <w:kern w:val="2"/>
          <w:sz w:val="32"/>
          <w:szCs w:val="32"/>
          <w:lang w:val="en-US" w:eastAsia="zh-CN" w:bidi="ar-SA"/>
        </w:rPr>
      </w:pPr>
    </w:p>
    <w:p w14:paraId="3174E169">
      <w:pPr>
        <w:rPr>
          <w:rFonts w:hint="eastAsia" w:eastAsia="仿宋" w:cs="Times New Roman"/>
          <w:kern w:val="2"/>
          <w:sz w:val="32"/>
          <w:szCs w:val="32"/>
          <w:lang w:val="en-US" w:eastAsia="zh-CN" w:bidi="ar-SA"/>
        </w:rPr>
      </w:pPr>
    </w:p>
    <w:p w14:paraId="0E7CF07D">
      <w:pPr>
        <w:pStyle w:val="2"/>
        <w:rPr>
          <w:rFonts w:hint="eastAsia" w:eastAsia="仿宋" w:cs="Times New Roman"/>
          <w:kern w:val="2"/>
          <w:sz w:val="32"/>
          <w:szCs w:val="32"/>
          <w:lang w:val="en-US" w:eastAsia="zh-CN" w:bidi="ar-SA"/>
        </w:rPr>
      </w:pPr>
    </w:p>
    <w:p w14:paraId="7DDE4D88">
      <w:pPr>
        <w:rPr>
          <w:rFonts w:hint="eastAsia"/>
          <w:lang w:val="en-US" w:eastAsia="zh-CN"/>
        </w:rPr>
      </w:pPr>
    </w:p>
    <w:p w14:paraId="38F0D0EA">
      <w:pPr>
        <w:rPr>
          <w:rFonts w:hint="eastAsia" w:eastAsia="仿宋" w:cs="Times New Roman"/>
          <w:kern w:val="2"/>
          <w:sz w:val="32"/>
          <w:szCs w:val="32"/>
          <w:lang w:val="en-US" w:eastAsia="zh-CN" w:bidi="ar-SA"/>
        </w:rPr>
      </w:pPr>
    </w:p>
    <w:p w14:paraId="5194954A">
      <w:pPr>
        <w:pStyle w:val="2"/>
        <w:rPr>
          <w:rFonts w:hint="eastAsia" w:eastAsia="仿宋" w:cs="Times New Roman"/>
          <w:kern w:val="2"/>
          <w:sz w:val="32"/>
          <w:szCs w:val="32"/>
          <w:lang w:val="en-US" w:eastAsia="zh-CN" w:bidi="ar-SA"/>
        </w:rPr>
      </w:pPr>
    </w:p>
    <w:p w14:paraId="2E7128EA"/>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80"/>
        <w:gridCol w:w="238"/>
        <w:gridCol w:w="900"/>
        <w:gridCol w:w="1025"/>
        <w:gridCol w:w="59"/>
        <w:gridCol w:w="478"/>
        <w:gridCol w:w="231"/>
        <w:gridCol w:w="282"/>
        <w:gridCol w:w="569"/>
        <w:gridCol w:w="708"/>
      </w:tblGrid>
      <w:tr w14:paraId="21EE099E">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06789599">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3A3FE6E9">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5A0D15A3">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43793884">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972116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4337DC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网络强军工程建设</w:t>
            </w:r>
            <w:r>
              <w:rPr>
                <w:rFonts w:hint="eastAsia" w:ascii="宋体" w:hAnsi="宋体" w:cs="宋体"/>
                <w:kern w:val="0"/>
                <w:sz w:val="18"/>
                <w:szCs w:val="18"/>
                <w:lang w:val="en-US" w:eastAsia="zh-CN"/>
              </w:rPr>
              <w:t>与</w:t>
            </w:r>
            <w:r>
              <w:rPr>
                <w:rFonts w:hint="eastAsia" w:ascii="宋体" w:hAnsi="宋体" w:eastAsia="宋体" w:cs="宋体"/>
                <w:kern w:val="0"/>
                <w:sz w:val="18"/>
                <w:szCs w:val="18"/>
                <w:lang w:val="en-US" w:eastAsia="zh-CN"/>
              </w:rPr>
              <w:t>宣传</w:t>
            </w:r>
          </w:p>
        </w:tc>
      </w:tr>
      <w:tr w14:paraId="12C6D27F">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2D587B3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60" w:type="dxa"/>
            <w:gridSpan w:val="5"/>
            <w:tcBorders>
              <w:top w:val="single" w:color="auto" w:sz="4" w:space="0"/>
              <w:left w:val="nil"/>
              <w:bottom w:val="single" w:color="auto" w:sz="4" w:space="0"/>
              <w:right w:val="single" w:color="auto" w:sz="4" w:space="0"/>
            </w:tcBorders>
            <w:vAlign w:val="center"/>
          </w:tcPr>
          <w:p w14:paraId="4C8F1872">
            <w:pPr>
              <w:widowControl/>
              <w:spacing w:line="240" w:lineRule="exact"/>
              <w:jc w:val="center"/>
              <w:rPr>
                <w:rFonts w:ascii="宋体" w:hAnsi="宋体" w:cs="宋体"/>
                <w:kern w:val="0"/>
                <w:sz w:val="18"/>
                <w:szCs w:val="18"/>
              </w:rPr>
            </w:pPr>
          </w:p>
        </w:tc>
        <w:tc>
          <w:tcPr>
            <w:tcW w:w="1084" w:type="dxa"/>
            <w:gridSpan w:val="2"/>
            <w:tcBorders>
              <w:top w:val="nil"/>
              <w:left w:val="nil"/>
              <w:bottom w:val="single" w:color="auto" w:sz="4" w:space="0"/>
              <w:right w:val="single" w:color="auto" w:sz="4" w:space="0"/>
            </w:tcBorders>
            <w:vAlign w:val="center"/>
          </w:tcPr>
          <w:p w14:paraId="76CA40B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432DBFE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网信办</w:t>
            </w:r>
          </w:p>
        </w:tc>
      </w:tr>
      <w:tr w14:paraId="6E9A49E5">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388C75A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1C2E9591">
            <w:pPr>
              <w:widowControl/>
              <w:spacing w:line="240" w:lineRule="exact"/>
              <w:jc w:val="center"/>
              <w:rPr>
                <w:rFonts w:ascii="宋体" w:hAnsi="宋体" w:cs="宋体"/>
                <w:kern w:val="0"/>
                <w:sz w:val="18"/>
                <w:szCs w:val="18"/>
              </w:rPr>
            </w:pPr>
          </w:p>
        </w:tc>
        <w:tc>
          <w:tcPr>
            <w:tcW w:w="1180" w:type="dxa"/>
            <w:tcBorders>
              <w:top w:val="nil"/>
              <w:left w:val="nil"/>
              <w:bottom w:val="single" w:color="auto" w:sz="4" w:space="0"/>
              <w:right w:val="single" w:color="auto" w:sz="4" w:space="0"/>
            </w:tcBorders>
            <w:vAlign w:val="center"/>
          </w:tcPr>
          <w:p w14:paraId="4040CF7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8" w:type="dxa"/>
            <w:gridSpan w:val="2"/>
            <w:tcBorders>
              <w:top w:val="nil"/>
              <w:left w:val="nil"/>
              <w:bottom w:val="single" w:color="auto" w:sz="4" w:space="0"/>
              <w:right w:val="single" w:color="auto" w:sz="4" w:space="0"/>
            </w:tcBorders>
            <w:vAlign w:val="center"/>
          </w:tcPr>
          <w:p w14:paraId="6F9A20A4">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84" w:type="dxa"/>
            <w:gridSpan w:val="2"/>
            <w:tcBorders>
              <w:top w:val="nil"/>
              <w:left w:val="nil"/>
              <w:bottom w:val="single" w:color="auto" w:sz="4" w:space="0"/>
              <w:right w:val="single" w:color="auto" w:sz="4" w:space="0"/>
            </w:tcBorders>
            <w:vAlign w:val="center"/>
          </w:tcPr>
          <w:p w14:paraId="69306305">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1277783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E6444A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6F60BFF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5EC517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8E46D50">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2915618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80" w:type="dxa"/>
            <w:tcBorders>
              <w:top w:val="nil"/>
              <w:left w:val="nil"/>
              <w:bottom w:val="single" w:color="auto" w:sz="4" w:space="0"/>
              <w:right w:val="single" w:color="auto" w:sz="4" w:space="0"/>
            </w:tcBorders>
            <w:vAlign w:val="center"/>
          </w:tcPr>
          <w:p w14:paraId="62A56E8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w:t>
            </w:r>
          </w:p>
        </w:tc>
        <w:tc>
          <w:tcPr>
            <w:tcW w:w="1138" w:type="dxa"/>
            <w:gridSpan w:val="2"/>
            <w:tcBorders>
              <w:top w:val="nil"/>
              <w:left w:val="nil"/>
              <w:bottom w:val="single" w:color="auto" w:sz="4" w:space="0"/>
              <w:right w:val="single" w:color="auto" w:sz="4" w:space="0"/>
            </w:tcBorders>
            <w:vAlign w:val="center"/>
          </w:tcPr>
          <w:p w14:paraId="516D104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w:t>
            </w:r>
          </w:p>
        </w:tc>
        <w:tc>
          <w:tcPr>
            <w:tcW w:w="1084" w:type="dxa"/>
            <w:gridSpan w:val="2"/>
            <w:tcBorders>
              <w:top w:val="nil"/>
              <w:left w:val="nil"/>
              <w:bottom w:val="single" w:color="auto" w:sz="4" w:space="0"/>
              <w:right w:val="single" w:color="auto" w:sz="4" w:space="0"/>
            </w:tcBorders>
            <w:vAlign w:val="center"/>
          </w:tcPr>
          <w:p w14:paraId="379F65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w:t>
            </w:r>
          </w:p>
        </w:tc>
        <w:tc>
          <w:tcPr>
            <w:tcW w:w="709" w:type="dxa"/>
            <w:gridSpan w:val="2"/>
            <w:tcBorders>
              <w:top w:val="nil"/>
              <w:left w:val="nil"/>
              <w:bottom w:val="single" w:color="auto" w:sz="4" w:space="0"/>
              <w:right w:val="single" w:color="auto" w:sz="4" w:space="0"/>
            </w:tcBorders>
            <w:vAlign w:val="center"/>
          </w:tcPr>
          <w:p w14:paraId="17F1DFC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4D11E7B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39A9832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4954D29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AF9801D">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18E22C8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80" w:type="dxa"/>
            <w:tcBorders>
              <w:top w:val="nil"/>
              <w:left w:val="nil"/>
              <w:bottom w:val="single" w:color="auto" w:sz="4" w:space="0"/>
              <w:right w:val="single" w:color="auto" w:sz="4" w:space="0"/>
            </w:tcBorders>
            <w:vAlign w:val="center"/>
          </w:tcPr>
          <w:p w14:paraId="40E0D7F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35.0</w:t>
            </w:r>
          </w:p>
        </w:tc>
        <w:tc>
          <w:tcPr>
            <w:tcW w:w="1138" w:type="dxa"/>
            <w:gridSpan w:val="2"/>
            <w:tcBorders>
              <w:top w:val="nil"/>
              <w:left w:val="nil"/>
              <w:bottom w:val="single" w:color="auto" w:sz="4" w:space="0"/>
              <w:right w:val="single" w:color="auto" w:sz="4" w:space="0"/>
            </w:tcBorders>
            <w:vAlign w:val="center"/>
          </w:tcPr>
          <w:p w14:paraId="3F58F344">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35.0</w:t>
            </w:r>
          </w:p>
        </w:tc>
        <w:tc>
          <w:tcPr>
            <w:tcW w:w="1084" w:type="dxa"/>
            <w:gridSpan w:val="2"/>
            <w:tcBorders>
              <w:top w:val="nil"/>
              <w:left w:val="nil"/>
              <w:bottom w:val="single" w:color="auto" w:sz="4" w:space="0"/>
              <w:right w:val="single" w:color="auto" w:sz="4" w:space="0"/>
            </w:tcBorders>
            <w:vAlign w:val="center"/>
          </w:tcPr>
          <w:p w14:paraId="5C6FB6D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35.0</w:t>
            </w:r>
          </w:p>
        </w:tc>
        <w:tc>
          <w:tcPr>
            <w:tcW w:w="709" w:type="dxa"/>
            <w:gridSpan w:val="2"/>
            <w:tcBorders>
              <w:top w:val="nil"/>
              <w:left w:val="nil"/>
              <w:bottom w:val="single" w:color="auto" w:sz="4" w:space="0"/>
              <w:right w:val="single" w:color="auto" w:sz="4" w:space="0"/>
            </w:tcBorders>
            <w:vAlign w:val="center"/>
          </w:tcPr>
          <w:p w14:paraId="159B9D0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392F819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3096E50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A5D36C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4079F1B2">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D38DF5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80" w:type="dxa"/>
            <w:tcBorders>
              <w:top w:val="nil"/>
              <w:left w:val="nil"/>
              <w:bottom w:val="single" w:color="auto" w:sz="4" w:space="0"/>
              <w:right w:val="single" w:color="auto" w:sz="4" w:space="0"/>
            </w:tcBorders>
            <w:vAlign w:val="center"/>
          </w:tcPr>
          <w:p w14:paraId="266BFC0B">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14:paraId="47D6C87F">
            <w:pPr>
              <w:widowControl/>
              <w:spacing w:line="240" w:lineRule="exact"/>
              <w:jc w:val="center"/>
              <w:rPr>
                <w:rFonts w:ascii="宋体" w:hAnsi="宋体" w:cs="宋体"/>
                <w:kern w:val="0"/>
                <w:sz w:val="18"/>
                <w:szCs w:val="18"/>
              </w:rPr>
            </w:pPr>
          </w:p>
        </w:tc>
        <w:tc>
          <w:tcPr>
            <w:tcW w:w="1084" w:type="dxa"/>
            <w:gridSpan w:val="2"/>
            <w:tcBorders>
              <w:top w:val="nil"/>
              <w:left w:val="nil"/>
              <w:bottom w:val="single" w:color="auto" w:sz="4" w:space="0"/>
              <w:right w:val="single" w:color="auto" w:sz="4" w:space="0"/>
            </w:tcBorders>
            <w:vAlign w:val="center"/>
          </w:tcPr>
          <w:p w14:paraId="26507B9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4D5028D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7FD1DC5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D8FA7C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EBD3D31">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5038C134">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7652CF8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80" w:type="dxa"/>
            <w:tcBorders>
              <w:top w:val="nil"/>
              <w:left w:val="nil"/>
              <w:bottom w:val="single" w:color="auto" w:sz="4" w:space="0"/>
              <w:right w:val="single" w:color="auto" w:sz="4" w:space="0"/>
            </w:tcBorders>
            <w:vAlign w:val="center"/>
          </w:tcPr>
          <w:p w14:paraId="1EA6687C">
            <w:pPr>
              <w:widowControl/>
              <w:spacing w:line="240" w:lineRule="exact"/>
              <w:jc w:val="center"/>
              <w:rPr>
                <w:rFonts w:ascii="宋体" w:hAnsi="宋体" w:cs="宋体"/>
                <w:kern w:val="0"/>
                <w:sz w:val="18"/>
                <w:szCs w:val="18"/>
              </w:rPr>
            </w:pPr>
          </w:p>
        </w:tc>
        <w:tc>
          <w:tcPr>
            <w:tcW w:w="1138" w:type="dxa"/>
            <w:gridSpan w:val="2"/>
            <w:tcBorders>
              <w:top w:val="nil"/>
              <w:left w:val="nil"/>
              <w:bottom w:val="single" w:color="auto" w:sz="4" w:space="0"/>
              <w:right w:val="single" w:color="auto" w:sz="4" w:space="0"/>
            </w:tcBorders>
            <w:vAlign w:val="center"/>
          </w:tcPr>
          <w:p w14:paraId="7C917D84">
            <w:pPr>
              <w:widowControl/>
              <w:spacing w:line="240" w:lineRule="exact"/>
              <w:jc w:val="center"/>
              <w:rPr>
                <w:rFonts w:ascii="宋体" w:hAnsi="宋体" w:cs="宋体"/>
                <w:kern w:val="0"/>
                <w:sz w:val="18"/>
                <w:szCs w:val="18"/>
              </w:rPr>
            </w:pPr>
          </w:p>
        </w:tc>
        <w:tc>
          <w:tcPr>
            <w:tcW w:w="1084" w:type="dxa"/>
            <w:gridSpan w:val="2"/>
            <w:tcBorders>
              <w:top w:val="nil"/>
              <w:left w:val="nil"/>
              <w:bottom w:val="single" w:color="auto" w:sz="4" w:space="0"/>
              <w:right w:val="single" w:color="auto" w:sz="4" w:space="0"/>
            </w:tcBorders>
            <w:vAlign w:val="center"/>
          </w:tcPr>
          <w:p w14:paraId="7D1392A5">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324C98E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6AD909B">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61387DC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FE8973">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25E753A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40" w:type="dxa"/>
            <w:gridSpan w:val="6"/>
            <w:tcBorders>
              <w:top w:val="single" w:color="auto" w:sz="4" w:space="0"/>
              <w:left w:val="nil"/>
              <w:bottom w:val="single" w:color="auto" w:sz="4" w:space="0"/>
              <w:right w:val="single" w:color="auto" w:sz="4" w:space="0"/>
            </w:tcBorders>
            <w:vAlign w:val="center"/>
          </w:tcPr>
          <w:p w14:paraId="1A991D8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2" w:type="dxa"/>
            <w:gridSpan w:val="7"/>
            <w:tcBorders>
              <w:top w:val="single" w:color="auto" w:sz="4" w:space="0"/>
              <w:left w:val="nil"/>
              <w:bottom w:val="single" w:color="auto" w:sz="4" w:space="0"/>
              <w:right w:val="single" w:color="auto" w:sz="4" w:space="0"/>
            </w:tcBorders>
            <w:vAlign w:val="center"/>
          </w:tcPr>
          <w:p w14:paraId="71EC782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1CF4900">
        <w:tblPrEx>
          <w:tblCellMar>
            <w:top w:w="0" w:type="dxa"/>
            <w:left w:w="108" w:type="dxa"/>
            <w:bottom w:w="0" w:type="dxa"/>
            <w:right w:w="108" w:type="dxa"/>
          </w:tblCellMar>
        </w:tblPrEx>
        <w:trPr>
          <w:trHeight w:val="1962"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5260EBE1">
            <w:pPr>
              <w:widowControl/>
              <w:spacing w:line="240" w:lineRule="exact"/>
              <w:jc w:val="center"/>
              <w:rPr>
                <w:rFonts w:ascii="宋体" w:hAnsi="宋体" w:cs="宋体"/>
                <w:kern w:val="0"/>
                <w:sz w:val="18"/>
                <w:szCs w:val="18"/>
              </w:rPr>
            </w:pPr>
          </w:p>
        </w:tc>
        <w:tc>
          <w:tcPr>
            <w:tcW w:w="5140" w:type="dxa"/>
            <w:gridSpan w:val="6"/>
            <w:tcBorders>
              <w:top w:val="single" w:color="auto" w:sz="4" w:space="0"/>
              <w:left w:val="nil"/>
              <w:bottom w:val="single" w:color="auto" w:sz="4" w:space="0"/>
              <w:right w:val="single" w:color="auto" w:sz="4" w:space="0"/>
            </w:tcBorders>
            <w:vAlign w:val="center"/>
          </w:tcPr>
          <w:p w14:paraId="56049A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提高我县整体网络安全建设、应急处置、舆论引导、新媒体制作水平，</w:t>
            </w:r>
            <w:r>
              <w:rPr>
                <w:rFonts w:hint="eastAsia" w:ascii="宋体" w:hAnsi="宋体" w:cs="宋体"/>
                <w:kern w:val="0"/>
                <w:sz w:val="18"/>
                <w:szCs w:val="18"/>
                <w:lang w:val="en-US" w:eastAsia="zh-CN"/>
              </w:rPr>
              <w:t>通过进行培训，</w:t>
            </w:r>
            <w:r>
              <w:rPr>
                <w:rFonts w:hint="eastAsia" w:ascii="宋体" w:hAnsi="宋体" w:cs="宋体"/>
                <w:kern w:val="0"/>
                <w:sz w:val="18"/>
                <w:szCs w:val="18"/>
              </w:rPr>
              <w:t>提高受训人员的新媒体制作、应急处置、舆论引导水平；通过与各网络媒体合作，宣传推介乐亭，提高乐亭的影响力和美誉度。</w:t>
            </w:r>
            <w:r>
              <w:rPr>
                <w:rFonts w:hint="eastAsia" w:ascii="宋体" w:hAnsi="宋体" w:cs="宋体"/>
                <w:kern w:val="0"/>
                <w:sz w:val="18"/>
                <w:szCs w:val="18"/>
                <w:lang w:val="en-US" w:eastAsia="zh-CN"/>
              </w:rPr>
              <w:t>按照实际节点组织开展网络宣传活动。</w:t>
            </w:r>
          </w:p>
        </w:tc>
        <w:tc>
          <w:tcPr>
            <w:tcW w:w="3352" w:type="dxa"/>
            <w:gridSpan w:val="7"/>
            <w:tcBorders>
              <w:top w:val="single" w:color="auto" w:sz="4" w:space="0"/>
              <w:left w:val="nil"/>
              <w:bottom w:val="single" w:color="auto" w:sz="4" w:space="0"/>
              <w:right w:val="single" w:color="auto" w:sz="4" w:space="0"/>
            </w:tcBorders>
            <w:vAlign w:val="center"/>
          </w:tcPr>
          <w:p w14:paraId="6284E54D">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经过培训，提高了受训人员的新媒体制作、应急处置、舆论引导水平。</w:t>
            </w:r>
            <w:r>
              <w:rPr>
                <w:rFonts w:hint="eastAsia" w:ascii="宋体" w:hAnsi="宋体" w:eastAsia="宋体" w:cs="宋体"/>
                <w:kern w:val="0"/>
                <w:sz w:val="18"/>
                <w:szCs w:val="18"/>
                <w:lang w:val="en-US" w:eastAsia="zh-CN"/>
              </w:rPr>
              <w:t>被唐山市委网信办评为“网络评论和社会化工作先进单位”。</w:t>
            </w:r>
            <w:r>
              <w:rPr>
                <w:rFonts w:hint="eastAsia" w:ascii="宋体" w:hAnsi="宋体" w:cs="宋体"/>
                <w:kern w:val="0"/>
                <w:sz w:val="18"/>
                <w:szCs w:val="18"/>
                <w:lang w:val="en-US" w:eastAsia="zh-CN"/>
              </w:rPr>
              <w:t>开展给雷网络宣传活动14场。与多家网络媒体合作，</w:t>
            </w:r>
            <w:r>
              <w:rPr>
                <w:rFonts w:hint="eastAsia" w:ascii="宋体" w:hAnsi="宋体" w:eastAsia="宋体" w:cs="宋体"/>
                <w:kern w:val="0"/>
                <w:sz w:val="18"/>
                <w:szCs w:val="18"/>
                <w:lang w:val="en-US" w:eastAsia="zh-CN"/>
              </w:rPr>
              <w:t>制作、征集、推荐了各类新媒体作品，获得省市多个表彰奖励，</w:t>
            </w:r>
            <w:r>
              <w:rPr>
                <w:rFonts w:hint="eastAsia" w:ascii="宋体" w:hAnsi="宋体" w:cs="宋体"/>
                <w:kern w:val="0"/>
                <w:sz w:val="18"/>
                <w:szCs w:val="18"/>
                <w:lang w:val="en-US" w:eastAsia="zh-CN"/>
              </w:rPr>
              <w:t>提高了乐亭的影响力和美誉度。</w:t>
            </w:r>
          </w:p>
        </w:tc>
      </w:tr>
      <w:tr w14:paraId="69D0455B">
        <w:tblPrEx>
          <w:tblCellMar>
            <w:top w:w="0" w:type="dxa"/>
            <w:left w:w="108" w:type="dxa"/>
            <w:bottom w:w="0" w:type="dxa"/>
            <w:right w:w="108" w:type="dxa"/>
          </w:tblCellMar>
        </w:tblPrEx>
        <w:trPr>
          <w:trHeight w:val="918" w:hRule="exact"/>
          <w:jc w:val="center"/>
        </w:trPr>
        <w:tc>
          <w:tcPr>
            <w:tcW w:w="588" w:type="dxa"/>
            <w:vMerge w:val="restart"/>
            <w:tcBorders>
              <w:top w:val="nil"/>
              <w:left w:val="single" w:color="auto" w:sz="4" w:space="0"/>
              <w:right w:val="single" w:color="auto" w:sz="4" w:space="0"/>
            </w:tcBorders>
            <w:vAlign w:val="center"/>
          </w:tcPr>
          <w:p w14:paraId="7146B384">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14:paraId="69D4F8E7">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34805B13">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7DC73C20">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900" w:type="dxa"/>
            <w:tcBorders>
              <w:top w:val="nil"/>
              <w:left w:val="nil"/>
              <w:bottom w:val="single" w:color="auto" w:sz="4" w:space="0"/>
              <w:right w:val="single" w:color="auto" w:sz="4" w:space="0"/>
            </w:tcBorders>
            <w:vAlign w:val="center"/>
          </w:tcPr>
          <w:p w14:paraId="02668F63">
            <w:pPr>
              <w:widowControl/>
              <w:jc w:val="center"/>
              <w:rPr>
                <w:rFonts w:ascii="宋体" w:hAnsi="宋体" w:cs="宋体"/>
                <w:kern w:val="0"/>
                <w:sz w:val="18"/>
                <w:szCs w:val="18"/>
              </w:rPr>
            </w:pPr>
            <w:r>
              <w:rPr>
                <w:rFonts w:hint="eastAsia" w:ascii="宋体" w:hAnsi="宋体" w:cs="宋体"/>
                <w:kern w:val="0"/>
                <w:sz w:val="18"/>
                <w:szCs w:val="18"/>
              </w:rPr>
              <w:t>年度</w:t>
            </w:r>
          </w:p>
          <w:p w14:paraId="43E482C0">
            <w:pPr>
              <w:widowControl/>
              <w:jc w:val="center"/>
              <w:rPr>
                <w:rFonts w:ascii="宋体" w:hAnsi="宋体" w:cs="宋体"/>
                <w:kern w:val="0"/>
                <w:sz w:val="18"/>
                <w:szCs w:val="18"/>
              </w:rPr>
            </w:pPr>
            <w:r>
              <w:rPr>
                <w:rFonts w:hint="eastAsia" w:ascii="宋体" w:hAnsi="宋体" w:cs="宋体"/>
                <w:kern w:val="0"/>
                <w:sz w:val="18"/>
                <w:szCs w:val="18"/>
              </w:rPr>
              <w:t>指标值</w:t>
            </w:r>
          </w:p>
        </w:tc>
        <w:tc>
          <w:tcPr>
            <w:tcW w:w="1025" w:type="dxa"/>
            <w:tcBorders>
              <w:top w:val="nil"/>
              <w:left w:val="nil"/>
              <w:bottom w:val="single" w:color="auto" w:sz="4" w:space="0"/>
              <w:right w:val="single" w:color="auto" w:sz="4" w:space="0"/>
            </w:tcBorders>
            <w:vAlign w:val="center"/>
          </w:tcPr>
          <w:p w14:paraId="47CE0C90">
            <w:pPr>
              <w:widowControl/>
              <w:jc w:val="center"/>
              <w:rPr>
                <w:rFonts w:ascii="宋体" w:hAnsi="宋体" w:cs="宋体"/>
                <w:kern w:val="0"/>
                <w:sz w:val="18"/>
                <w:szCs w:val="18"/>
              </w:rPr>
            </w:pPr>
            <w:r>
              <w:rPr>
                <w:rFonts w:hint="eastAsia" w:ascii="宋体" w:hAnsi="宋体" w:cs="宋体"/>
                <w:kern w:val="0"/>
                <w:sz w:val="18"/>
                <w:szCs w:val="18"/>
              </w:rPr>
              <w:t>实际</w:t>
            </w:r>
          </w:p>
          <w:p w14:paraId="6A4F3655">
            <w:pPr>
              <w:widowControl/>
              <w:jc w:val="center"/>
              <w:rPr>
                <w:rFonts w:ascii="宋体" w:hAnsi="宋体" w:cs="宋体"/>
                <w:kern w:val="0"/>
                <w:sz w:val="18"/>
                <w:szCs w:val="18"/>
              </w:rPr>
            </w:pPr>
            <w:r>
              <w:rPr>
                <w:rFonts w:hint="eastAsia" w:ascii="宋体" w:hAnsi="宋体" w:cs="宋体"/>
                <w:kern w:val="0"/>
                <w:sz w:val="18"/>
                <w:szCs w:val="18"/>
              </w:rPr>
              <w:t>完成值</w:t>
            </w:r>
          </w:p>
        </w:tc>
        <w:tc>
          <w:tcPr>
            <w:tcW w:w="537" w:type="dxa"/>
            <w:gridSpan w:val="2"/>
            <w:tcBorders>
              <w:top w:val="nil"/>
              <w:left w:val="nil"/>
              <w:bottom w:val="single" w:color="auto" w:sz="4" w:space="0"/>
              <w:right w:val="single" w:color="auto" w:sz="4" w:space="0"/>
            </w:tcBorders>
            <w:vAlign w:val="center"/>
          </w:tcPr>
          <w:p w14:paraId="12641497">
            <w:pPr>
              <w:widowControl/>
              <w:jc w:val="center"/>
              <w:rPr>
                <w:rFonts w:ascii="宋体" w:hAnsi="宋体" w:cs="宋体"/>
                <w:kern w:val="0"/>
                <w:sz w:val="18"/>
                <w:szCs w:val="18"/>
              </w:rPr>
            </w:pPr>
            <w:r>
              <w:rPr>
                <w:rFonts w:hint="eastAsia" w:ascii="宋体" w:hAnsi="宋体" w:cs="宋体"/>
                <w:kern w:val="0"/>
                <w:sz w:val="18"/>
                <w:szCs w:val="18"/>
              </w:rPr>
              <w:t>分值</w:t>
            </w:r>
          </w:p>
        </w:tc>
        <w:tc>
          <w:tcPr>
            <w:tcW w:w="513" w:type="dxa"/>
            <w:gridSpan w:val="2"/>
            <w:tcBorders>
              <w:top w:val="nil"/>
              <w:left w:val="nil"/>
              <w:bottom w:val="single" w:color="auto" w:sz="4" w:space="0"/>
              <w:right w:val="single" w:color="auto" w:sz="4" w:space="0"/>
            </w:tcBorders>
            <w:vAlign w:val="center"/>
          </w:tcPr>
          <w:p w14:paraId="0EA9879F">
            <w:pPr>
              <w:widowControl/>
              <w:jc w:val="center"/>
              <w:rPr>
                <w:rFonts w:ascii="宋体" w:hAnsi="宋体" w:cs="宋体"/>
                <w:kern w:val="0"/>
                <w:sz w:val="18"/>
                <w:szCs w:val="18"/>
              </w:rPr>
            </w:pPr>
            <w:r>
              <w:rPr>
                <w:rFonts w:hint="eastAsia" w:ascii="宋体" w:hAnsi="宋体" w:cs="宋体"/>
                <w:kern w:val="0"/>
                <w:sz w:val="18"/>
                <w:szCs w:val="18"/>
              </w:rPr>
              <w:t>得分</w:t>
            </w:r>
          </w:p>
        </w:tc>
        <w:tc>
          <w:tcPr>
            <w:tcW w:w="1277" w:type="dxa"/>
            <w:gridSpan w:val="2"/>
            <w:tcBorders>
              <w:top w:val="single" w:color="auto" w:sz="4" w:space="0"/>
              <w:left w:val="nil"/>
              <w:bottom w:val="single" w:color="auto" w:sz="4" w:space="0"/>
              <w:right w:val="single" w:color="auto" w:sz="4" w:space="0"/>
            </w:tcBorders>
            <w:vAlign w:val="center"/>
          </w:tcPr>
          <w:p w14:paraId="1BA33825">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10DA095">
        <w:tblPrEx>
          <w:tblCellMar>
            <w:top w:w="0" w:type="dxa"/>
            <w:left w:w="108" w:type="dxa"/>
            <w:bottom w:w="0" w:type="dxa"/>
            <w:right w:w="108" w:type="dxa"/>
          </w:tblCellMar>
        </w:tblPrEx>
        <w:trPr>
          <w:trHeight w:val="604" w:hRule="exact"/>
          <w:jc w:val="center"/>
        </w:trPr>
        <w:tc>
          <w:tcPr>
            <w:tcW w:w="588" w:type="dxa"/>
            <w:vMerge w:val="continue"/>
            <w:tcBorders>
              <w:left w:val="single" w:color="auto" w:sz="4" w:space="0"/>
              <w:right w:val="single" w:color="auto" w:sz="4" w:space="0"/>
            </w:tcBorders>
            <w:vAlign w:val="center"/>
          </w:tcPr>
          <w:p w14:paraId="35D89B93">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0B58C830">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right w:val="single" w:color="auto" w:sz="4" w:space="0"/>
            </w:tcBorders>
            <w:vAlign w:val="center"/>
          </w:tcPr>
          <w:p w14:paraId="073EB95B">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820F825">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指标1：</w:t>
            </w:r>
            <w:r>
              <w:rPr>
                <w:rFonts w:hint="default" w:ascii="宋体" w:hAnsi="宋体" w:eastAsia="宋体" w:cs="宋体"/>
                <w:kern w:val="0"/>
                <w:sz w:val="18"/>
                <w:szCs w:val="18"/>
                <w:lang w:val="en-US" w:eastAsia="zh-CN"/>
              </w:rPr>
              <w:t>扩大网评队伍规模</w:t>
            </w:r>
          </w:p>
        </w:tc>
        <w:tc>
          <w:tcPr>
            <w:tcW w:w="900" w:type="dxa"/>
            <w:tcBorders>
              <w:top w:val="nil"/>
              <w:left w:val="nil"/>
              <w:bottom w:val="single" w:color="auto" w:sz="4" w:space="0"/>
              <w:right w:val="single" w:color="auto" w:sz="4" w:space="0"/>
            </w:tcBorders>
            <w:vAlign w:val="center"/>
          </w:tcPr>
          <w:p w14:paraId="5E5E3A5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≥200人</w:t>
            </w:r>
          </w:p>
        </w:tc>
        <w:tc>
          <w:tcPr>
            <w:tcW w:w="1025" w:type="dxa"/>
            <w:tcBorders>
              <w:top w:val="nil"/>
              <w:left w:val="nil"/>
              <w:bottom w:val="single" w:color="auto" w:sz="4" w:space="0"/>
              <w:right w:val="single" w:color="auto" w:sz="4" w:space="0"/>
            </w:tcBorders>
            <w:vAlign w:val="center"/>
          </w:tcPr>
          <w:p w14:paraId="3EF21D6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260人</w:t>
            </w:r>
          </w:p>
        </w:tc>
        <w:tc>
          <w:tcPr>
            <w:tcW w:w="537" w:type="dxa"/>
            <w:gridSpan w:val="2"/>
            <w:tcBorders>
              <w:top w:val="nil"/>
              <w:left w:val="nil"/>
              <w:bottom w:val="single" w:color="auto" w:sz="4" w:space="0"/>
              <w:right w:val="single" w:color="auto" w:sz="4" w:space="0"/>
            </w:tcBorders>
            <w:vAlign w:val="center"/>
          </w:tcPr>
          <w:p w14:paraId="7ECC9A7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3" w:type="dxa"/>
            <w:gridSpan w:val="2"/>
            <w:tcBorders>
              <w:top w:val="nil"/>
              <w:left w:val="nil"/>
              <w:bottom w:val="single" w:color="auto" w:sz="4" w:space="0"/>
              <w:right w:val="single" w:color="auto" w:sz="4" w:space="0"/>
            </w:tcBorders>
            <w:vAlign w:val="center"/>
          </w:tcPr>
          <w:p w14:paraId="754B40C3">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277" w:type="dxa"/>
            <w:gridSpan w:val="2"/>
            <w:tcBorders>
              <w:top w:val="single" w:color="auto" w:sz="4" w:space="0"/>
              <w:left w:val="nil"/>
              <w:bottom w:val="single" w:color="auto" w:sz="4" w:space="0"/>
              <w:right w:val="single" w:color="auto" w:sz="4" w:space="0"/>
            </w:tcBorders>
            <w:vAlign w:val="center"/>
          </w:tcPr>
          <w:p w14:paraId="2B6C3AB7">
            <w:pPr>
              <w:widowControl/>
              <w:jc w:val="center"/>
              <w:rPr>
                <w:rFonts w:ascii="宋体" w:hAnsi="宋体" w:cs="宋体"/>
                <w:kern w:val="0"/>
                <w:sz w:val="18"/>
                <w:szCs w:val="18"/>
              </w:rPr>
            </w:pPr>
          </w:p>
        </w:tc>
      </w:tr>
      <w:tr w14:paraId="6C5075F2">
        <w:tblPrEx>
          <w:tblCellMar>
            <w:top w:w="0" w:type="dxa"/>
            <w:left w:w="108" w:type="dxa"/>
            <w:bottom w:w="0" w:type="dxa"/>
            <w:right w:w="108" w:type="dxa"/>
          </w:tblCellMar>
        </w:tblPrEx>
        <w:trPr>
          <w:trHeight w:val="441" w:hRule="exact"/>
          <w:jc w:val="center"/>
        </w:trPr>
        <w:tc>
          <w:tcPr>
            <w:tcW w:w="588" w:type="dxa"/>
            <w:vMerge w:val="continue"/>
            <w:tcBorders>
              <w:left w:val="single" w:color="auto" w:sz="4" w:space="0"/>
              <w:right w:val="single" w:color="auto" w:sz="4" w:space="0"/>
            </w:tcBorders>
            <w:vAlign w:val="center"/>
          </w:tcPr>
          <w:p w14:paraId="5D213049">
            <w:pPr>
              <w:widowControl/>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14:paraId="001F3F6D">
            <w:pPr>
              <w:widowControl/>
              <w:jc w:val="center"/>
              <w:rPr>
                <w:rFonts w:hint="eastAsia" w:ascii="宋体" w:hAnsi="宋体" w:cs="宋体"/>
                <w:kern w:val="0"/>
                <w:sz w:val="18"/>
                <w:szCs w:val="18"/>
              </w:rPr>
            </w:pPr>
          </w:p>
        </w:tc>
        <w:tc>
          <w:tcPr>
            <w:tcW w:w="1112" w:type="dxa"/>
            <w:vMerge w:val="continue"/>
            <w:tcBorders>
              <w:left w:val="single" w:color="auto" w:sz="4" w:space="0"/>
              <w:bottom w:val="single" w:color="auto" w:sz="4" w:space="0"/>
              <w:right w:val="single" w:color="auto" w:sz="4" w:space="0"/>
            </w:tcBorders>
            <w:vAlign w:val="center"/>
          </w:tcPr>
          <w:p w14:paraId="19124210">
            <w:pPr>
              <w:widowControl/>
              <w:jc w:val="center"/>
              <w:rPr>
                <w:rFonts w:hint="eastAsia"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14:paraId="7B920976">
            <w:pPr>
              <w:widowControl/>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指标2：</w:t>
            </w:r>
            <w:r>
              <w:rPr>
                <w:rFonts w:hint="default" w:ascii="宋体" w:hAnsi="宋体" w:eastAsia="宋体" w:cs="宋体"/>
                <w:kern w:val="0"/>
                <w:sz w:val="18"/>
                <w:szCs w:val="18"/>
                <w:lang w:val="en-US" w:eastAsia="zh-CN"/>
              </w:rPr>
              <w:t>活动开展情况</w:t>
            </w:r>
          </w:p>
        </w:tc>
        <w:tc>
          <w:tcPr>
            <w:tcW w:w="900" w:type="dxa"/>
            <w:tcBorders>
              <w:top w:val="nil"/>
              <w:left w:val="nil"/>
              <w:bottom w:val="single" w:color="auto" w:sz="4" w:space="0"/>
              <w:right w:val="single" w:color="auto" w:sz="4" w:space="0"/>
            </w:tcBorders>
            <w:vAlign w:val="center"/>
          </w:tcPr>
          <w:p w14:paraId="6E9E20D3">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≥10场</w:t>
            </w:r>
          </w:p>
        </w:tc>
        <w:tc>
          <w:tcPr>
            <w:tcW w:w="1025" w:type="dxa"/>
            <w:tcBorders>
              <w:top w:val="nil"/>
              <w:left w:val="nil"/>
              <w:bottom w:val="single" w:color="auto" w:sz="4" w:space="0"/>
              <w:right w:val="single" w:color="auto" w:sz="4" w:space="0"/>
            </w:tcBorders>
            <w:vAlign w:val="center"/>
          </w:tcPr>
          <w:p w14:paraId="0589647A">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14场</w:t>
            </w:r>
          </w:p>
        </w:tc>
        <w:tc>
          <w:tcPr>
            <w:tcW w:w="537" w:type="dxa"/>
            <w:gridSpan w:val="2"/>
            <w:tcBorders>
              <w:top w:val="nil"/>
              <w:left w:val="nil"/>
              <w:bottom w:val="single" w:color="auto" w:sz="4" w:space="0"/>
              <w:right w:val="single" w:color="auto" w:sz="4" w:space="0"/>
            </w:tcBorders>
            <w:vAlign w:val="center"/>
          </w:tcPr>
          <w:p w14:paraId="65ECA089">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13" w:type="dxa"/>
            <w:gridSpan w:val="2"/>
            <w:tcBorders>
              <w:top w:val="nil"/>
              <w:left w:val="nil"/>
              <w:bottom w:val="single" w:color="auto" w:sz="4" w:space="0"/>
              <w:right w:val="single" w:color="auto" w:sz="4" w:space="0"/>
            </w:tcBorders>
            <w:vAlign w:val="center"/>
          </w:tcPr>
          <w:p w14:paraId="6088E596">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277" w:type="dxa"/>
            <w:gridSpan w:val="2"/>
            <w:tcBorders>
              <w:top w:val="single" w:color="auto" w:sz="4" w:space="0"/>
              <w:left w:val="nil"/>
              <w:bottom w:val="single" w:color="auto" w:sz="4" w:space="0"/>
              <w:right w:val="single" w:color="auto" w:sz="4" w:space="0"/>
            </w:tcBorders>
            <w:vAlign w:val="center"/>
          </w:tcPr>
          <w:p w14:paraId="7FD6CEE0">
            <w:pPr>
              <w:widowControl/>
              <w:jc w:val="center"/>
              <w:rPr>
                <w:rFonts w:ascii="宋体" w:hAnsi="宋体" w:cs="宋体"/>
                <w:kern w:val="0"/>
                <w:sz w:val="18"/>
                <w:szCs w:val="18"/>
              </w:rPr>
            </w:pPr>
          </w:p>
        </w:tc>
      </w:tr>
      <w:tr w14:paraId="63EEACE5">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0E29BE8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6CB7A0CE">
            <w:pPr>
              <w:widowControl/>
              <w:jc w:val="center"/>
              <w:rPr>
                <w:rFonts w:ascii="宋体" w:hAnsi="宋体" w:cs="宋体"/>
                <w:kern w:val="0"/>
                <w:sz w:val="18"/>
                <w:szCs w:val="18"/>
              </w:rPr>
            </w:pPr>
          </w:p>
        </w:tc>
        <w:tc>
          <w:tcPr>
            <w:tcW w:w="1112" w:type="dxa"/>
            <w:vMerge w:val="restart"/>
            <w:tcBorders>
              <w:top w:val="nil"/>
              <w:left w:val="single" w:color="auto" w:sz="4" w:space="0"/>
              <w:right w:val="single" w:color="auto" w:sz="4" w:space="0"/>
            </w:tcBorders>
            <w:vAlign w:val="center"/>
          </w:tcPr>
          <w:p w14:paraId="3DB60A2B">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132F88E1">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指标1：</w:t>
            </w:r>
            <w:r>
              <w:rPr>
                <w:rFonts w:hint="default" w:ascii="宋体" w:hAnsi="宋体" w:eastAsia="宋体" w:cs="宋体"/>
                <w:kern w:val="0"/>
                <w:sz w:val="18"/>
                <w:szCs w:val="18"/>
                <w:lang w:val="en-US" w:eastAsia="zh-CN"/>
              </w:rPr>
              <w:t>作品质量有效率</w:t>
            </w:r>
          </w:p>
        </w:tc>
        <w:tc>
          <w:tcPr>
            <w:tcW w:w="900" w:type="dxa"/>
            <w:tcBorders>
              <w:top w:val="nil"/>
              <w:left w:val="nil"/>
              <w:bottom w:val="single" w:color="auto" w:sz="4" w:space="0"/>
              <w:right w:val="single" w:color="auto" w:sz="4" w:space="0"/>
            </w:tcBorders>
            <w:vAlign w:val="center"/>
          </w:tcPr>
          <w:p w14:paraId="3F4B00C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025" w:type="dxa"/>
            <w:tcBorders>
              <w:top w:val="nil"/>
              <w:left w:val="nil"/>
              <w:bottom w:val="single" w:color="auto" w:sz="4" w:space="0"/>
              <w:right w:val="single" w:color="auto" w:sz="4" w:space="0"/>
            </w:tcBorders>
            <w:vAlign w:val="center"/>
          </w:tcPr>
          <w:p w14:paraId="059C11C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37" w:type="dxa"/>
            <w:gridSpan w:val="2"/>
            <w:tcBorders>
              <w:top w:val="nil"/>
              <w:left w:val="nil"/>
              <w:bottom w:val="single" w:color="auto" w:sz="4" w:space="0"/>
              <w:right w:val="single" w:color="auto" w:sz="4" w:space="0"/>
            </w:tcBorders>
            <w:vAlign w:val="center"/>
          </w:tcPr>
          <w:p w14:paraId="06B7B49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3" w:type="dxa"/>
            <w:gridSpan w:val="2"/>
            <w:tcBorders>
              <w:top w:val="nil"/>
              <w:left w:val="nil"/>
              <w:bottom w:val="single" w:color="auto" w:sz="4" w:space="0"/>
              <w:right w:val="single" w:color="auto" w:sz="4" w:space="0"/>
            </w:tcBorders>
            <w:vAlign w:val="center"/>
          </w:tcPr>
          <w:p w14:paraId="113A4053">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277" w:type="dxa"/>
            <w:gridSpan w:val="2"/>
            <w:tcBorders>
              <w:top w:val="single" w:color="auto" w:sz="4" w:space="0"/>
              <w:left w:val="nil"/>
              <w:bottom w:val="single" w:color="auto" w:sz="4" w:space="0"/>
              <w:right w:val="single" w:color="auto" w:sz="4" w:space="0"/>
            </w:tcBorders>
            <w:vAlign w:val="center"/>
          </w:tcPr>
          <w:p w14:paraId="2DE7D47F">
            <w:pPr>
              <w:widowControl/>
              <w:jc w:val="center"/>
              <w:rPr>
                <w:rFonts w:ascii="宋体" w:hAnsi="宋体" w:cs="宋体"/>
                <w:kern w:val="0"/>
                <w:sz w:val="18"/>
                <w:szCs w:val="18"/>
              </w:rPr>
            </w:pPr>
          </w:p>
        </w:tc>
      </w:tr>
      <w:tr w14:paraId="3D256615">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34C6B51F">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5207768">
            <w:pPr>
              <w:widowControl/>
              <w:jc w:val="center"/>
              <w:rPr>
                <w:rFonts w:ascii="宋体" w:hAnsi="宋体" w:cs="宋体"/>
                <w:kern w:val="0"/>
                <w:sz w:val="18"/>
                <w:szCs w:val="18"/>
              </w:rPr>
            </w:pPr>
          </w:p>
        </w:tc>
        <w:tc>
          <w:tcPr>
            <w:tcW w:w="1112" w:type="dxa"/>
            <w:vMerge w:val="continue"/>
            <w:tcBorders>
              <w:left w:val="single" w:color="auto" w:sz="4" w:space="0"/>
              <w:bottom w:val="single" w:color="auto" w:sz="4" w:space="0"/>
              <w:right w:val="single" w:color="auto" w:sz="4" w:space="0"/>
            </w:tcBorders>
            <w:vAlign w:val="center"/>
          </w:tcPr>
          <w:p w14:paraId="7F4FA97E">
            <w:pPr>
              <w:widowControl/>
              <w:jc w:val="center"/>
              <w:rPr>
                <w:rFonts w:hint="eastAsia" w:ascii="宋体" w:hAnsi="宋体" w:eastAsia="宋体" w:cs="宋体"/>
                <w:kern w:val="0"/>
                <w:sz w:val="18"/>
                <w:szCs w:val="18"/>
                <w:lang w:val="en-US" w:eastAsia="zh-CN"/>
              </w:rPr>
            </w:pPr>
          </w:p>
        </w:tc>
        <w:tc>
          <w:tcPr>
            <w:tcW w:w="2148" w:type="dxa"/>
            <w:gridSpan w:val="3"/>
            <w:tcBorders>
              <w:top w:val="single" w:color="auto" w:sz="4" w:space="0"/>
              <w:left w:val="nil"/>
              <w:bottom w:val="single" w:color="auto" w:sz="4" w:space="0"/>
              <w:right w:val="single" w:color="auto" w:sz="4" w:space="0"/>
            </w:tcBorders>
            <w:vAlign w:val="center"/>
          </w:tcPr>
          <w:p w14:paraId="54A097B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指标2：</w:t>
            </w:r>
            <w:r>
              <w:rPr>
                <w:rFonts w:hint="default" w:ascii="宋体" w:hAnsi="宋体" w:eastAsia="宋体" w:cs="宋体"/>
                <w:kern w:val="0"/>
                <w:sz w:val="18"/>
                <w:szCs w:val="18"/>
                <w:lang w:val="en-US" w:eastAsia="zh-CN"/>
              </w:rPr>
              <w:t>网评工作完成率</w:t>
            </w:r>
          </w:p>
        </w:tc>
        <w:tc>
          <w:tcPr>
            <w:tcW w:w="900" w:type="dxa"/>
            <w:tcBorders>
              <w:top w:val="nil"/>
              <w:left w:val="nil"/>
              <w:bottom w:val="single" w:color="auto" w:sz="4" w:space="0"/>
              <w:right w:val="single" w:color="auto" w:sz="4" w:space="0"/>
            </w:tcBorders>
            <w:vAlign w:val="center"/>
          </w:tcPr>
          <w:p w14:paraId="403586D0">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≥96%</w:t>
            </w:r>
          </w:p>
        </w:tc>
        <w:tc>
          <w:tcPr>
            <w:tcW w:w="1025" w:type="dxa"/>
            <w:tcBorders>
              <w:top w:val="nil"/>
              <w:left w:val="nil"/>
              <w:bottom w:val="single" w:color="auto" w:sz="4" w:space="0"/>
              <w:right w:val="single" w:color="auto" w:sz="4" w:space="0"/>
            </w:tcBorders>
            <w:vAlign w:val="center"/>
          </w:tcPr>
          <w:p w14:paraId="1977CD67">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98%</w:t>
            </w:r>
          </w:p>
        </w:tc>
        <w:tc>
          <w:tcPr>
            <w:tcW w:w="537" w:type="dxa"/>
            <w:gridSpan w:val="2"/>
            <w:tcBorders>
              <w:top w:val="nil"/>
              <w:left w:val="nil"/>
              <w:bottom w:val="single" w:color="auto" w:sz="4" w:space="0"/>
              <w:right w:val="single" w:color="auto" w:sz="4" w:space="0"/>
            </w:tcBorders>
            <w:vAlign w:val="center"/>
          </w:tcPr>
          <w:p w14:paraId="06F1B1E8">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13" w:type="dxa"/>
            <w:gridSpan w:val="2"/>
            <w:tcBorders>
              <w:top w:val="nil"/>
              <w:left w:val="nil"/>
              <w:bottom w:val="single" w:color="auto" w:sz="4" w:space="0"/>
              <w:right w:val="single" w:color="auto" w:sz="4" w:space="0"/>
            </w:tcBorders>
            <w:vAlign w:val="center"/>
          </w:tcPr>
          <w:p w14:paraId="6587A49C">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277" w:type="dxa"/>
            <w:gridSpan w:val="2"/>
            <w:tcBorders>
              <w:top w:val="single" w:color="auto" w:sz="4" w:space="0"/>
              <w:left w:val="nil"/>
              <w:bottom w:val="single" w:color="auto" w:sz="4" w:space="0"/>
              <w:right w:val="single" w:color="auto" w:sz="4" w:space="0"/>
            </w:tcBorders>
            <w:vAlign w:val="center"/>
          </w:tcPr>
          <w:p w14:paraId="5ABFD4EC">
            <w:pPr>
              <w:widowControl/>
              <w:jc w:val="center"/>
              <w:rPr>
                <w:rFonts w:ascii="宋体" w:hAnsi="宋体" w:cs="宋体"/>
                <w:kern w:val="0"/>
                <w:sz w:val="18"/>
                <w:szCs w:val="18"/>
              </w:rPr>
            </w:pPr>
          </w:p>
        </w:tc>
      </w:tr>
      <w:tr w14:paraId="08730B8C">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1DCF5C6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629C44E">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4C504BB2">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2411C085">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网评工作的及时性</w:t>
            </w:r>
          </w:p>
        </w:tc>
        <w:tc>
          <w:tcPr>
            <w:tcW w:w="900" w:type="dxa"/>
            <w:tcBorders>
              <w:top w:val="nil"/>
              <w:left w:val="nil"/>
              <w:bottom w:val="single" w:color="auto" w:sz="4" w:space="0"/>
              <w:right w:val="single" w:color="auto" w:sz="4" w:space="0"/>
            </w:tcBorders>
            <w:vAlign w:val="center"/>
          </w:tcPr>
          <w:p w14:paraId="744C238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及时性</w:t>
            </w:r>
          </w:p>
        </w:tc>
        <w:tc>
          <w:tcPr>
            <w:tcW w:w="1025" w:type="dxa"/>
            <w:tcBorders>
              <w:top w:val="nil"/>
              <w:left w:val="nil"/>
              <w:bottom w:val="single" w:color="auto" w:sz="4" w:space="0"/>
              <w:right w:val="single" w:color="auto" w:sz="4" w:space="0"/>
            </w:tcBorders>
            <w:vAlign w:val="center"/>
          </w:tcPr>
          <w:p w14:paraId="3CDE2FD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37" w:type="dxa"/>
            <w:gridSpan w:val="2"/>
            <w:tcBorders>
              <w:top w:val="nil"/>
              <w:left w:val="nil"/>
              <w:bottom w:val="single" w:color="auto" w:sz="4" w:space="0"/>
              <w:right w:val="single" w:color="auto" w:sz="4" w:space="0"/>
            </w:tcBorders>
            <w:vAlign w:val="center"/>
          </w:tcPr>
          <w:p w14:paraId="03C7260A">
            <w:pPr>
              <w:widowControl/>
              <w:jc w:val="center"/>
              <w:rPr>
                <w:rFonts w:ascii="宋体" w:hAnsi="宋体" w:cs="宋体"/>
                <w:kern w:val="0"/>
                <w:sz w:val="18"/>
                <w:szCs w:val="18"/>
              </w:rPr>
            </w:pPr>
            <w:r>
              <w:rPr>
                <w:rFonts w:hint="eastAsia" w:ascii="宋体" w:hAnsi="宋体" w:cs="宋体"/>
                <w:kern w:val="0"/>
                <w:sz w:val="18"/>
                <w:szCs w:val="18"/>
              </w:rPr>
              <w:t>10</w:t>
            </w:r>
          </w:p>
        </w:tc>
        <w:tc>
          <w:tcPr>
            <w:tcW w:w="513" w:type="dxa"/>
            <w:gridSpan w:val="2"/>
            <w:tcBorders>
              <w:top w:val="nil"/>
              <w:left w:val="nil"/>
              <w:bottom w:val="single" w:color="auto" w:sz="4" w:space="0"/>
              <w:right w:val="single" w:color="auto" w:sz="4" w:space="0"/>
            </w:tcBorders>
            <w:vAlign w:val="center"/>
          </w:tcPr>
          <w:p w14:paraId="74BC5C0C">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277" w:type="dxa"/>
            <w:gridSpan w:val="2"/>
            <w:tcBorders>
              <w:top w:val="single" w:color="auto" w:sz="4" w:space="0"/>
              <w:left w:val="nil"/>
              <w:bottom w:val="single" w:color="auto" w:sz="4" w:space="0"/>
              <w:right w:val="single" w:color="auto" w:sz="4" w:space="0"/>
            </w:tcBorders>
            <w:vAlign w:val="center"/>
          </w:tcPr>
          <w:p w14:paraId="6CD3CB6F">
            <w:pPr>
              <w:widowControl/>
              <w:jc w:val="center"/>
              <w:rPr>
                <w:rFonts w:ascii="宋体" w:hAnsi="宋体" w:cs="宋体"/>
                <w:kern w:val="0"/>
                <w:sz w:val="18"/>
                <w:szCs w:val="18"/>
              </w:rPr>
            </w:pPr>
          </w:p>
        </w:tc>
      </w:tr>
      <w:tr w14:paraId="04BCBCC1">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47E73A27">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EA6F2B3">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4E0BE043">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54F6AD25">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专项资金使用率</w:t>
            </w:r>
          </w:p>
        </w:tc>
        <w:tc>
          <w:tcPr>
            <w:tcW w:w="900" w:type="dxa"/>
            <w:tcBorders>
              <w:top w:val="nil"/>
              <w:left w:val="nil"/>
              <w:bottom w:val="single" w:color="auto" w:sz="4" w:space="0"/>
              <w:right w:val="single" w:color="auto" w:sz="4" w:space="0"/>
            </w:tcBorders>
            <w:vAlign w:val="center"/>
          </w:tcPr>
          <w:p w14:paraId="7F37D0D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≤35万</w:t>
            </w:r>
          </w:p>
        </w:tc>
        <w:tc>
          <w:tcPr>
            <w:tcW w:w="1025" w:type="dxa"/>
            <w:tcBorders>
              <w:top w:val="nil"/>
              <w:left w:val="nil"/>
              <w:bottom w:val="single" w:color="auto" w:sz="4" w:space="0"/>
              <w:right w:val="single" w:color="auto" w:sz="4" w:space="0"/>
            </w:tcBorders>
            <w:vAlign w:val="center"/>
          </w:tcPr>
          <w:p w14:paraId="5176A7B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35万</w:t>
            </w:r>
          </w:p>
        </w:tc>
        <w:tc>
          <w:tcPr>
            <w:tcW w:w="537" w:type="dxa"/>
            <w:gridSpan w:val="2"/>
            <w:tcBorders>
              <w:top w:val="nil"/>
              <w:left w:val="nil"/>
              <w:bottom w:val="single" w:color="auto" w:sz="4" w:space="0"/>
              <w:right w:val="single" w:color="auto" w:sz="4" w:space="0"/>
            </w:tcBorders>
            <w:vAlign w:val="center"/>
          </w:tcPr>
          <w:p w14:paraId="4166702C">
            <w:pPr>
              <w:widowControl/>
              <w:jc w:val="center"/>
              <w:rPr>
                <w:rFonts w:ascii="宋体" w:hAnsi="宋体" w:cs="宋体"/>
                <w:kern w:val="0"/>
                <w:sz w:val="18"/>
                <w:szCs w:val="18"/>
              </w:rPr>
            </w:pPr>
            <w:r>
              <w:rPr>
                <w:rFonts w:hint="eastAsia" w:ascii="宋体" w:hAnsi="宋体" w:cs="宋体"/>
                <w:kern w:val="0"/>
                <w:sz w:val="18"/>
                <w:szCs w:val="18"/>
              </w:rPr>
              <w:t>10</w:t>
            </w:r>
          </w:p>
        </w:tc>
        <w:tc>
          <w:tcPr>
            <w:tcW w:w="513" w:type="dxa"/>
            <w:gridSpan w:val="2"/>
            <w:tcBorders>
              <w:top w:val="nil"/>
              <w:left w:val="nil"/>
              <w:bottom w:val="single" w:color="auto" w:sz="4" w:space="0"/>
              <w:right w:val="single" w:color="auto" w:sz="4" w:space="0"/>
            </w:tcBorders>
            <w:vAlign w:val="center"/>
          </w:tcPr>
          <w:p w14:paraId="680A7FFC">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277" w:type="dxa"/>
            <w:gridSpan w:val="2"/>
            <w:tcBorders>
              <w:top w:val="single" w:color="auto" w:sz="4" w:space="0"/>
              <w:left w:val="nil"/>
              <w:bottom w:val="single" w:color="auto" w:sz="4" w:space="0"/>
              <w:right w:val="single" w:color="auto" w:sz="4" w:space="0"/>
            </w:tcBorders>
            <w:vAlign w:val="center"/>
          </w:tcPr>
          <w:p w14:paraId="175B9EE4">
            <w:pPr>
              <w:widowControl/>
              <w:jc w:val="center"/>
              <w:rPr>
                <w:rFonts w:ascii="宋体" w:hAnsi="宋体" w:cs="宋体"/>
                <w:kern w:val="0"/>
                <w:sz w:val="18"/>
                <w:szCs w:val="18"/>
              </w:rPr>
            </w:pPr>
          </w:p>
        </w:tc>
      </w:tr>
      <w:tr w14:paraId="67507C73">
        <w:tblPrEx>
          <w:tblCellMar>
            <w:top w:w="0" w:type="dxa"/>
            <w:left w:w="108" w:type="dxa"/>
            <w:bottom w:w="0" w:type="dxa"/>
            <w:right w:w="108" w:type="dxa"/>
          </w:tblCellMar>
        </w:tblPrEx>
        <w:trPr>
          <w:trHeight w:val="667" w:hRule="exact"/>
          <w:jc w:val="center"/>
        </w:trPr>
        <w:tc>
          <w:tcPr>
            <w:tcW w:w="588" w:type="dxa"/>
            <w:vMerge w:val="continue"/>
            <w:tcBorders>
              <w:left w:val="single" w:color="auto" w:sz="4" w:space="0"/>
              <w:right w:val="single" w:color="auto" w:sz="4" w:space="0"/>
            </w:tcBorders>
            <w:vAlign w:val="center"/>
          </w:tcPr>
          <w:p w14:paraId="2AFAE37E">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60F054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0F5E525A">
            <w:pPr>
              <w:widowControl/>
              <w:jc w:val="center"/>
              <w:rPr>
                <w:rFonts w:ascii="宋体" w:hAnsi="宋体" w:cs="宋体"/>
                <w:kern w:val="0"/>
                <w:sz w:val="18"/>
                <w:szCs w:val="18"/>
              </w:rPr>
            </w:pPr>
            <w:r>
              <w:rPr>
                <w:rFonts w:hint="eastAsia" w:ascii="宋体" w:hAnsi="宋体" w:cs="宋体"/>
                <w:kern w:val="0"/>
                <w:sz w:val="18"/>
                <w:szCs w:val="18"/>
              </w:rPr>
              <w:t>社会效益</w:t>
            </w:r>
          </w:p>
          <w:p w14:paraId="1543EBBF">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612BFF43">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社会影响力</w:t>
            </w:r>
          </w:p>
        </w:tc>
        <w:tc>
          <w:tcPr>
            <w:tcW w:w="900" w:type="dxa"/>
            <w:tcBorders>
              <w:top w:val="nil"/>
              <w:left w:val="nil"/>
              <w:bottom w:val="single" w:color="auto" w:sz="4" w:space="0"/>
              <w:right w:val="single" w:color="auto" w:sz="4" w:space="0"/>
            </w:tcBorders>
            <w:vAlign w:val="center"/>
          </w:tcPr>
          <w:p w14:paraId="760D8057">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长期</w:t>
            </w:r>
          </w:p>
        </w:tc>
        <w:tc>
          <w:tcPr>
            <w:tcW w:w="1025" w:type="dxa"/>
            <w:tcBorders>
              <w:top w:val="nil"/>
              <w:left w:val="nil"/>
              <w:bottom w:val="single" w:color="auto" w:sz="4" w:space="0"/>
              <w:right w:val="single" w:color="auto" w:sz="4" w:space="0"/>
            </w:tcBorders>
            <w:vAlign w:val="center"/>
          </w:tcPr>
          <w:p w14:paraId="6344DD9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不断增强</w:t>
            </w:r>
          </w:p>
        </w:tc>
        <w:tc>
          <w:tcPr>
            <w:tcW w:w="537" w:type="dxa"/>
            <w:gridSpan w:val="2"/>
            <w:tcBorders>
              <w:top w:val="nil"/>
              <w:left w:val="nil"/>
              <w:bottom w:val="single" w:color="auto" w:sz="4" w:space="0"/>
              <w:right w:val="single" w:color="auto" w:sz="4" w:space="0"/>
            </w:tcBorders>
            <w:vAlign w:val="center"/>
          </w:tcPr>
          <w:p w14:paraId="639D32D7">
            <w:pPr>
              <w:widowControl/>
              <w:jc w:val="center"/>
              <w:rPr>
                <w:rFonts w:ascii="宋体" w:hAnsi="宋体" w:cs="宋体"/>
                <w:kern w:val="0"/>
                <w:sz w:val="18"/>
                <w:szCs w:val="18"/>
              </w:rPr>
            </w:pPr>
            <w:r>
              <w:rPr>
                <w:rFonts w:hint="eastAsia" w:ascii="宋体" w:hAnsi="宋体" w:cs="宋体"/>
                <w:kern w:val="0"/>
                <w:sz w:val="18"/>
                <w:szCs w:val="18"/>
              </w:rPr>
              <w:t>10</w:t>
            </w:r>
          </w:p>
        </w:tc>
        <w:tc>
          <w:tcPr>
            <w:tcW w:w="513" w:type="dxa"/>
            <w:gridSpan w:val="2"/>
            <w:tcBorders>
              <w:top w:val="nil"/>
              <w:left w:val="nil"/>
              <w:bottom w:val="single" w:color="auto" w:sz="4" w:space="0"/>
              <w:right w:val="single" w:color="auto" w:sz="4" w:space="0"/>
            </w:tcBorders>
            <w:vAlign w:val="center"/>
          </w:tcPr>
          <w:p w14:paraId="6A347ADC">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277" w:type="dxa"/>
            <w:gridSpan w:val="2"/>
            <w:tcBorders>
              <w:top w:val="single" w:color="auto" w:sz="4" w:space="0"/>
              <w:left w:val="nil"/>
              <w:bottom w:val="single" w:color="auto" w:sz="4" w:space="0"/>
              <w:right w:val="single" w:color="auto" w:sz="4" w:space="0"/>
            </w:tcBorders>
            <w:vAlign w:val="center"/>
          </w:tcPr>
          <w:p w14:paraId="10D227E8">
            <w:pPr>
              <w:widowControl/>
              <w:jc w:val="center"/>
              <w:rPr>
                <w:rFonts w:ascii="宋体" w:hAnsi="宋体" w:cs="宋体"/>
                <w:kern w:val="0"/>
                <w:sz w:val="18"/>
                <w:szCs w:val="18"/>
              </w:rPr>
            </w:pPr>
          </w:p>
        </w:tc>
      </w:tr>
      <w:tr w14:paraId="5437FA85">
        <w:tblPrEx>
          <w:tblCellMar>
            <w:top w:w="0" w:type="dxa"/>
            <w:left w:w="108" w:type="dxa"/>
            <w:bottom w:w="0" w:type="dxa"/>
            <w:right w:w="108" w:type="dxa"/>
          </w:tblCellMar>
        </w:tblPrEx>
        <w:trPr>
          <w:trHeight w:val="754" w:hRule="exact"/>
          <w:jc w:val="center"/>
        </w:trPr>
        <w:tc>
          <w:tcPr>
            <w:tcW w:w="588" w:type="dxa"/>
            <w:vMerge w:val="continue"/>
            <w:tcBorders>
              <w:left w:val="single" w:color="auto" w:sz="4" w:space="0"/>
              <w:right w:val="single" w:color="auto" w:sz="4" w:space="0"/>
            </w:tcBorders>
            <w:vAlign w:val="center"/>
          </w:tcPr>
          <w:p w14:paraId="46016D2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5040DB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75D0B34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7747CA96">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宣传力度</w:t>
            </w:r>
          </w:p>
        </w:tc>
        <w:tc>
          <w:tcPr>
            <w:tcW w:w="900" w:type="dxa"/>
            <w:tcBorders>
              <w:top w:val="nil"/>
              <w:left w:val="nil"/>
              <w:bottom w:val="single" w:color="auto" w:sz="4" w:space="0"/>
              <w:right w:val="single" w:color="auto" w:sz="4" w:space="0"/>
            </w:tcBorders>
            <w:vAlign w:val="center"/>
          </w:tcPr>
          <w:p w14:paraId="5AA15CE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不断增强</w:t>
            </w:r>
          </w:p>
        </w:tc>
        <w:tc>
          <w:tcPr>
            <w:tcW w:w="1025" w:type="dxa"/>
            <w:tcBorders>
              <w:top w:val="nil"/>
              <w:left w:val="nil"/>
              <w:bottom w:val="single" w:color="auto" w:sz="4" w:space="0"/>
              <w:right w:val="single" w:color="auto" w:sz="4" w:space="0"/>
            </w:tcBorders>
            <w:vAlign w:val="center"/>
          </w:tcPr>
          <w:p w14:paraId="2BF0B55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不断提高</w:t>
            </w:r>
          </w:p>
        </w:tc>
        <w:tc>
          <w:tcPr>
            <w:tcW w:w="537" w:type="dxa"/>
            <w:gridSpan w:val="2"/>
            <w:tcBorders>
              <w:top w:val="nil"/>
              <w:left w:val="nil"/>
              <w:bottom w:val="single" w:color="auto" w:sz="4" w:space="0"/>
              <w:right w:val="single" w:color="auto" w:sz="4" w:space="0"/>
            </w:tcBorders>
            <w:vAlign w:val="center"/>
          </w:tcPr>
          <w:p w14:paraId="37046D4F">
            <w:pPr>
              <w:widowControl/>
              <w:jc w:val="center"/>
              <w:rPr>
                <w:rFonts w:ascii="宋体" w:hAnsi="宋体" w:cs="宋体"/>
                <w:kern w:val="0"/>
                <w:sz w:val="18"/>
                <w:szCs w:val="18"/>
              </w:rPr>
            </w:pPr>
            <w:r>
              <w:rPr>
                <w:rFonts w:hint="eastAsia" w:ascii="宋体" w:hAnsi="宋体" w:cs="宋体"/>
                <w:kern w:val="0"/>
                <w:sz w:val="18"/>
                <w:szCs w:val="18"/>
              </w:rPr>
              <w:t>10</w:t>
            </w:r>
          </w:p>
        </w:tc>
        <w:tc>
          <w:tcPr>
            <w:tcW w:w="513" w:type="dxa"/>
            <w:gridSpan w:val="2"/>
            <w:tcBorders>
              <w:top w:val="nil"/>
              <w:left w:val="nil"/>
              <w:bottom w:val="single" w:color="auto" w:sz="4" w:space="0"/>
              <w:right w:val="single" w:color="auto" w:sz="4" w:space="0"/>
            </w:tcBorders>
            <w:vAlign w:val="center"/>
          </w:tcPr>
          <w:p w14:paraId="755D1FAF">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277" w:type="dxa"/>
            <w:gridSpan w:val="2"/>
            <w:tcBorders>
              <w:top w:val="single" w:color="auto" w:sz="4" w:space="0"/>
              <w:left w:val="nil"/>
              <w:bottom w:val="single" w:color="auto" w:sz="4" w:space="0"/>
              <w:right w:val="single" w:color="auto" w:sz="4" w:space="0"/>
            </w:tcBorders>
            <w:vAlign w:val="center"/>
          </w:tcPr>
          <w:p w14:paraId="57A8BFA3">
            <w:pPr>
              <w:widowControl/>
              <w:jc w:val="center"/>
              <w:rPr>
                <w:rFonts w:ascii="宋体" w:hAnsi="宋体" w:cs="宋体"/>
                <w:kern w:val="0"/>
                <w:sz w:val="18"/>
                <w:szCs w:val="18"/>
              </w:rPr>
            </w:pPr>
          </w:p>
        </w:tc>
      </w:tr>
      <w:tr w14:paraId="766120FC">
        <w:tblPrEx>
          <w:tblCellMar>
            <w:top w:w="0" w:type="dxa"/>
            <w:left w:w="108" w:type="dxa"/>
            <w:bottom w:w="0" w:type="dxa"/>
            <w:right w:w="108" w:type="dxa"/>
          </w:tblCellMar>
        </w:tblPrEx>
        <w:trPr>
          <w:trHeight w:val="713" w:hRule="exact"/>
          <w:jc w:val="center"/>
        </w:trPr>
        <w:tc>
          <w:tcPr>
            <w:tcW w:w="588" w:type="dxa"/>
            <w:vMerge w:val="continue"/>
            <w:tcBorders>
              <w:left w:val="single" w:color="auto" w:sz="4" w:space="0"/>
              <w:right w:val="single" w:color="auto" w:sz="4" w:space="0"/>
            </w:tcBorders>
            <w:vAlign w:val="center"/>
          </w:tcPr>
          <w:p w14:paraId="28A1ED1D">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vAlign w:val="center"/>
          </w:tcPr>
          <w:p w14:paraId="190FB759">
            <w:pPr>
              <w:widowControl/>
              <w:jc w:val="center"/>
              <w:rPr>
                <w:rFonts w:ascii="宋体" w:hAnsi="宋体" w:cs="宋体"/>
                <w:kern w:val="0"/>
                <w:sz w:val="18"/>
                <w:szCs w:val="18"/>
              </w:rPr>
            </w:pPr>
            <w:r>
              <w:rPr>
                <w:rFonts w:hint="eastAsia" w:ascii="宋体" w:hAnsi="宋体" w:cs="宋体"/>
                <w:kern w:val="0"/>
                <w:sz w:val="18"/>
                <w:szCs w:val="18"/>
              </w:rPr>
              <w:t>满意度</w:t>
            </w:r>
          </w:p>
          <w:p w14:paraId="0FD2E36C">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14:paraId="478A0915">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116F534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网评员、干部群众对培训学习的满意度</w:t>
            </w:r>
          </w:p>
        </w:tc>
        <w:tc>
          <w:tcPr>
            <w:tcW w:w="900" w:type="dxa"/>
            <w:tcBorders>
              <w:top w:val="nil"/>
              <w:left w:val="nil"/>
              <w:bottom w:val="single" w:color="auto" w:sz="4" w:space="0"/>
              <w:right w:val="single" w:color="auto" w:sz="4" w:space="0"/>
            </w:tcBorders>
            <w:vAlign w:val="center"/>
          </w:tcPr>
          <w:p w14:paraId="39D442C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1025" w:type="dxa"/>
            <w:tcBorders>
              <w:top w:val="nil"/>
              <w:left w:val="nil"/>
              <w:bottom w:val="single" w:color="auto" w:sz="4" w:space="0"/>
              <w:right w:val="single" w:color="auto" w:sz="4" w:space="0"/>
            </w:tcBorders>
            <w:vAlign w:val="center"/>
          </w:tcPr>
          <w:p w14:paraId="01B04B4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537" w:type="dxa"/>
            <w:gridSpan w:val="2"/>
            <w:tcBorders>
              <w:top w:val="nil"/>
              <w:left w:val="nil"/>
              <w:bottom w:val="single" w:color="auto" w:sz="4" w:space="0"/>
              <w:right w:val="single" w:color="auto" w:sz="4" w:space="0"/>
            </w:tcBorders>
            <w:vAlign w:val="center"/>
          </w:tcPr>
          <w:p w14:paraId="64024321">
            <w:pPr>
              <w:widowControl/>
              <w:jc w:val="center"/>
              <w:rPr>
                <w:rFonts w:ascii="宋体" w:hAnsi="宋体" w:cs="宋体"/>
                <w:kern w:val="0"/>
                <w:sz w:val="18"/>
                <w:szCs w:val="18"/>
              </w:rPr>
            </w:pPr>
            <w:r>
              <w:rPr>
                <w:rFonts w:hint="eastAsia" w:ascii="宋体" w:hAnsi="宋体" w:cs="宋体"/>
                <w:kern w:val="0"/>
                <w:sz w:val="18"/>
                <w:szCs w:val="18"/>
              </w:rPr>
              <w:t>10</w:t>
            </w:r>
          </w:p>
        </w:tc>
        <w:tc>
          <w:tcPr>
            <w:tcW w:w="513" w:type="dxa"/>
            <w:gridSpan w:val="2"/>
            <w:tcBorders>
              <w:top w:val="nil"/>
              <w:left w:val="nil"/>
              <w:bottom w:val="single" w:color="auto" w:sz="4" w:space="0"/>
              <w:right w:val="single" w:color="auto" w:sz="4" w:space="0"/>
            </w:tcBorders>
            <w:vAlign w:val="center"/>
          </w:tcPr>
          <w:p w14:paraId="1747ABC3">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277" w:type="dxa"/>
            <w:gridSpan w:val="2"/>
            <w:tcBorders>
              <w:top w:val="single" w:color="auto" w:sz="4" w:space="0"/>
              <w:left w:val="nil"/>
              <w:bottom w:val="single" w:color="auto" w:sz="4" w:space="0"/>
              <w:right w:val="single" w:color="auto" w:sz="4" w:space="0"/>
            </w:tcBorders>
            <w:vAlign w:val="center"/>
          </w:tcPr>
          <w:p w14:paraId="66C9FBBF">
            <w:pPr>
              <w:widowControl/>
              <w:jc w:val="center"/>
              <w:rPr>
                <w:rFonts w:ascii="宋体" w:hAnsi="宋体" w:cs="宋体"/>
                <w:kern w:val="0"/>
                <w:sz w:val="18"/>
                <w:szCs w:val="18"/>
              </w:rPr>
            </w:pPr>
          </w:p>
        </w:tc>
      </w:tr>
      <w:tr w14:paraId="7610003B">
        <w:tblPrEx>
          <w:tblCellMar>
            <w:top w:w="0" w:type="dxa"/>
            <w:left w:w="108" w:type="dxa"/>
            <w:bottom w:w="0" w:type="dxa"/>
            <w:right w:w="108" w:type="dxa"/>
          </w:tblCellMar>
        </w:tblPrEx>
        <w:trPr>
          <w:trHeight w:val="454" w:hRule="exact"/>
          <w:jc w:val="center"/>
        </w:trPr>
        <w:tc>
          <w:tcPr>
            <w:tcW w:w="6753" w:type="dxa"/>
            <w:gridSpan w:val="8"/>
            <w:tcBorders>
              <w:top w:val="single" w:color="auto" w:sz="4" w:space="0"/>
              <w:left w:val="single" w:color="auto" w:sz="4" w:space="0"/>
              <w:bottom w:val="single" w:color="auto" w:sz="4" w:space="0"/>
              <w:right w:val="single" w:color="auto" w:sz="4" w:space="0"/>
            </w:tcBorders>
            <w:vAlign w:val="center"/>
          </w:tcPr>
          <w:p w14:paraId="450B9334">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37" w:type="dxa"/>
            <w:gridSpan w:val="2"/>
            <w:tcBorders>
              <w:top w:val="nil"/>
              <w:left w:val="nil"/>
              <w:bottom w:val="single" w:color="auto" w:sz="4" w:space="0"/>
              <w:right w:val="single" w:color="auto" w:sz="4" w:space="0"/>
            </w:tcBorders>
            <w:vAlign w:val="center"/>
          </w:tcPr>
          <w:p w14:paraId="4E3D985A">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13" w:type="dxa"/>
            <w:gridSpan w:val="2"/>
            <w:tcBorders>
              <w:top w:val="nil"/>
              <w:left w:val="nil"/>
              <w:bottom w:val="single" w:color="auto" w:sz="4" w:space="0"/>
              <w:right w:val="single" w:color="auto" w:sz="4" w:space="0"/>
            </w:tcBorders>
            <w:vAlign w:val="center"/>
          </w:tcPr>
          <w:p w14:paraId="27DE630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277" w:type="dxa"/>
            <w:gridSpan w:val="2"/>
            <w:tcBorders>
              <w:top w:val="single" w:color="auto" w:sz="4" w:space="0"/>
              <w:left w:val="nil"/>
              <w:bottom w:val="single" w:color="auto" w:sz="4" w:space="0"/>
              <w:right w:val="single" w:color="auto" w:sz="4" w:space="0"/>
            </w:tcBorders>
            <w:vAlign w:val="center"/>
          </w:tcPr>
          <w:p w14:paraId="59586444">
            <w:pPr>
              <w:widowControl/>
              <w:jc w:val="center"/>
              <w:rPr>
                <w:rFonts w:ascii="宋体" w:hAnsi="宋体" w:cs="宋体"/>
                <w:kern w:val="0"/>
                <w:sz w:val="18"/>
                <w:szCs w:val="18"/>
              </w:rPr>
            </w:pPr>
          </w:p>
        </w:tc>
      </w:tr>
    </w:tbl>
    <w:p w14:paraId="31AFCDA3">
      <w:pPr>
        <w:rPr>
          <w:rFonts w:hint="eastAsia" w:ascii="方正小标宋简体" w:hAnsi="宋体" w:eastAsia="方正小标宋简体"/>
          <w:sz w:val="44"/>
          <w:szCs w:val="44"/>
        </w:rPr>
        <w:sectPr>
          <w:pgSz w:w="11906" w:h="16838"/>
          <w:pgMar w:top="1440" w:right="1984" w:bottom="1440" w:left="1984" w:header="851" w:footer="992" w:gutter="0"/>
          <w:cols w:space="720" w:num="1"/>
          <w:docGrid w:type="lines" w:linePitch="312" w:charSpace="0"/>
        </w:sectPr>
      </w:pPr>
    </w:p>
    <w:p w14:paraId="66BBD906">
      <w:pPr>
        <w:widowControl/>
        <w:spacing w:line="600" w:lineRule="exact"/>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lang w:val="en-US" w:eastAsia="zh-CN"/>
        </w:rPr>
        <w:t>购买舆情监测服务</w:t>
      </w:r>
      <w:r>
        <w:rPr>
          <w:rFonts w:hint="eastAsia" w:ascii="方正小标宋_GBK" w:hAnsi="宋体" w:eastAsia="方正小标宋_GBK" w:cs="宋体"/>
          <w:bCs/>
          <w:kern w:val="0"/>
          <w:sz w:val="44"/>
          <w:szCs w:val="44"/>
        </w:rPr>
        <w:t>项目支出绩效评价报告</w:t>
      </w:r>
    </w:p>
    <w:p w14:paraId="662FC6D0">
      <w:pPr>
        <w:spacing w:line="600" w:lineRule="exact"/>
        <w:rPr>
          <w:rFonts w:ascii="仿宋_GB2312" w:eastAsia="仿宋_GB2312"/>
          <w:sz w:val="32"/>
          <w:szCs w:val="32"/>
        </w:rPr>
      </w:pPr>
    </w:p>
    <w:p w14:paraId="67709762">
      <w:pPr>
        <w:spacing w:line="600" w:lineRule="exact"/>
        <w:ind w:firstLine="640" w:firstLineChars="200"/>
        <w:rPr>
          <w:rFonts w:eastAsia="黑体"/>
          <w:sz w:val="32"/>
          <w:szCs w:val="32"/>
        </w:rPr>
      </w:pPr>
      <w:r>
        <w:rPr>
          <w:rFonts w:hint="eastAsia" w:eastAsia="黑体"/>
          <w:sz w:val="32"/>
          <w:szCs w:val="32"/>
        </w:rPr>
        <w:t>一、基本情况</w:t>
      </w:r>
    </w:p>
    <w:p w14:paraId="2329D77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（一）项目概况。</w:t>
      </w:r>
    </w:p>
    <w:p w14:paraId="10C189BB">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hint="default"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网信办负责全县互联网信息内容管理，指导协调全县舆情工作，落实国家互联网信息服务资本准入和信息网络安全审查的有关政策等工作。年初安排预算资金50万</w:t>
      </w:r>
      <w:r>
        <w:rPr>
          <w:rFonts w:hint="default" w:ascii="宋体" w:hAnsi="宋体" w:eastAsia="方正仿宋简体" w:cs="宋体"/>
          <w:b w:val="0"/>
          <w:i w:val="0"/>
          <w:caps w:val="0"/>
          <w:color w:val="333333"/>
          <w:spacing w:val="0"/>
          <w:kern w:val="0"/>
          <w:sz w:val="32"/>
          <w:szCs w:val="24"/>
          <w:shd w:val="clear" w:fill="FFFFFF"/>
          <w:lang w:val="en-US" w:eastAsia="zh-CN" w:bidi="ar"/>
        </w:rPr>
        <w:t>元用于</w:t>
      </w:r>
      <w:r>
        <w:rPr>
          <w:rFonts w:hint="eastAsia" w:ascii="仿宋" w:hAnsi="仿宋" w:eastAsia="仿宋" w:cs="Arial"/>
          <w:color w:val="333333"/>
          <w:sz w:val="32"/>
          <w:szCs w:val="32"/>
          <w:lang w:val="en-US" w:eastAsia="zh-CN"/>
        </w:rPr>
        <w:t>购买舆情监测服务，上报涉冀涉唐舆情信息，及时发现、研判、处置涉乐舆情，对不实消息及时举报和辟谣，对</w:t>
      </w:r>
      <w:r>
        <w:rPr>
          <w:rFonts w:hint="eastAsia" w:ascii="宋体" w:hAnsi="宋体" w:eastAsia="方正仿宋简体" w:cs="方正仿宋简体"/>
          <w:sz w:val="32"/>
          <w:szCs w:val="32"/>
        </w:rPr>
        <w:t>对全县机关事业单位网站建立线上网络安全监测体系</w:t>
      </w:r>
      <w:r>
        <w:rPr>
          <w:rFonts w:hint="eastAsia" w:ascii="宋体" w:hAnsi="宋体" w:eastAsia="方正仿宋简体" w:cs="方正仿宋简体"/>
          <w:sz w:val="32"/>
          <w:szCs w:val="32"/>
          <w:lang w:eastAsia="zh-CN"/>
        </w:rPr>
        <w:t>，</w:t>
      </w:r>
      <w:r>
        <w:rPr>
          <w:rFonts w:hint="eastAsia" w:ascii="仿宋" w:hAnsi="仿宋" w:eastAsia="仿宋" w:cs="Arial"/>
          <w:color w:val="333333"/>
          <w:sz w:val="32"/>
          <w:szCs w:val="32"/>
          <w:lang w:val="en-US" w:eastAsia="zh-CN"/>
        </w:rPr>
        <w:t>营造清朗的网络空间</w:t>
      </w:r>
      <w:r>
        <w:rPr>
          <w:rFonts w:hint="eastAsia" w:ascii="宋体" w:hAnsi="宋体" w:eastAsia="方正仿宋简体" w:cs="宋体"/>
          <w:b w:val="0"/>
          <w:i w:val="0"/>
          <w:caps w:val="0"/>
          <w:color w:val="333333"/>
          <w:spacing w:val="0"/>
          <w:kern w:val="0"/>
          <w:sz w:val="32"/>
          <w:szCs w:val="24"/>
          <w:shd w:val="clear" w:fill="FFFFFF"/>
          <w:lang w:val="en-US" w:eastAsia="zh-CN" w:bidi="ar"/>
        </w:rPr>
        <w:t>。乐亭县财政局已全部批复和下达，截止2021年12月底，项目经费已全部执行，执行率100%。</w:t>
      </w:r>
    </w:p>
    <w:p w14:paraId="67BDAA7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（二）项目绩效目标。包括总体目标和阶段性目标。</w:t>
      </w:r>
    </w:p>
    <w:p w14:paraId="01DDD7DB">
      <w:pPr>
        <w:ind w:firstLine="640" w:firstLineChars="200"/>
        <w:rPr>
          <w:rFonts w:hint="default" w:ascii="仿宋" w:hAnsi="仿宋" w:eastAsia="仿宋" w:cs="Arial"/>
          <w:color w:val="333333"/>
          <w:sz w:val="32"/>
          <w:szCs w:val="32"/>
          <w:lang w:val="en-US" w:eastAsia="zh-CN"/>
        </w:rPr>
      </w:pPr>
      <w:r>
        <w:rPr>
          <w:rFonts w:hint="eastAsia" w:ascii="宋体" w:hAnsi="宋体" w:eastAsia="方正仿宋简体" w:cs="宋体"/>
          <w:b w:val="0"/>
          <w:i w:val="0"/>
          <w:caps w:val="0"/>
          <w:color w:val="333333"/>
          <w:spacing w:val="0"/>
          <w:kern w:val="0"/>
          <w:sz w:val="32"/>
          <w:szCs w:val="24"/>
          <w:shd w:val="clear" w:fill="FFFFFF"/>
          <w:lang w:val="en-US" w:eastAsia="zh-CN" w:bidi="ar"/>
        </w:rPr>
        <w:t>总体目标：</w:t>
      </w:r>
      <w:r>
        <w:rPr>
          <w:rFonts w:hint="eastAsia" w:ascii="仿宋" w:hAnsi="仿宋" w:eastAsia="仿宋" w:cs="Arial"/>
          <w:color w:val="333333"/>
          <w:sz w:val="32"/>
          <w:szCs w:val="32"/>
          <w:lang w:val="en-US" w:eastAsia="zh-CN"/>
        </w:rPr>
        <w:t>购买常规舆情检测服务，检测和研判重大网络事件和舆情，及时处置舆情；持续开展属地网站、微信公众号、快手人工检测，营造清朗的网络空间。</w:t>
      </w:r>
    </w:p>
    <w:p w14:paraId="40C3EC2B">
      <w:pPr>
        <w:pStyle w:val="2"/>
        <w:keepNext w:val="0"/>
        <w:keepLines w:val="0"/>
        <w:pageBreakBefore w:val="0"/>
        <w:kinsoku/>
        <w:wordWrap/>
        <w:overflowPunct/>
        <w:topLinePunct w:val="0"/>
        <w:autoSpaceDE/>
        <w:autoSpaceDN/>
        <w:bidi w:val="0"/>
        <w:adjustRightInd/>
        <w:snapToGrid/>
        <w:spacing w:before="0"/>
        <w:ind w:firstLine="640" w:firstLineChars="200"/>
        <w:jc w:val="both"/>
        <w:textAlignment w:val="auto"/>
        <w:rPr>
          <w:rFonts w:hint="eastAsia" w:ascii="宋体" w:hAnsi="宋体" w:eastAsia="方正仿宋简体" w:cs="宋体"/>
          <w:b w:val="0"/>
          <w:i w:val="0"/>
          <w:caps w:val="0"/>
          <w:color w:val="333333"/>
          <w:spacing w:val="0"/>
          <w:kern w:val="0"/>
          <w:sz w:val="32"/>
          <w:szCs w:val="24"/>
          <w:shd w:val="clear" w:fill="FFFFFF"/>
          <w:lang w:val="en-US" w:eastAsia="zh-CN" w:bidi="ar"/>
        </w:rPr>
      </w:pPr>
      <w:r>
        <w:rPr>
          <w:rFonts w:hint="eastAsia" w:ascii="宋体" w:hAnsi="宋体" w:eastAsia="方正仿宋简体" w:cs="宋体"/>
          <w:b w:val="0"/>
          <w:i w:val="0"/>
          <w:caps w:val="0"/>
          <w:color w:val="333333"/>
          <w:spacing w:val="0"/>
          <w:kern w:val="0"/>
          <w:sz w:val="32"/>
          <w:szCs w:val="24"/>
          <w:shd w:val="clear" w:fill="FFFFFF"/>
          <w:lang w:val="en-US" w:eastAsia="zh-CN" w:bidi="ar"/>
        </w:rPr>
        <w:t>阶段性目标：1.每天上报涉冀涉唐舆情，涉唐舆情每月排名均稳定在中上游。2.及时发现、研判处置涉乐舆情，避免重大舆情炒作发生。3.对涉政、涉黄等各类消息进行举报，对不实消息及时辟谣。4.</w:t>
      </w:r>
      <w:r>
        <w:rPr>
          <w:rFonts w:hint="eastAsia" w:ascii="宋体" w:hAnsi="宋体" w:eastAsia="方正仿宋简体" w:cs="方正仿宋简体"/>
          <w:sz w:val="32"/>
          <w:szCs w:val="32"/>
        </w:rPr>
        <w:t>对全县机关事业单位网站建立线上网络安全监测体系</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每月进行网站漏洞扫描，每季进行人工巡查并培训督导</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5.</w:t>
      </w:r>
      <w:r>
        <w:rPr>
          <w:rFonts w:hint="eastAsia" w:ascii="宋体" w:hAnsi="宋体" w:eastAsia="方正仿宋简体" w:cs="方正仿宋简体"/>
          <w:sz w:val="32"/>
          <w:szCs w:val="32"/>
        </w:rPr>
        <w:t>针对机关事业网站、政务新媒体、政务邮箱等采取线上与线下相结合的方式，</w:t>
      </w:r>
      <w:r>
        <w:rPr>
          <w:rFonts w:hint="eastAsia" w:ascii="宋体" w:hAnsi="宋体" w:eastAsia="方正仿宋简体" w:cs="方正仿宋简体"/>
          <w:sz w:val="32"/>
          <w:szCs w:val="32"/>
          <w:lang w:val="en-US" w:eastAsia="zh-CN"/>
        </w:rPr>
        <w:t>联合第三方每季度</w:t>
      </w:r>
      <w:r>
        <w:rPr>
          <w:rFonts w:hint="eastAsia" w:ascii="宋体" w:hAnsi="宋体" w:eastAsia="方正仿宋简体" w:cs="方正仿宋简体"/>
          <w:sz w:val="32"/>
          <w:szCs w:val="32"/>
        </w:rPr>
        <w:t>进行网络安全检查</w:t>
      </w:r>
      <w:r>
        <w:rPr>
          <w:rFonts w:hint="eastAsia" w:ascii="宋体" w:hAnsi="宋体" w:eastAsia="方正仿宋简体" w:cs="方正仿宋简体"/>
          <w:sz w:val="32"/>
          <w:szCs w:val="32"/>
          <w:lang w:eastAsia="zh-CN"/>
        </w:rPr>
        <w:t>。</w:t>
      </w:r>
    </w:p>
    <w:p w14:paraId="3DB5C440">
      <w:pPr>
        <w:spacing w:line="600" w:lineRule="exact"/>
        <w:ind w:firstLine="640" w:firstLineChars="200"/>
        <w:rPr>
          <w:rFonts w:eastAsia="黑体"/>
          <w:sz w:val="32"/>
          <w:szCs w:val="32"/>
        </w:rPr>
      </w:pPr>
      <w:r>
        <w:rPr>
          <w:rFonts w:hint="eastAsia" w:eastAsia="黑体"/>
          <w:sz w:val="32"/>
          <w:szCs w:val="32"/>
        </w:rPr>
        <w:t>二、绩效评价工作开展情况</w:t>
      </w:r>
    </w:p>
    <w:p w14:paraId="79C7C08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（一）绩效评价目的、对象和范围。</w:t>
      </w:r>
    </w:p>
    <w:p w14:paraId="4F06BC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1.绩效评价目的</w:t>
      </w:r>
    </w:p>
    <w:p w14:paraId="4D608F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default" w:ascii="宋体" w:hAnsi="宋体" w:eastAsia="方正仿宋简体" w:cs="宋体"/>
          <w:b w:val="0"/>
          <w:i w:val="0"/>
          <w:caps w:val="0"/>
          <w:color w:val="333333"/>
          <w:spacing w:val="0"/>
          <w:sz w:val="32"/>
          <w:szCs w:val="24"/>
          <w:shd w:val="clear" w:fill="FFFFFF"/>
        </w:rPr>
        <w:t>通过开展绩效评价工作，了解项目支出资金使用情况和管理情况、项目组织和实施情况，检验项目投入是否达到预期目标，总结经验，分析问题，进一步规范和加强专项资金管理，切实提高财政资金使用效益。</w:t>
      </w:r>
    </w:p>
    <w:p w14:paraId="605B90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2.绩效评价对象和范围</w:t>
      </w:r>
    </w:p>
    <w:p w14:paraId="690D9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本次绩效评价对象</w:t>
      </w:r>
      <w:r>
        <w:rPr>
          <w:rFonts w:hint="eastAsia" w:ascii="宋体" w:hAnsi="宋体" w:eastAsia="方正仿宋简体" w:cs="宋体"/>
          <w:b w:val="0"/>
          <w:i w:val="0"/>
          <w:caps w:val="0"/>
          <w:color w:val="333333"/>
          <w:spacing w:val="0"/>
          <w:sz w:val="32"/>
          <w:szCs w:val="24"/>
          <w:shd w:val="clear" w:fill="FFFFFF"/>
          <w:lang w:val="en-US" w:eastAsia="zh-CN"/>
        </w:rPr>
        <w:t>和范围是</w:t>
      </w:r>
      <w:r>
        <w:rPr>
          <w:rFonts w:hint="default" w:ascii="宋体" w:hAnsi="宋体" w:eastAsia="方正仿宋简体" w:cs="宋体"/>
          <w:b w:val="0"/>
          <w:i w:val="0"/>
          <w:caps w:val="0"/>
          <w:color w:val="333333"/>
          <w:spacing w:val="0"/>
          <w:sz w:val="32"/>
          <w:szCs w:val="24"/>
          <w:shd w:val="clear" w:fill="FFFFFF"/>
        </w:rPr>
        <w:t>20</w:t>
      </w:r>
      <w:r>
        <w:rPr>
          <w:rFonts w:hint="eastAsia" w:ascii="宋体" w:hAnsi="宋体" w:eastAsia="方正仿宋简体" w:cs="宋体"/>
          <w:b w:val="0"/>
          <w:i w:val="0"/>
          <w:caps w:val="0"/>
          <w:color w:val="333333"/>
          <w:spacing w:val="0"/>
          <w:sz w:val="32"/>
          <w:szCs w:val="24"/>
          <w:shd w:val="clear" w:fill="FFFFFF"/>
          <w:lang w:val="en-US" w:eastAsia="zh-CN"/>
        </w:rPr>
        <w:t>21</w:t>
      </w:r>
      <w:r>
        <w:rPr>
          <w:rFonts w:hint="default" w:ascii="宋体" w:hAnsi="宋体" w:eastAsia="方正仿宋简体" w:cs="宋体"/>
          <w:b w:val="0"/>
          <w:i w:val="0"/>
          <w:caps w:val="0"/>
          <w:color w:val="333333"/>
          <w:spacing w:val="0"/>
          <w:sz w:val="32"/>
          <w:szCs w:val="24"/>
          <w:shd w:val="clear" w:fill="FFFFFF"/>
        </w:rPr>
        <w:t>年度</w:t>
      </w:r>
      <w:r>
        <w:rPr>
          <w:rFonts w:hint="eastAsia" w:ascii="宋体" w:hAnsi="宋体" w:eastAsia="方正仿宋简体" w:cs="宋体"/>
          <w:b w:val="0"/>
          <w:i w:val="0"/>
          <w:caps w:val="0"/>
          <w:color w:val="333333"/>
          <w:spacing w:val="0"/>
          <w:sz w:val="32"/>
          <w:szCs w:val="24"/>
          <w:shd w:val="clear" w:fill="FFFFFF"/>
          <w:lang w:val="en-US" w:eastAsia="zh-CN"/>
        </w:rPr>
        <w:t>网信办购买舆情监测服务工作经费。</w:t>
      </w:r>
    </w:p>
    <w:p w14:paraId="4D67F130">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绩效评价原则、评价指标体系（附表说明）、评价方法、评价标准等。</w:t>
      </w:r>
    </w:p>
    <w:p w14:paraId="6DFCD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1.绩效评价原则</w:t>
      </w:r>
    </w:p>
    <w:p w14:paraId="18967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（1）科学规范原则。绩效评价注重财政支出的经济性、效率性和有效性，严格执行规定的程序，合理确定绩效目标和评价内容，运用简便、实用、定量与定性分析相结合的方法，规范进行评价。</w:t>
      </w:r>
    </w:p>
    <w:p w14:paraId="6E5E8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（2）公正公开原则。坚持客观、公平、公正，做到依据合法、标准统一、资料可靠、实事求是、公开透明，并接受监督。</w:t>
      </w:r>
    </w:p>
    <w:p w14:paraId="06D84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（3）分级分类原则。本次绩效评价根据评价对象特点分类组织实施，发现问题提出明确整改措施和要求，并及时整改落实。</w:t>
      </w:r>
    </w:p>
    <w:p w14:paraId="50151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（4）绩效相关原则。绩效评价针对具体支出及其产出绩效进行，评价结果清晰反映支出和产出绩效之间的紧密对应关系。</w:t>
      </w:r>
    </w:p>
    <w:p w14:paraId="5E00F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2.绩效评价指标体系</w:t>
      </w:r>
    </w:p>
    <w:p w14:paraId="78C83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color w:val="333333"/>
          <w:sz w:val="32"/>
          <w:szCs w:val="24"/>
          <w:lang w:val="en-US" w:eastAsia="zh-CN"/>
        </w:rPr>
      </w:pPr>
      <w:r>
        <w:rPr>
          <w:rFonts w:hint="default" w:ascii="宋体" w:hAnsi="宋体" w:eastAsia="方正仿宋简体" w:cs="宋体"/>
          <w:b w:val="0"/>
          <w:i w:val="0"/>
          <w:caps w:val="0"/>
          <w:color w:val="333333"/>
          <w:spacing w:val="0"/>
          <w:sz w:val="32"/>
          <w:szCs w:val="24"/>
          <w:shd w:val="clear" w:fill="FFFFFF"/>
        </w:rPr>
        <w:t>根据《</w:t>
      </w:r>
      <w:r>
        <w:rPr>
          <w:rFonts w:hint="eastAsia" w:ascii="宋体" w:hAnsi="宋体" w:eastAsia="方正仿宋简体" w:cs="宋体"/>
          <w:b w:val="0"/>
          <w:i w:val="0"/>
          <w:caps w:val="0"/>
          <w:color w:val="333333"/>
          <w:spacing w:val="0"/>
          <w:sz w:val="32"/>
          <w:szCs w:val="24"/>
          <w:shd w:val="clear" w:fill="FFFFFF"/>
          <w:lang w:val="en-US" w:eastAsia="zh-CN"/>
        </w:rPr>
        <w:t>乐亭县财政支出绩效评价管理暂行办法（自评、重点评价、整体评价）</w:t>
      </w:r>
      <w:r>
        <w:rPr>
          <w:rFonts w:hint="default" w:ascii="宋体" w:hAnsi="宋体" w:eastAsia="方正仿宋简体" w:cs="宋体"/>
          <w:b w:val="0"/>
          <w:i w:val="0"/>
          <w:caps w:val="0"/>
          <w:color w:val="333333"/>
          <w:spacing w:val="0"/>
          <w:sz w:val="32"/>
          <w:szCs w:val="24"/>
          <w:shd w:val="clear" w:fill="FFFFFF"/>
        </w:rPr>
        <w:t>》（</w:t>
      </w:r>
      <w:r>
        <w:rPr>
          <w:rFonts w:hint="eastAsia" w:ascii="宋体" w:hAnsi="宋体" w:eastAsia="方正仿宋简体" w:cs="宋体"/>
          <w:b w:val="0"/>
          <w:i w:val="0"/>
          <w:caps w:val="0"/>
          <w:color w:val="333333"/>
          <w:spacing w:val="0"/>
          <w:sz w:val="32"/>
          <w:szCs w:val="24"/>
          <w:shd w:val="clear" w:fill="FFFFFF"/>
          <w:lang w:val="en-US" w:eastAsia="zh-CN"/>
        </w:rPr>
        <w:t>乐</w:t>
      </w:r>
      <w:r>
        <w:rPr>
          <w:rFonts w:hint="default" w:ascii="宋体" w:hAnsi="宋体" w:eastAsia="方正仿宋简体" w:cs="宋体"/>
          <w:b w:val="0"/>
          <w:i w:val="0"/>
          <w:caps w:val="0"/>
          <w:color w:val="333333"/>
          <w:spacing w:val="0"/>
          <w:sz w:val="32"/>
          <w:szCs w:val="24"/>
          <w:shd w:val="clear" w:fill="FFFFFF"/>
        </w:rPr>
        <w:t>财</w:t>
      </w:r>
      <w:r>
        <w:rPr>
          <w:rFonts w:hint="eastAsia" w:ascii="宋体" w:hAnsi="宋体" w:eastAsia="方正仿宋简体" w:cs="宋体"/>
          <w:b w:val="0"/>
          <w:i w:val="0"/>
          <w:caps w:val="0"/>
          <w:color w:val="333333"/>
          <w:spacing w:val="0"/>
          <w:sz w:val="32"/>
          <w:szCs w:val="24"/>
          <w:shd w:val="clear" w:fill="FFFFFF"/>
          <w:lang w:val="en-US" w:eastAsia="zh-CN"/>
        </w:rPr>
        <w:t>预</w:t>
      </w:r>
      <w:r>
        <w:rPr>
          <w:rFonts w:hint="default" w:ascii="宋体" w:hAnsi="宋体" w:eastAsia="方正仿宋简体" w:cs="宋体"/>
          <w:b w:val="0"/>
          <w:i w:val="0"/>
          <w:caps w:val="0"/>
          <w:color w:val="333333"/>
          <w:spacing w:val="0"/>
          <w:sz w:val="32"/>
          <w:szCs w:val="24"/>
          <w:shd w:val="clear" w:fill="FFFFFF"/>
        </w:rPr>
        <w:t>〔202</w:t>
      </w:r>
      <w:r>
        <w:rPr>
          <w:rFonts w:hint="eastAsia" w:ascii="宋体" w:hAnsi="宋体" w:eastAsia="方正仿宋简体" w:cs="宋体"/>
          <w:b w:val="0"/>
          <w:i w:val="0"/>
          <w:caps w:val="0"/>
          <w:color w:val="333333"/>
          <w:spacing w:val="0"/>
          <w:sz w:val="32"/>
          <w:szCs w:val="24"/>
          <w:shd w:val="clear" w:fill="FFFFFF"/>
          <w:lang w:val="en-US" w:eastAsia="zh-CN"/>
        </w:rPr>
        <w:t>1</w:t>
      </w:r>
      <w:r>
        <w:rPr>
          <w:rFonts w:hint="default" w:ascii="宋体" w:hAnsi="宋体" w:eastAsia="方正仿宋简体" w:cs="宋体"/>
          <w:b w:val="0"/>
          <w:i w:val="0"/>
          <w:caps w:val="0"/>
          <w:color w:val="333333"/>
          <w:spacing w:val="0"/>
          <w:sz w:val="32"/>
          <w:szCs w:val="24"/>
          <w:shd w:val="clear" w:fill="FFFFFF"/>
        </w:rPr>
        <w:t>〕</w:t>
      </w:r>
      <w:r>
        <w:rPr>
          <w:rFonts w:hint="eastAsia" w:ascii="宋体" w:hAnsi="宋体" w:eastAsia="方正仿宋简体" w:cs="宋体"/>
          <w:b w:val="0"/>
          <w:i w:val="0"/>
          <w:caps w:val="0"/>
          <w:color w:val="333333"/>
          <w:spacing w:val="0"/>
          <w:sz w:val="32"/>
          <w:szCs w:val="24"/>
          <w:shd w:val="clear" w:fill="FFFFFF"/>
          <w:lang w:val="en-US" w:eastAsia="zh-CN"/>
        </w:rPr>
        <w:t>9</w:t>
      </w:r>
      <w:r>
        <w:rPr>
          <w:rFonts w:hint="default" w:ascii="宋体" w:hAnsi="宋体" w:eastAsia="方正仿宋简体" w:cs="宋体"/>
          <w:b w:val="0"/>
          <w:i w:val="0"/>
          <w:caps w:val="0"/>
          <w:color w:val="333333"/>
          <w:spacing w:val="0"/>
          <w:sz w:val="32"/>
          <w:szCs w:val="24"/>
          <w:shd w:val="clear" w:fill="FFFFFF"/>
        </w:rPr>
        <w:t>号）的相关要求，综合考虑项目绩效目标、项目管理特点、项目实施内容制定了绩效评价指标体系。具体从产出、效益</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满意度3</w:t>
      </w:r>
      <w:r>
        <w:rPr>
          <w:rFonts w:hint="default" w:ascii="宋体" w:hAnsi="宋体" w:eastAsia="方正仿宋简体" w:cs="宋体"/>
          <w:b w:val="0"/>
          <w:i w:val="0"/>
          <w:caps w:val="0"/>
          <w:color w:val="333333"/>
          <w:spacing w:val="0"/>
          <w:sz w:val="32"/>
          <w:szCs w:val="24"/>
          <w:shd w:val="clear" w:fill="FFFFFF"/>
        </w:rPr>
        <w:t>个维度进行全过程评价，</w:t>
      </w:r>
      <w:r>
        <w:rPr>
          <w:rFonts w:hint="eastAsia" w:ascii="宋体" w:hAnsi="宋体" w:eastAsia="方正仿宋简体" w:cs="宋体"/>
          <w:b w:val="0"/>
          <w:i w:val="0"/>
          <w:caps w:val="0"/>
          <w:color w:val="333333"/>
          <w:spacing w:val="0"/>
          <w:sz w:val="32"/>
          <w:szCs w:val="24"/>
          <w:shd w:val="clear" w:fill="FFFFFF"/>
          <w:lang w:val="en-US" w:eastAsia="zh-CN"/>
        </w:rPr>
        <w:t>设计二级指标、三级指标、完成值和分值进行评价，具体指标体系详见项目支出自评表。</w:t>
      </w:r>
    </w:p>
    <w:p w14:paraId="2B0B4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本次评价采用百分制，评价标准是评价人员进行具体打分时依据的定量、定性标准。根据具体的绩效评价指标体系，评价人员根据评价情况对各级指标进行打分，最终得分由各评价指标得分加总得出。根据最终得分情况将评价标准分为四个等级：优（得分≥90分）；良（80分≤得分＜90分）；中（60≤得分＜80分）；差（得分＜60分）。</w:t>
      </w:r>
    </w:p>
    <w:p w14:paraId="1AA13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3.绩效评价的方法</w:t>
      </w:r>
    </w:p>
    <w:p w14:paraId="67E9C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结合本次绩效评价项目的具体情况，为确保本次绩效评价工作的真实可靠，主要通过审阅资料、实地评价、问卷调查、数据分析等方法进行评价。</w:t>
      </w:r>
    </w:p>
    <w:p w14:paraId="3BDC5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4.绩效评价标准</w:t>
      </w:r>
    </w:p>
    <w:p w14:paraId="478F0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绩效评价标准通常包括计划标准、行业标准、历史标准等，用于对绩效指标完成情况进行比较。本次绩效评价主要采用计划标准。</w:t>
      </w:r>
    </w:p>
    <w:p w14:paraId="4095F546">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绩效评价工作过程。</w:t>
      </w:r>
    </w:p>
    <w:p w14:paraId="6A43A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eastAsia" w:ascii="宋体" w:hAnsi="宋体" w:eastAsia="方正仿宋简体" w:cs="宋体"/>
          <w:b w:val="0"/>
          <w:i w:val="0"/>
          <w:caps w:val="0"/>
          <w:color w:val="333333"/>
          <w:spacing w:val="0"/>
          <w:sz w:val="32"/>
          <w:szCs w:val="24"/>
          <w:shd w:val="clear" w:fill="FFFFFF"/>
        </w:rPr>
        <w:t>根据绩效评价的要求，我们成立了自评工作领导小组，对照自评方案进行研究和部署，班子成员全程参与，按照自评方案的要求，对照各实施项目的内容逐条逐项自评。在自评过程发现问题，查找原因，及时纠正偏差，为下一步工作夯实基础。</w:t>
      </w:r>
    </w:p>
    <w:p w14:paraId="5300D16D">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综合评价情况及评价结论</w:t>
      </w:r>
    </w:p>
    <w:p w14:paraId="7FD6B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宋体"/>
          <w:b w:val="0"/>
          <w:i w:val="0"/>
          <w:caps w:val="0"/>
          <w:color w:val="333333"/>
          <w:spacing w:val="0"/>
          <w:sz w:val="32"/>
          <w:szCs w:val="24"/>
          <w:shd w:val="clear" w:fill="FFFFFF"/>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部门总体产出、效果绩效指标完成良好。通过维护网络安全、净化网络环境、处置和封堵网络有害信息、分析和处置重大突发舆情，保障全县不发生重大网络安全事故、重大突发舆情和事件得到及时有效处理。</w:t>
      </w:r>
      <w:r>
        <w:rPr>
          <w:rFonts w:hint="eastAsia" w:ascii="宋体" w:hAnsi="宋体" w:eastAsia="方正仿宋简体" w:cs="方正仿宋简体"/>
          <w:sz w:val="32"/>
          <w:szCs w:val="32"/>
          <w:lang w:val="en-US" w:eastAsia="zh-CN"/>
        </w:rPr>
        <w:t>市里通报各县区重点网络舆情，我县没有一件</w:t>
      </w:r>
      <w:r>
        <w:rPr>
          <w:rFonts w:hint="eastAsia" w:ascii="宋体" w:hAnsi="宋体" w:eastAsia="方正仿宋简体" w:cs="方正仿宋简体"/>
          <w:sz w:val="32"/>
          <w:szCs w:val="32"/>
        </w:rPr>
        <w:t>炒作舆情</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全市网络安全通报中，我县零事故</w:t>
      </w:r>
      <w:r>
        <w:rPr>
          <w:rFonts w:hint="eastAsia" w:ascii="宋体" w:hAnsi="宋体" w:eastAsia="方正仿宋简体" w:cs="方正仿宋简体"/>
          <w:sz w:val="32"/>
          <w:szCs w:val="32"/>
          <w:lang w:eastAsia="zh-CN"/>
        </w:rPr>
        <w:t>、零隐患</w:t>
      </w:r>
      <w:r>
        <w:rPr>
          <w:rFonts w:hint="eastAsia" w:ascii="宋体" w:hAnsi="宋体" w:eastAsia="方正仿宋简体" w:cs="方正仿宋简体"/>
          <w:sz w:val="32"/>
          <w:szCs w:val="32"/>
        </w:rPr>
        <w:t>。</w:t>
      </w:r>
      <w:r>
        <w:rPr>
          <w:rFonts w:hint="eastAsia" w:ascii="宋体" w:hAnsi="宋体" w:eastAsia="方正仿宋简体" w:cs="宋体"/>
          <w:b w:val="0"/>
          <w:i w:val="0"/>
          <w:caps w:val="0"/>
          <w:color w:val="333333"/>
          <w:spacing w:val="0"/>
          <w:sz w:val="32"/>
          <w:szCs w:val="24"/>
          <w:shd w:val="clear" w:fill="FFFFFF"/>
          <w:lang w:val="en-US" w:eastAsia="zh-CN"/>
        </w:rPr>
        <w:t>网信办2021</w:t>
      </w:r>
      <w:r>
        <w:rPr>
          <w:rFonts w:hint="default" w:ascii="宋体" w:hAnsi="宋体" w:eastAsia="方正仿宋简体" w:cs="宋体"/>
          <w:b w:val="0"/>
          <w:i w:val="0"/>
          <w:caps w:val="0"/>
          <w:color w:val="333333"/>
          <w:spacing w:val="0"/>
          <w:sz w:val="32"/>
          <w:szCs w:val="24"/>
          <w:shd w:val="clear" w:fill="FFFFFF"/>
          <w:lang w:val="en-US" w:eastAsia="zh-CN"/>
        </w:rPr>
        <w:t>年</w:t>
      </w:r>
      <w:r>
        <w:rPr>
          <w:rFonts w:hint="eastAsia" w:ascii="宋体" w:hAnsi="宋体" w:eastAsia="方正仿宋简体" w:cs="宋体"/>
          <w:b w:val="0"/>
          <w:i w:val="0"/>
          <w:caps w:val="0"/>
          <w:color w:val="333333"/>
          <w:spacing w:val="0"/>
          <w:sz w:val="32"/>
          <w:szCs w:val="24"/>
          <w:shd w:val="clear" w:fill="FFFFFF"/>
          <w:lang w:val="en-US" w:eastAsia="zh-CN"/>
        </w:rPr>
        <w:t>购买舆情监测服务</w:t>
      </w:r>
      <w:r>
        <w:rPr>
          <w:rFonts w:hint="default" w:ascii="宋体" w:hAnsi="宋体" w:eastAsia="方正仿宋简体" w:cs="宋体"/>
          <w:b w:val="0"/>
          <w:i w:val="0"/>
          <w:caps w:val="0"/>
          <w:color w:val="333333"/>
          <w:spacing w:val="0"/>
          <w:sz w:val="32"/>
          <w:szCs w:val="24"/>
          <w:shd w:val="clear" w:fill="FFFFFF"/>
          <w:lang w:val="en-US" w:eastAsia="zh-CN"/>
        </w:rPr>
        <w:t>目绩效评价得分</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lang w:val="en-US" w:eastAsia="zh-CN"/>
        </w:rPr>
        <w:t>分，评价等级为“优”。</w:t>
      </w:r>
    </w:p>
    <w:p w14:paraId="44CB250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hint="eastAsia" w:eastAsia="黑体"/>
          <w:sz w:val="32"/>
          <w:szCs w:val="32"/>
        </w:rPr>
        <w:t>四、绩效评价指标分析</w:t>
      </w:r>
    </w:p>
    <w:p w14:paraId="5DA9225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（一）项目决策情况。</w:t>
      </w:r>
    </w:p>
    <w:p w14:paraId="1DCF25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kern w:val="2"/>
          <w:sz w:val="32"/>
          <w:szCs w:val="24"/>
          <w:shd w:val="clear" w:fill="FFFFFF"/>
          <w:lang w:val="en-US" w:eastAsia="zh-CN" w:bidi="ar-SA"/>
        </w:rPr>
      </w:pPr>
      <w:r>
        <w:rPr>
          <w:rFonts w:hint="default" w:ascii="宋体" w:hAnsi="宋体" w:eastAsia="方正仿宋简体" w:cs="宋体"/>
          <w:b w:val="0"/>
          <w:i w:val="0"/>
          <w:caps w:val="0"/>
          <w:color w:val="333333"/>
          <w:spacing w:val="0"/>
          <w:sz w:val="32"/>
          <w:szCs w:val="24"/>
          <w:shd w:val="clear" w:fill="FFFFFF"/>
        </w:rPr>
        <w:t>1.项目立项方面</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kern w:val="2"/>
          <w:sz w:val="32"/>
          <w:szCs w:val="24"/>
          <w:shd w:val="clear" w:fill="FFFFFF"/>
          <w:lang w:val="en-US" w:eastAsia="zh-CN" w:bidi="ar-SA"/>
        </w:rPr>
        <w:t>根据网信办职能配置的规定，结合中央、省、市委网信办的安排部署，落实县委县政府的重大决策，立项依据充分。</w:t>
      </w:r>
    </w:p>
    <w:p w14:paraId="0A9289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2.绩效目标方面。项目申报预算时，将绩效目标设较为明确的绩效目标，符合国家相关法律法规、政府决策，与项目实施单位职责密切相关，预期产出效益和效果符合正常的业绩水平。绩效目标与项目年度计划数或任务相对应、与预算确定的项目资金相匹配，但绩效指标细化、量化不足，未能全面、清晰反映项目产出和效益情况。</w:t>
      </w:r>
    </w:p>
    <w:p w14:paraId="09D6E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3.资金投入方面。项目资金</w:t>
      </w:r>
      <w:r>
        <w:rPr>
          <w:rFonts w:hint="eastAsia" w:ascii="宋体" w:hAnsi="宋体" w:eastAsia="方正仿宋简体" w:cs="宋体"/>
          <w:b w:val="0"/>
          <w:i w:val="0"/>
          <w:caps w:val="0"/>
          <w:color w:val="333333"/>
          <w:spacing w:val="0"/>
          <w:sz w:val="32"/>
          <w:szCs w:val="24"/>
          <w:shd w:val="clear" w:fill="FFFFFF"/>
          <w:lang w:val="en-US" w:eastAsia="zh-CN"/>
        </w:rPr>
        <w:t>通过购买舆情监测服务，及时发现、研判、处置舆情，避免重大舆情炒作；对</w:t>
      </w:r>
      <w:r>
        <w:rPr>
          <w:rFonts w:hint="eastAsia" w:ascii="宋体" w:hAnsi="宋体" w:eastAsia="方正仿宋简体" w:cs="方正仿宋简体"/>
          <w:sz w:val="32"/>
          <w:szCs w:val="32"/>
        </w:rPr>
        <w:t>全县机关事业单位网站建立线上网络安全监测体系</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保障网络安全</w:t>
      </w:r>
      <w:r>
        <w:rPr>
          <w:rFonts w:hint="eastAsia" w:ascii="宋体" w:hAnsi="宋体" w:eastAsia="方正仿宋简体" w:cs="宋体"/>
          <w:b w:val="0"/>
          <w:i w:val="0"/>
          <w:caps w:val="0"/>
          <w:color w:val="333333"/>
          <w:spacing w:val="0"/>
          <w:sz w:val="32"/>
          <w:szCs w:val="24"/>
          <w:shd w:val="clear" w:fill="FFFFFF"/>
          <w:lang w:val="en-US" w:eastAsia="zh-CN"/>
        </w:rPr>
        <w:t>为</w:t>
      </w:r>
      <w:r>
        <w:rPr>
          <w:rFonts w:hint="default" w:ascii="宋体" w:hAnsi="宋体" w:eastAsia="方正仿宋简体" w:cs="宋体"/>
          <w:b w:val="0"/>
          <w:i w:val="0"/>
          <w:caps w:val="0"/>
          <w:color w:val="333333"/>
          <w:spacing w:val="0"/>
          <w:sz w:val="32"/>
          <w:szCs w:val="24"/>
          <w:shd w:val="clear" w:fill="FFFFFF"/>
        </w:rPr>
        <w:t>测算依据，预算额度测算、分配依据充分。项目下达资金</w:t>
      </w:r>
      <w:r>
        <w:rPr>
          <w:rFonts w:hint="eastAsia" w:ascii="宋体" w:hAnsi="宋体" w:eastAsia="方正仿宋简体" w:cs="宋体"/>
          <w:b w:val="0"/>
          <w:i w:val="0"/>
          <w:caps w:val="0"/>
          <w:color w:val="333333"/>
          <w:spacing w:val="0"/>
          <w:sz w:val="32"/>
          <w:szCs w:val="24"/>
          <w:shd w:val="clear" w:fill="FFFFFF"/>
          <w:lang w:val="en-US" w:eastAsia="zh-CN"/>
        </w:rPr>
        <w:t>50</w:t>
      </w:r>
      <w:r>
        <w:rPr>
          <w:rFonts w:hint="default" w:ascii="宋体" w:hAnsi="宋体" w:eastAsia="方正仿宋简体" w:cs="宋体"/>
          <w:b w:val="0"/>
          <w:i w:val="0"/>
          <w:caps w:val="0"/>
          <w:color w:val="333333"/>
          <w:spacing w:val="0"/>
          <w:sz w:val="32"/>
          <w:szCs w:val="24"/>
          <w:shd w:val="clear" w:fill="FFFFFF"/>
        </w:rPr>
        <w:t>万元，实际到位项目资金</w:t>
      </w:r>
      <w:r>
        <w:rPr>
          <w:rFonts w:hint="eastAsia" w:ascii="宋体" w:hAnsi="宋体" w:eastAsia="方正仿宋简体" w:cs="宋体"/>
          <w:b w:val="0"/>
          <w:i w:val="0"/>
          <w:caps w:val="0"/>
          <w:color w:val="333333"/>
          <w:spacing w:val="0"/>
          <w:sz w:val="32"/>
          <w:szCs w:val="24"/>
          <w:shd w:val="clear" w:fill="FFFFFF"/>
          <w:lang w:val="en-US" w:eastAsia="zh-CN"/>
        </w:rPr>
        <w:t>50</w:t>
      </w:r>
      <w:r>
        <w:rPr>
          <w:rFonts w:hint="default" w:ascii="宋体" w:hAnsi="宋体" w:eastAsia="方正仿宋简体" w:cs="宋体"/>
          <w:b w:val="0"/>
          <w:i w:val="0"/>
          <w:caps w:val="0"/>
          <w:color w:val="333333"/>
          <w:spacing w:val="0"/>
          <w:sz w:val="32"/>
          <w:szCs w:val="24"/>
          <w:shd w:val="clear" w:fill="FFFFFF"/>
        </w:rPr>
        <w:t>万元，资金到位率100%，到位及时率100%，项目资金及时到位有效保障项目实施。</w:t>
      </w:r>
    </w:p>
    <w:p w14:paraId="4ED75E48">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项目过程情况。</w:t>
      </w:r>
    </w:p>
    <w:p w14:paraId="40CD9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宋体"/>
          <w:b w:val="0"/>
          <w:color w:val="333333"/>
          <w:sz w:val="32"/>
          <w:szCs w:val="24"/>
          <w:lang w:eastAsia="zh-CN"/>
        </w:rPr>
      </w:pPr>
      <w:r>
        <w:rPr>
          <w:rFonts w:hint="default" w:ascii="宋体" w:hAnsi="宋体" w:eastAsia="方正仿宋简体" w:cs="宋体"/>
          <w:b w:val="0"/>
          <w:i w:val="0"/>
          <w:caps w:val="0"/>
          <w:color w:val="333333"/>
          <w:spacing w:val="0"/>
          <w:sz w:val="32"/>
          <w:szCs w:val="24"/>
          <w:shd w:val="clear" w:fill="FFFFFF"/>
        </w:rPr>
        <w:t>1.资金管理方面。</w:t>
      </w:r>
      <w:r>
        <w:rPr>
          <w:rFonts w:hint="eastAsia" w:ascii="宋体" w:hAnsi="宋体" w:eastAsia="方正仿宋简体" w:cs="宋体"/>
          <w:b w:val="0"/>
          <w:i w:val="0"/>
          <w:caps w:val="0"/>
          <w:color w:val="333333"/>
          <w:spacing w:val="0"/>
          <w:sz w:val="32"/>
          <w:szCs w:val="24"/>
          <w:shd w:val="clear" w:fill="FFFFFF"/>
          <w:lang w:val="en-US" w:eastAsia="zh-CN"/>
        </w:rPr>
        <w:t>根据《乐亭县预算绩效监控管理暂行办法》</w:t>
      </w:r>
      <w:r>
        <w:rPr>
          <w:rFonts w:hint="default" w:ascii="宋体" w:hAnsi="宋体" w:eastAsia="方正仿宋简体" w:cs="宋体"/>
          <w:b w:val="0"/>
          <w:i w:val="0"/>
          <w:caps w:val="0"/>
          <w:color w:val="333333"/>
          <w:spacing w:val="0"/>
          <w:sz w:val="32"/>
          <w:szCs w:val="24"/>
          <w:shd w:val="clear" w:fill="FFFFFF"/>
        </w:rPr>
        <w:t>相关要求，</w:t>
      </w:r>
      <w:r>
        <w:rPr>
          <w:rFonts w:hint="eastAsia" w:ascii="宋体" w:hAnsi="宋体" w:eastAsia="方正仿宋简体" w:cs="宋体"/>
          <w:b w:val="0"/>
          <w:i w:val="0"/>
          <w:caps w:val="0"/>
          <w:color w:val="333333"/>
          <w:spacing w:val="0"/>
          <w:sz w:val="32"/>
          <w:szCs w:val="24"/>
          <w:shd w:val="clear" w:fill="FFFFFF"/>
          <w:lang w:val="en-US" w:eastAsia="zh-CN"/>
        </w:rPr>
        <w:t>对项目资金执行情况进行监控，</w:t>
      </w:r>
      <w:r>
        <w:rPr>
          <w:rFonts w:hint="default" w:ascii="宋体" w:hAnsi="宋体" w:eastAsia="方正仿宋简体" w:cs="宋体"/>
          <w:b w:val="0"/>
          <w:i w:val="0"/>
          <w:caps w:val="0"/>
          <w:color w:val="333333"/>
          <w:spacing w:val="0"/>
          <w:sz w:val="32"/>
          <w:szCs w:val="24"/>
          <w:shd w:val="clear" w:fill="FFFFFF"/>
        </w:rPr>
        <w:t>未发现挪用、虚列支出等情况</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资金执行及时。</w:t>
      </w:r>
    </w:p>
    <w:p w14:paraId="058D1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lang w:val="en-US"/>
        </w:rPr>
      </w:pPr>
      <w:r>
        <w:rPr>
          <w:rFonts w:hint="default" w:ascii="宋体" w:hAnsi="宋体" w:eastAsia="方正仿宋简体" w:cs="宋体"/>
          <w:b w:val="0"/>
          <w:i w:val="0"/>
          <w:caps w:val="0"/>
          <w:color w:val="333333"/>
          <w:spacing w:val="0"/>
          <w:sz w:val="32"/>
          <w:szCs w:val="24"/>
          <w:shd w:val="clear" w:fill="FFFFFF"/>
        </w:rPr>
        <w:t>2.组织实施方面。</w:t>
      </w:r>
      <w:r>
        <w:rPr>
          <w:rFonts w:hint="eastAsia" w:ascii="宋体" w:hAnsi="宋体" w:eastAsia="方正仿宋简体" w:cs="宋体"/>
          <w:b w:val="0"/>
          <w:i w:val="0"/>
          <w:caps w:val="0"/>
          <w:color w:val="333333"/>
          <w:spacing w:val="0"/>
          <w:sz w:val="32"/>
          <w:szCs w:val="24"/>
          <w:shd w:val="clear" w:fill="FFFFFF"/>
          <w:lang w:val="en-US" w:eastAsia="zh-CN"/>
        </w:rPr>
        <w:t>购买舆情监测软件，监测上报涉冀涉唐舆情，及时发现、研判、处置涉乐舆情，避免重大舆情炒作。</w:t>
      </w:r>
      <w:r>
        <w:rPr>
          <w:rFonts w:hint="eastAsia" w:ascii="宋体" w:hAnsi="宋体" w:eastAsia="方正仿宋简体" w:cs="宋体"/>
          <w:b w:val="0"/>
          <w:i w:val="0"/>
          <w:caps w:val="0"/>
          <w:color w:val="333333"/>
          <w:spacing w:val="0"/>
          <w:sz w:val="32"/>
          <w:szCs w:val="24"/>
          <w:shd w:val="clear" w:fill="FFFFFF"/>
        </w:rPr>
        <w:t>与上市网络安全技术公司天融信合作，对全县机关事业单位网站建立线上网络安全监测体系，</w:t>
      </w:r>
      <w:r>
        <w:rPr>
          <w:rFonts w:hint="eastAsia" w:ascii="宋体" w:hAnsi="宋体" w:eastAsia="方正仿宋简体" w:cs="宋体"/>
          <w:b w:val="0"/>
          <w:i w:val="0"/>
          <w:caps w:val="0"/>
          <w:color w:val="333333"/>
          <w:spacing w:val="0"/>
          <w:sz w:val="32"/>
          <w:szCs w:val="24"/>
          <w:shd w:val="clear" w:fill="FFFFFF"/>
          <w:lang w:val="en-US" w:eastAsia="zh-CN"/>
        </w:rPr>
        <w:t>保障全县网络安全。</w:t>
      </w:r>
    </w:p>
    <w:p w14:paraId="7EA9BFA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eastAsia="仿宋_GB2312"/>
          <w:sz w:val="32"/>
          <w:szCs w:val="32"/>
        </w:rPr>
      </w:pPr>
      <w:r>
        <w:rPr>
          <w:rFonts w:hint="eastAsia" w:ascii="仿宋_GB2312" w:eastAsia="仿宋_GB2312"/>
          <w:sz w:val="32"/>
          <w:szCs w:val="32"/>
        </w:rPr>
        <w:t>（三）项目产出情况。</w:t>
      </w:r>
    </w:p>
    <w:p w14:paraId="78B1AF8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0"/>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4"/>
          <w:shd w:val="clear" w:fill="FFFFFF"/>
        </w:rPr>
        <w:t>项目产出包括产出数量、产出质量、产出时效</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产出成本四</w:t>
      </w:r>
      <w:r>
        <w:rPr>
          <w:rFonts w:hint="default" w:ascii="宋体" w:hAnsi="宋体" w:eastAsia="方正仿宋简体" w:cs="宋体"/>
          <w:b w:val="0"/>
          <w:i w:val="0"/>
          <w:caps w:val="0"/>
          <w:color w:val="333333"/>
          <w:spacing w:val="0"/>
          <w:sz w:val="32"/>
          <w:szCs w:val="24"/>
          <w:shd w:val="clear" w:fill="FFFFFF"/>
        </w:rPr>
        <w:t>个方面。该项满分为</w:t>
      </w:r>
      <w:r>
        <w:rPr>
          <w:rFonts w:hint="eastAsia" w:ascii="宋体" w:hAnsi="宋体" w:eastAsia="方正仿宋简体" w:cs="宋体"/>
          <w:b w:val="0"/>
          <w:i w:val="0"/>
          <w:caps w:val="0"/>
          <w:color w:val="333333"/>
          <w:spacing w:val="0"/>
          <w:sz w:val="32"/>
          <w:szCs w:val="24"/>
          <w:shd w:val="clear" w:fill="FFFFFF"/>
          <w:lang w:val="en-US" w:eastAsia="zh-CN"/>
        </w:rPr>
        <w:t>40</w:t>
      </w:r>
      <w:r>
        <w:rPr>
          <w:rFonts w:hint="default" w:ascii="宋体" w:hAnsi="宋体" w:eastAsia="方正仿宋简体" w:cs="宋体"/>
          <w:b w:val="0"/>
          <w:i w:val="0"/>
          <w:caps w:val="0"/>
          <w:color w:val="333333"/>
          <w:spacing w:val="0"/>
          <w:sz w:val="32"/>
          <w:szCs w:val="24"/>
          <w:shd w:val="clear" w:fill="FFFFFF"/>
        </w:rPr>
        <w:t>分，得分</w:t>
      </w:r>
      <w:r>
        <w:rPr>
          <w:rFonts w:hint="eastAsia" w:ascii="宋体" w:hAnsi="宋体" w:eastAsia="方正仿宋简体" w:cs="宋体"/>
          <w:b w:val="0"/>
          <w:i w:val="0"/>
          <w:caps w:val="0"/>
          <w:color w:val="333333"/>
          <w:spacing w:val="0"/>
          <w:sz w:val="32"/>
          <w:szCs w:val="24"/>
          <w:shd w:val="clear" w:fill="FFFFFF"/>
          <w:lang w:val="en-US" w:eastAsia="zh-CN"/>
        </w:rPr>
        <w:t>40</w:t>
      </w:r>
      <w:r>
        <w:rPr>
          <w:rFonts w:hint="default" w:ascii="宋体" w:hAnsi="宋体" w:eastAsia="方正仿宋简体" w:cs="宋体"/>
          <w:b w:val="0"/>
          <w:i w:val="0"/>
          <w:caps w:val="0"/>
          <w:color w:val="333333"/>
          <w:spacing w:val="0"/>
          <w:sz w:val="32"/>
          <w:szCs w:val="24"/>
          <w:shd w:val="clear" w:fill="FFFFFF"/>
        </w:rPr>
        <w:t>分，得分率</w:t>
      </w:r>
      <w:r>
        <w:rPr>
          <w:rFonts w:hint="eastAsia" w:ascii="宋体" w:hAnsi="宋体" w:eastAsia="方正仿宋简体" w:cs="宋体"/>
          <w:b w:val="0"/>
          <w:i w:val="0"/>
          <w:caps w:val="0"/>
          <w:color w:val="333333"/>
          <w:spacing w:val="0"/>
          <w:sz w:val="32"/>
          <w:szCs w:val="24"/>
          <w:shd w:val="clear" w:fill="FFFFFF"/>
          <w:lang w:val="en-US" w:eastAsia="zh-CN"/>
        </w:rPr>
        <w:t>100.00</w:t>
      </w:r>
      <w:r>
        <w:rPr>
          <w:rFonts w:hint="default" w:ascii="宋体" w:hAnsi="宋体" w:eastAsia="方正仿宋简体" w:cs="宋体"/>
          <w:b w:val="0"/>
          <w:i w:val="0"/>
          <w:caps w:val="0"/>
          <w:color w:val="333333"/>
          <w:spacing w:val="0"/>
          <w:sz w:val="32"/>
          <w:szCs w:val="24"/>
          <w:shd w:val="clear" w:fill="FFFFFF"/>
        </w:rPr>
        <w:t>%。具体绩效评价产出情况分析如下：</w:t>
      </w:r>
    </w:p>
    <w:p w14:paraId="452358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1.产出</w:t>
      </w:r>
      <w:r>
        <w:rPr>
          <w:rFonts w:hint="eastAsia" w:ascii="宋体" w:hAnsi="宋体" w:eastAsia="方正仿宋简体" w:cs="宋体"/>
          <w:b w:val="0"/>
          <w:i w:val="0"/>
          <w:caps w:val="0"/>
          <w:color w:val="333333"/>
          <w:spacing w:val="0"/>
          <w:sz w:val="32"/>
          <w:szCs w:val="27"/>
          <w:shd w:val="clear" w:fill="FFFFFF"/>
          <w:lang w:val="en-US" w:eastAsia="zh-CN"/>
        </w:rPr>
        <w:t>成本</w:t>
      </w:r>
      <w:r>
        <w:rPr>
          <w:rFonts w:hint="default" w:ascii="宋体" w:hAnsi="宋体" w:eastAsia="方正仿宋简体" w:cs="宋体"/>
          <w:b w:val="0"/>
          <w:i w:val="0"/>
          <w:caps w:val="0"/>
          <w:color w:val="333333"/>
          <w:spacing w:val="0"/>
          <w:sz w:val="32"/>
          <w:szCs w:val="27"/>
          <w:shd w:val="clear" w:fill="FFFFFF"/>
        </w:rPr>
        <w:t>方面。</w:t>
      </w:r>
    </w:p>
    <w:p w14:paraId="40ADC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4"/>
          <w:shd w:val="clear" w:fill="FFFFFF"/>
        </w:rPr>
      </w:pPr>
      <w:r>
        <w:rPr>
          <w:rFonts w:hint="default" w:ascii="宋体" w:hAnsi="宋体" w:eastAsia="方正仿宋简体" w:cs="宋体"/>
          <w:b w:val="0"/>
          <w:i w:val="0"/>
          <w:caps w:val="0"/>
          <w:color w:val="333333"/>
          <w:spacing w:val="0"/>
          <w:sz w:val="32"/>
          <w:szCs w:val="24"/>
          <w:shd w:val="clear" w:fill="FFFFFF"/>
        </w:rPr>
        <w:t>项目到位资金</w:t>
      </w:r>
      <w:r>
        <w:rPr>
          <w:rFonts w:hint="eastAsia" w:ascii="宋体" w:hAnsi="宋体" w:eastAsia="方正仿宋简体" w:cs="宋体"/>
          <w:b w:val="0"/>
          <w:i w:val="0"/>
          <w:caps w:val="0"/>
          <w:color w:val="333333"/>
          <w:spacing w:val="0"/>
          <w:sz w:val="32"/>
          <w:szCs w:val="24"/>
          <w:shd w:val="clear" w:fill="FFFFFF"/>
          <w:lang w:val="en-US" w:eastAsia="zh-CN"/>
        </w:rPr>
        <w:t>50</w:t>
      </w:r>
      <w:r>
        <w:rPr>
          <w:rFonts w:hint="default" w:ascii="宋体" w:hAnsi="宋体" w:eastAsia="方正仿宋简体" w:cs="宋体"/>
          <w:b w:val="0"/>
          <w:i w:val="0"/>
          <w:caps w:val="0"/>
          <w:color w:val="333333"/>
          <w:spacing w:val="0"/>
          <w:sz w:val="32"/>
          <w:szCs w:val="24"/>
          <w:shd w:val="clear" w:fill="FFFFFF"/>
        </w:rPr>
        <w:t>万元，实际使用资金</w:t>
      </w:r>
      <w:r>
        <w:rPr>
          <w:rFonts w:hint="eastAsia" w:ascii="宋体" w:hAnsi="宋体" w:eastAsia="方正仿宋简体" w:cs="宋体"/>
          <w:b w:val="0"/>
          <w:i w:val="0"/>
          <w:caps w:val="0"/>
          <w:color w:val="333333"/>
          <w:spacing w:val="0"/>
          <w:sz w:val="32"/>
          <w:szCs w:val="24"/>
          <w:shd w:val="clear" w:fill="FFFFFF"/>
          <w:lang w:val="en-US" w:eastAsia="zh-CN"/>
        </w:rPr>
        <w:t>50</w:t>
      </w:r>
      <w:r>
        <w:rPr>
          <w:rFonts w:hint="default" w:ascii="宋体" w:hAnsi="宋体" w:eastAsia="方正仿宋简体" w:cs="宋体"/>
          <w:b w:val="0"/>
          <w:i w:val="0"/>
          <w:caps w:val="0"/>
          <w:color w:val="333333"/>
          <w:spacing w:val="0"/>
          <w:sz w:val="32"/>
          <w:szCs w:val="24"/>
          <w:shd w:val="clear" w:fill="FFFFFF"/>
        </w:rPr>
        <w:t>万元，资金使用率</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rPr>
        <w:t>%。</w:t>
      </w:r>
    </w:p>
    <w:p w14:paraId="1B576A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宋体" w:hAnsi="宋体" w:eastAsia="方正仿宋简体" w:cs="宋体"/>
          <w:b w:val="0"/>
          <w:i w:val="0"/>
          <w:caps w:val="0"/>
          <w:color w:val="333333"/>
          <w:spacing w:val="0"/>
          <w:sz w:val="32"/>
          <w:szCs w:val="27"/>
          <w:shd w:val="clear" w:fill="FFFFFF"/>
          <w:lang w:val="en-US" w:eastAsia="zh-CN"/>
        </w:rPr>
      </w:pPr>
      <w:r>
        <w:rPr>
          <w:rFonts w:hint="eastAsia" w:ascii="宋体" w:hAnsi="宋体" w:eastAsia="方正仿宋简体" w:cs="宋体"/>
          <w:b w:val="0"/>
          <w:i w:val="0"/>
          <w:caps w:val="0"/>
          <w:color w:val="333333"/>
          <w:spacing w:val="0"/>
          <w:sz w:val="32"/>
          <w:szCs w:val="24"/>
          <w:shd w:val="clear" w:fill="FFFFFF"/>
          <w:lang w:val="en-US" w:eastAsia="zh-CN"/>
        </w:rPr>
        <w:t>2.产出</w:t>
      </w:r>
      <w:r>
        <w:rPr>
          <w:rFonts w:hint="eastAsia" w:ascii="宋体" w:hAnsi="宋体" w:eastAsia="方正仿宋简体" w:cs="宋体"/>
          <w:b w:val="0"/>
          <w:i w:val="0"/>
          <w:caps w:val="0"/>
          <w:color w:val="333333"/>
          <w:spacing w:val="0"/>
          <w:sz w:val="32"/>
          <w:szCs w:val="27"/>
          <w:shd w:val="clear" w:fill="FFFFFF"/>
          <w:lang w:val="en-US" w:eastAsia="zh-CN"/>
        </w:rPr>
        <w:t>数量方面。监测</w:t>
      </w:r>
      <w:r>
        <w:rPr>
          <w:rFonts w:hint="eastAsia" w:ascii="宋体" w:hAnsi="宋体" w:eastAsia="方正仿宋简体" w:cs="宋体"/>
          <w:b w:val="0"/>
          <w:i w:val="0"/>
          <w:caps w:val="0"/>
          <w:color w:val="333333"/>
          <w:spacing w:val="0"/>
          <w:sz w:val="32"/>
          <w:szCs w:val="27"/>
          <w:shd w:val="clear" w:fill="FFFFFF"/>
        </w:rPr>
        <w:t>县内预警信息</w:t>
      </w:r>
      <w:r>
        <w:rPr>
          <w:rFonts w:hint="eastAsia" w:ascii="宋体" w:hAnsi="宋体" w:eastAsia="方正仿宋简体" w:cs="宋体"/>
          <w:b w:val="0"/>
          <w:i w:val="0"/>
          <w:caps w:val="0"/>
          <w:color w:val="333333"/>
          <w:spacing w:val="0"/>
          <w:sz w:val="32"/>
          <w:szCs w:val="27"/>
          <w:shd w:val="clear" w:fill="FFFFFF"/>
          <w:lang w:val="en-US" w:eastAsia="zh-CN"/>
        </w:rPr>
        <w:t>2</w:t>
      </w:r>
      <w:r>
        <w:rPr>
          <w:rFonts w:hint="default" w:ascii="宋体" w:hAnsi="宋体" w:eastAsia="方正仿宋简体" w:cs="宋体"/>
          <w:b w:val="0"/>
          <w:i w:val="0"/>
          <w:caps w:val="0"/>
          <w:color w:val="333333"/>
          <w:spacing w:val="0"/>
          <w:sz w:val="32"/>
          <w:szCs w:val="27"/>
          <w:shd w:val="clear" w:fill="FFFFFF"/>
        </w:rPr>
        <w:t>000</w:t>
      </w:r>
      <w:r>
        <w:rPr>
          <w:rFonts w:hint="eastAsia" w:ascii="宋体" w:hAnsi="宋体" w:eastAsia="方正仿宋简体" w:cs="宋体"/>
          <w:b w:val="0"/>
          <w:i w:val="0"/>
          <w:caps w:val="0"/>
          <w:color w:val="333333"/>
          <w:spacing w:val="0"/>
          <w:sz w:val="32"/>
          <w:szCs w:val="27"/>
          <w:shd w:val="clear" w:fill="FFFFFF"/>
          <w:lang w:eastAsia="zh-CN"/>
        </w:rPr>
        <w:t>余</w:t>
      </w:r>
      <w:r>
        <w:rPr>
          <w:rFonts w:hint="eastAsia" w:ascii="宋体" w:hAnsi="宋体" w:eastAsia="方正仿宋简体" w:cs="宋体"/>
          <w:b w:val="0"/>
          <w:i w:val="0"/>
          <w:caps w:val="0"/>
          <w:color w:val="333333"/>
          <w:spacing w:val="0"/>
          <w:sz w:val="32"/>
          <w:szCs w:val="27"/>
          <w:shd w:val="clear" w:fill="FFFFFF"/>
        </w:rPr>
        <w:t>条，转涉事单位处置</w:t>
      </w:r>
      <w:r>
        <w:rPr>
          <w:rFonts w:hint="eastAsia" w:ascii="宋体" w:hAnsi="宋体" w:eastAsia="方正仿宋简体" w:cs="宋体"/>
          <w:b w:val="0"/>
          <w:i w:val="0"/>
          <w:caps w:val="0"/>
          <w:color w:val="333333"/>
          <w:spacing w:val="0"/>
          <w:sz w:val="32"/>
          <w:szCs w:val="27"/>
          <w:shd w:val="clear" w:fill="FFFFFF"/>
          <w:lang w:val="en-US" w:eastAsia="zh-CN"/>
        </w:rPr>
        <w:t>191</w:t>
      </w:r>
      <w:r>
        <w:rPr>
          <w:rFonts w:hint="eastAsia" w:ascii="宋体" w:hAnsi="宋体" w:eastAsia="方正仿宋简体" w:cs="宋体"/>
          <w:b w:val="0"/>
          <w:i w:val="0"/>
          <w:caps w:val="0"/>
          <w:color w:val="333333"/>
          <w:spacing w:val="0"/>
          <w:sz w:val="32"/>
          <w:szCs w:val="27"/>
          <w:shd w:val="clear" w:fill="FFFFFF"/>
        </w:rPr>
        <w:t>条，上报</w:t>
      </w:r>
      <w:r>
        <w:rPr>
          <w:rFonts w:hint="eastAsia" w:ascii="宋体" w:hAnsi="宋体" w:eastAsia="方正仿宋简体" w:cs="宋体"/>
          <w:b w:val="0"/>
          <w:i w:val="0"/>
          <w:caps w:val="0"/>
          <w:color w:val="333333"/>
          <w:spacing w:val="0"/>
          <w:sz w:val="32"/>
          <w:szCs w:val="27"/>
          <w:shd w:val="clear" w:fill="FFFFFF"/>
          <w:lang w:val="en-US" w:eastAsia="zh-CN"/>
        </w:rPr>
        <w:t>25</w:t>
      </w:r>
      <w:r>
        <w:rPr>
          <w:rFonts w:hint="eastAsia" w:ascii="宋体" w:hAnsi="宋体" w:eastAsia="方正仿宋简体" w:cs="宋体"/>
          <w:b w:val="0"/>
          <w:i w:val="0"/>
          <w:caps w:val="0"/>
          <w:color w:val="333333"/>
          <w:spacing w:val="0"/>
          <w:sz w:val="32"/>
          <w:szCs w:val="27"/>
          <w:shd w:val="clear" w:fill="FFFFFF"/>
        </w:rPr>
        <w:t>件较大舆情苗头，均未形成炒作。上报</w:t>
      </w:r>
      <w:r>
        <w:rPr>
          <w:rFonts w:hint="eastAsia" w:ascii="宋体" w:hAnsi="宋体" w:eastAsia="方正仿宋简体" w:cs="宋体"/>
          <w:b w:val="0"/>
          <w:i w:val="0"/>
          <w:caps w:val="0"/>
          <w:color w:val="333333"/>
          <w:spacing w:val="0"/>
          <w:sz w:val="32"/>
          <w:szCs w:val="27"/>
          <w:shd w:val="clear" w:fill="FFFFFF"/>
          <w:lang w:val="en-US" w:eastAsia="zh-CN"/>
        </w:rPr>
        <w:t>涉冀舆情3000余条</w:t>
      </w:r>
      <w:r>
        <w:rPr>
          <w:rFonts w:hint="eastAsia" w:ascii="宋体" w:hAnsi="宋体" w:eastAsia="方正仿宋简体" w:cs="宋体"/>
          <w:b w:val="0"/>
          <w:i w:val="0"/>
          <w:caps w:val="0"/>
          <w:color w:val="333333"/>
          <w:spacing w:val="0"/>
          <w:sz w:val="32"/>
          <w:szCs w:val="27"/>
          <w:shd w:val="clear" w:fill="FFFFFF"/>
        </w:rPr>
        <w:t>涉唐舆情</w:t>
      </w:r>
      <w:r>
        <w:rPr>
          <w:rFonts w:hint="eastAsia" w:ascii="宋体" w:hAnsi="宋体" w:eastAsia="方正仿宋简体" w:cs="宋体"/>
          <w:b w:val="0"/>
          <w:i w:val="0"/>
          <w:caps w:val="0"/>
          <w:color w:val="333333"/>
          <w:spacing w:val="0"/>
          <w:sz w:val="32"/>
          <w:szCs w:val="27"/>
          <w:shd w:val="clear" w:fill="FFFFFF"/>
          <w:lang w:val="en-US" w:eastAsia="zh-CN"/>
        </w:rPr>
        <w:t>50</w:t>
      </w:r>
      <w:r>
        <w:rPr>
          <w:rFonts w:hint="eastAsia" w:ascii="宋体" w:hAnsi="宋体" w:eastAsia="方正仿宋简体" w:cs="宋体"/>
          <w:b w:val="0"/>
          <w:i w:val="0"/>
          <w:caps w:val="0"/>
          <w:color w:val="333333"/>
          <w:spacing w:val="0"/>
          <w:sz w:val="32"/>
          <w:szCs w:val="27"/>
          <w:shd w:val="clear" w:fill="FFFFFF"/>
        </w:rPr>
        <w:t>00余条，处置不良信息</w:t>
      </w:r>
      <w:r>
        <w:rPr>
          <w:rFonts w:hint="eastAsia" w:ascii="宋体" w:hAnsi="宋体" w:eastAsia="方正仿宋简体" w:cs="宋体"/>
          <w:b w:val="0"/>
          <w:i w:val="0"/>
          <w:caps w:val="0"/>
          <w:color w:val="333333"/>
          <w:spacing w:val="0"/>
          <w:sz w:val="32"/>
          <w:szCs w:val="27"/>
          <w:shd w:val="clear" w:fill="FFFFFF"/>
          <w:lang w:val="en-US" w:eastAsia="zh-CN"/>
        </w:rPr>
        <w:t>30</w:t>
      </w:r>
      <w:r>
        <w:rPr>
          <w:rFonts w:hint="eastAsia" w:ascii="宋体" w:hAnsi="宋体" w:eastAsia="方正仿宋简体" w:cs="宋体"/>
          <w:b w:val="0"/>
          <w:i w:val="0"/>
          <w:caps w:val="0"/>
          <w:color w:val="333333"/>
          <w:spacing w:val="0"/>
          <w:sz w:val="32"/>
          <w:szCs w:val="27"/>
          <w:shd w:val="clear" w:fill="FFFFFF"/>
        </w:rPr>
        <w:t>条，和公安局网安大队成功联合处置暴力血腥视频传播1起。积极开展网络举报和辟谣工作，今年以来制作原创辟谣小视频近</w:t>
      </w:r>
      <w:r>
        <w:rPr>
          <w:rFonts w:hint="eastAsia" w:ascii="宋体" w:hAnsi="宋体" w:eastAsia="方正仿宋简体" w:cs="宋体"/>
          <w:b w:val="0"/>
          <w:i w:val="0"/>
          <w:caps w:val="0"/>
          <w:color w:val="333333"/>
          <w:spacing w:val="0"/>
          <w:sz w:val="32"/>
          <w:szCs w:val="27"/>
          <w:shd w:val="clear" w:fill="FFFFFF"/>
          <w:lang w:val="en-US" w:eastAsia="zh-CN"/>
        </w:rPr>
        <w:t>6</w:t>
      </w:r>
      <w:r>
        <w:rPr>
          <w:rFonts w:hint="eastAsia" w:ascii="宋体" w:hAnsi="宋体" w:eastAsia="方正仿宋简体" w:cs="宋体"/>
          <w:b w:val="0"/>
          <w:i w:val="0"/>
          <w:caps w:val="0"/>
          <w:color w:val="333333"/>
          <w:spacing w:val="0"/>
          <w:sz w:val="32"/>
          <w:szCs w:val="27"/>
          <w:shd w:val="clear" w:fill="FFFFFF"/>
        </w:rPr>
        <w:t>00个，上报举报信息近9</w:t>
      </w:r>
      <w:r>
        <w:rPr>
          <w:rFonts w:hint="eastAsia" w:ascii="宋体" w:hAnsi="宋体" w:eastAsia="方正仿宋简体" w:cs="宋体"/>
          <w:b w:val="0"/>
          <w:i w:val="0"/>
          <w:caps w:val="0"/>
          <w:color w:val="333333"/>
          <w:spacing w:val="0"/>
          <w:sz w:val="32"/>
          <w:szCs w:val="27"/>
          <w:shd w:val="clear" w:fill="FFFFFF"/>
          <w:lang w:val="en-US" w:eastAsia="zh-CN"/>
        </w:rPr>
        <w:t>.3</w:t>
      </w:r>
      <w:r>
        <w:rPr>
          <w:rFonts w:hint="eastAsia" w:ascii="宋体" w:hAnsi="宋体" w:eastAsia="方正仿宋简体" w:cs="宋体"/>
          <w:b w:val="0"/>
          <w:i w:val="0"/>
          <w:caps w:val="0"/>
          <w:color w:val="333333"/>
          <w:spacing w:val="0"/>
          <w:sz w:val="32"/>
          <w:szCs w:val="27"/>
          <w:shd w:val="clear" w:fill="FFFFFF"/>
        </w:rPr>
        <w:t>万条，每月排名均位居全市前列。</w:t>
      </w:r>
    </w:p>
    <w:p w14:paraId="3A5A0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eastAsia="方正仿宋简体"/>
          <w:lang w:val="en-US" w:eastAsia="zh-CN"/>
        </w:rPr>
      </w:pPr>
      <w:r>
        <w:rPr>
          <w:rFonts w:hint="eastAsia" w:ascii="宋体" w:hAnsi="宋体" w:eastAsia="方正仿宋简体" w:cs="宋体"/>
          <w:b w:val="0"/>
          <w:i w:val="0"/>
          <w:caps w:val="0"/>
          <w:color w:val="333333"/>
          <w:spacing w:val="0"/>
          <w:sz w:val="32"/>
          <w:szCs w:val="27"/>
          <w:shd w:val="clear" w:fill="FFFFFF"/>
          <w:lang w:val="en-US" w:eastAsia="zh-CN"/>
        </w:rPr>
        <w:t>3</w:t>
      </w:r>
      <w:r>
        <w:rPr>
          <w:rFonts w:hint="default" w:ascii="宋体" w:hAnsi="宋体" w:eastAsia="方正仿宋简体" w:cs="宋体"/>
          <w:b w:val="0"/>
          <w:i w:val="0"/>
          <w:caps w:val="0"/>
          <w:color w:val="333333"/>
          <w:spacing w:val="0"/>
          <w:sz w:val="32"/>
          <w:szCs w:val="27"/>
          <w:shd w:val="clear" w:fill="FFFFFF"/>
        </w:rPr>
        <w:t>.产出质量</w:t>
      </w:r>
      <w:r>
        <w:rPr>
          <w:rFonts w:hint="eastAsia" w:ascii="宋体" w:hAnsi="宋体" w:eastAsia="方正仿宋简体" w:cs="宋体"/>
          <w:b w:val="0"/>
          <w:i w:val="0"/>
          <w:caps w:val="0"/>
          <w:color w:val="333333"/>
          <w:spacing w:val="0"/>
          <w:sz w:val="32"/>
          <w:szCs w:val="27"/>
          <w:shd w:val="clear" w:fill="FFFFFF"/>
          <w:lang w:val="en-US" w:eastAsia="zh-CN"/>
        </w:rPr>
        <w:t>和时效</w:t>
      </w:r>
      <w:r>
        <w:rPr>
          <w:rFonts w:hint="default" w:ascii="宋体" w:hAnsi="宋体" w:eastAsia="方正仿宋简体" w:cs="宋体"/>
          <w:b w:val="0"/>
          <w:i w:val="0"/>
          <w:caps w:val="0"/>
          <w:color w:val="333333"/>
          <w:spacing w:val="0"/>
          <w:sz w:val="32"/>
          <w:szCs w:val="27"/>
          <w:shd w:val="clear" w:fill="FFFFFF"/>
        </w:rPr>
        <w:t>方面。</w:t>
      </w:r>
      <w:r>
        <w:rPr>
          <w:rFonts w:hint="eastAsia" w:ascii="宋体" w:hAnsi="宋体" w:eastAsia="方正仿宋简体" w:cs="宋体"/>
          <w:b w:val="0"/>
          <w:i w:val="0"/>
          <w:caps w:val="0"/>
          <w:color w:val="333333"/>
          <w:spacing w:val="0"/>
          <w:sz w:val="32"/>
          <w:szCs w:val="27"/>
          <w:shd w:val="clear" w:fill="FFFFFF"/>
          <w:lang w:val="en-US" w:eastAsia="zh-CN"/>
        </w:rPr>
        <w:t>对网上有害信息进行及时</w:t>
      </w:r>
      <w:r>
        <w:rPr>
          <w:rFonts w:hint="eastAsia" w:ascii="宋体" w:hAnsi="宋体" w:eastAsia="方正仿宋简体" w:cs="宋体"/>
          <w:b w:val="0"/>
          <w:i w:val="0"/>
          <w:caps w:val="0"/>
          <w:color w:val="333333"/>
          <w:spacing w:val="0"/>
          <w:sz w:val="32"/>
          <w:szCs w:val="24"/>
          <w:shd w:val="clear" w:fill="FFFFFF"/>
          <w:lang w:val="en-US" w:eastAsia="zh-CN"/>
        </w:rPr>
        <w:t>处置，处置有效率达100%，及时率100%。未发生舆情炒作。</w:t>
      </w:r>
    </w:p>
    <w:p w14:paraId="3767A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宋体" w:hAnsi="宋体" w:eastAsia="方正仿宋简体" w:cs="宋体"/>
          <w:b w:val="0"/>
          <w:color w:val="333333"/>
          <w:sz w:val="32"/>
          <w:szCs w:val="24"/>
        </w:rPr>
      </w:pPr>
      <w:r>
        <w:rPr>
          <w:rFonts w:hint="default" w:ascii="宋体" w:hAnsi="宋体" w:eastAsia="方正仿宋简体" w:cs="宋体"/>
          <w:b w:val="0"/>
          <w:i w:val="0"/>
          <w:caps w:val="0"/>
          <w:color w:val="333333"/>
          <w:spacing w:val="0"/>
          <w:sz w:val="32"/>
          <w:szCs w:val="27"/>
          <w:shd w:val="clear" w:fill="FFFFFF"/>
        </w:rPr>
        <w:t>（四）效益情况分析</w:t>
      </w:r>
    </w:p>
    <w:p w14:paraId="49B45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宋体" w:hAnsi="宋体" w:eastAsia="方正仿宋简体" w:cs="宋体"/>
          <w:b w:val="0"/>
          <w:i w:val="0"/>
          <w:caps w:val="0"/>
          <w:color w:val="333333"/>
          <w:spacing w:val="0"/>
          <w:sz w:val="32"/>
          <w:szCs w:val="24"/>
          <w:shd w:val="clear" w:fill="FFFFFF"/>
        </w:rPr>
        <w:t>效益情况包括</w:t>
      </w:r>
      <w:r>
        <w:rPr>
          <w:rFonts w:hint="eastAsia" w:ascii="宋体" w:hAnsi="宋体" w:eastAsia="方正仿宋简体" w:cs="宋体"/>
          <w:b w:val="0"/>
          <w:i w:val="0"/>
          <w:caps w:val="0"/>
          <w:color w:val="333333"/>
          <w:spacing w:val="0"/>
          <w:sz w:val="32"/>
          <w:szCs w:val="24"/>
          <w:shd w:val="clear" w:fill="FFFFFF"/>
          <w:lang w:val="en-US" w:eastAsia="zh-CN"/>
        </w:rPr>
        <w:t>社会、经济、生态</w:t>
      </w:r>
      <w:r>
        <w:rPr>
          <w:rFonts w:hint="default" w:ascii="宋体" w:hAnsi="宋体" w:eastAsia="方正仿宋简体" w:cs="宋体"/>
          <w:b w:val="0"/>
          <w:i w:val="0"/>
          <w:caps w:val="0"/>
          <w:color w:val="333333"/>
          <w:spacing w:val="0"/>
          <w:sz w:val="32"/>
          <w:szCs w:val="24"/>
          <w:shd w:val="clear" w:fill="FFFFFF"/>
        </w:rPr>
        <w:t>效益、满意度</w:t>
      </w:r>
      <w:r>
        <w:rPr>
          <w:rFonts w:hint="eastAsia" w:ascii="宋体" w:hAnsi="宋体" w:eastAsia="方正仿宋简体" w:cs="宋体"/>
          <w:b w:val="0"/>
          <w:i w:val="0"/>
          <w:caps w:val="0"/>
          <w:color w:val="333333"/>
          <w:spacing w:val="0"/>
          <w:sz w:val="32"/>
          <w:szCs w:val="24"/>
          <w:shd w:val="clear" w:fill="FFFFFF"/>
          <w:lang w:eastAsia="zh-CN"/>
        </w:rPr>
        <w:t>、</w:t>
      </w:r>
      <w:r>
        <w:rPr>
          <w:rFonts w:hint="eastAsia" w:ascii="宋体" w:hAnsi="宋体" w:eastAsia="方正仿宋简体" w:cs="宋体"/>
          <w:b w:val="0"/>
          <w:i w:val="0"/>
          <w:caps w:val="0"/>
          <w:color w:val="333333"/>
          <w:spacing w:val="0"/>
          <w:sz w:val="32"/>
          <w:szCs w:val="24"/>
          <w:shd w:val="clear" w:fill="FFFFFF"/>
          <w:lang w:val="en-US" w:eastAsia="zh-CN"/>
        </w:rPr>
        <w:t>可持续影响六</w:t>
      </w:r>
      <w:r>
        <w:rPr>
          <w:rFonts w:hint="default" w:ascii="宋体" w:hAnsi="宋体" w:eastAsia="方正仿宋简体" w:cs="宋体"/>
          <w:b w:val="0"/>
          <w:i w:val="0"/>
          <w:caps w:val="0"/>
          <w:color w:val="333333"/>
          <w:spacing w:val="0"/>
          <w:sz w:val="32"/>
          <w:szCs w:val="24"/>
          <w:shd w:val="clear" w:fill="FFFFFF"/>
        </w:rPr>
        <w:t>方面，满分为</w:t>
      </w:r>
      <w:r>
        <w:rPr>
          <w:rFonts w:hint="eastAsia" w:ascii="宋体" w:hAnsi="宋体" w:eastAsia="方正仿宋简体" w:cs="宋体"/>
          <w:b w:val="0"/>
          <w:i w:val="0"/>
          <w:caps w:val="0"/>
          <w:color w:val="333333"/>
          <w:spacing w:val="0"/>
          <w:sz w:val="32"/>
          <w:szCs w:val="24"/>
          <w:shd w:val="clear" w:fill="FFFFFF"/>
          <w:lang w:val="en-US" w:eastAsia="zh-CN"/>
        </w:rPr>
        <w:t>50</w:t>
      </w:r>
      <w:r>
        <w:rPr>
          <w:rFonts w:hint="default" w:ascii="宋体" w:hAnsi="宋体" w:eastAsia="方正仿宋简体" w:cs="宋体"/>
          <w:b w:val="0"/>
          <w:i w:val="0"/>
          <w:caps w:val="0"/>
          <w:color w:val="333333"/>
          <w:spacing w:val="0"/>
          <w:sz w:val="32"/>
          <w:szCs w:val="24"/>
          <w:shd w:val="clear" w:fill="FFFFFF"/>
        </w:rPr>
        <w:t>分，得分</w:t>
      </w:r>
      <w:r>
        <w:rPr>
          <w:rFonts w:hint="eastAsia" w:ascii="宋体" w:hAnsi="宋体" w:eastAsia="方正仿宋简体" w:cs="宋体"/>
          <w:b w:val="0"/>
          <w:i w:val="0"/>
          <w:caps w:val="0"/>
          <w:color w:val="333333"/>
          <w:spacing w:val="0"/>
          <w:sz w:val="32"/>
          <w:szCs w:val="24"/>
          <w:shd w:val="clear" w:fill="FFFFFF"/>
          <w:lang w:val="en-US" w:eastAsia="zh-CN"/>
        </w:rPr>
        <w:t>50</w:t>
      </w:r>
      <w:r>
        <w:rPr>
          <w:rFonts w:hint="default" w:ascii="宋体" w:hAnsi="宋体" w:eastAsia="方正仿宋简体" w:cs="宋体"/>
          <w:b w:val="0"/>
          <w:i w:val="0"/>
          <w:caps w:val="0"/>
          <w:color w:val="333333"/>
          <w:spacing w:val="0"/>
          <w:sz w:val="32"/>
          <w:szCs w:val="24"/>
          <w:shd w:val="clear" w:fill="FFFFFF"/>
        </w:rPr>
        <w:t>分，得分率</w:t>
      </w:r>
      <w:r>
        <w:rPr>
          <w:rFonts w:hint="eastAsia" w:ascii="宋体" w:hAnsi="宋体" w:eastAsia="方正仿宋简体" w:cs="宋体"/>
          <w:b w:val="0"/>
          <w:i w:val="0"/>
          <w:caps w:val="0"/>
          <w:color w:val="333333"/>
          <w:spacing w:val="0"/>
          <w:sz w:val="32"/>
          <w:szCs w:val="24"/>
          <w:shd w:val="clear" w:fill="FFFFFF"/>
          <w:lang w:val="en-US" w:eastAsia="zh-CN"/>
        </w:rPr>
        <w:t>100</w:t>
      </w:r>
      <w:r>
        <w:rPr>
          <w:rFonts w:hint="default" w:ascii="宋体" w:hAnsi="宋体" w:eastAsia="方正仿宋简体" w:cs="宋体"/>
          <w:b w:val="0"/>
          <w:i w:val="0"/>
          <w:caps w:val="0"/>
          <w:color w:val="333333"/>
          <w:spacing w:val="0"/>
          <w:sz w:val="32"/>
          <w:szCs w:val="24"/>
          <w:shd w:val="clear" w:fill="FFFFFF"/>
        </w:rPr>
        <w:t>%。具体绩效评价效果情况</w:t>
      </w:r>
      <w:r>
        <w:rPr>
          <w:rFonts w:hint="eastAsia" w:ascii="宋体" w:hAnsi="宋体" w:eastAsia="方正仿宋简体" w:cs="宋体"/>
          <w:b w:val="0"/>
          <w:i w:val="0"/>
          <w:caps w:val="0"/>
          <w:color w:val="333333"/>
          <w:spacing w:val="0"/>
          <w:sz w:val="32"/>
          <w:szCs w:val="24"/>
          <w:shd w:val="clear" w:fill="FFFFFF"/>
          <w:lang w:val="en-US" w:eastAsia="zh-CN"/>
        </w:rPr>
        <w:t>详见项目支出自评表。</w:t>
      </w:r>
    </w:p>
    <w:p w14:paraId="4A29438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五、主要经验及做法、存在的问题及原因分析</w:t>
      </w:r>
    </w:p>
    <w:p w14:paraId="4D0F58C3">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0"/>
          <w:sz w:val="32"/>
          <w:szCs w:val="27"/>
          <w:shd w:val="clear" w:fill="FFFFFF"/>
          <w:lang w:val="en-US" w:eastAsia="zh-CN" w:bidi="ar"/>
        </w:rPr>
      </w:pPr>
      <w:r>
        <w:rPr>
          <w:rFonts w:hint="eastAsia" w:ascii="宋体" w:hAnsi="宋体" w:eastAsia="方正仿宋简体" w:cs="宋体"/>
          <w:b w:val="0"/>
          <w:i w:val="0"/>
          <w:caps w:val="0"/>
          <w:color w:val="333333"/>
          <w:spacing w:val="0"/>
          <w:kern w:val="0"/>
          <w:sz w:val="32"/>
          <w:szCs w:val="27"/>
          <w:shd w:val="clear" w:fill="FFFFFF"/>
          <w:lang w:val="en-US" w:eastAsia="zh-CN" w:bidi="ar"/>
        </w:rPr>
        <w:t>单位领导高度重视，在部门预算的调整、资金的下达、部门预算的执行及项目后期的绩效评价过程中，凡属于“三重一大”的事项均通过集体研究通过。特别是在部门预算的执行过程中，高度重视预算的执行及执行过程对资金使用的监督和指导，确保项目资金使用合理、合规。但也存在支出指标设置的不够细化、量化的问题，下一步将专门针对县委网信办部门整体支出的特点，强化预算绩效申报工作，强化项目实施方案预报，保证质量，在计划期内完成目标任务并达到预期效益。</w:t>
      </w:r>
    </w:p>
    <w:p w14:paraId="7265C785">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eastAsia="黑体"/>
          <w:sz w:val="32"/>
          <w:szCs w:val="32"/>
        </w:rPr>
      </w:pPr>
      <w:r>
        <w:rPr>
          <w:rFonts w:hint="eastAsia" w:eastAsia="黑体"/>
          <w:sz w:val="32"/>
          <w:szCs w:val="32"/>
        </w:rPr>
        <w:t>有关建议</w:t>
      </w:r>
    </w:p>
    <w:p w14:paraId="32D57764">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0"/>
          <w:sz w:val="32"/>
          <w:szCs w:val="27"/>
          <w:shd w:val="clear" w:fill="FFFFFF"/>
          <w:lang w:val="en-US" w:eastAsia="zh-CN" w:bidi="ar"/>
        </w:rPr>
      </w:pPr>
      <w:r>
        <w:rPr>
          <w:rFonts w:hint="eastAsia" w:ascii="宋体" w:hAnsi="宋体" w:eastAsia="方正仿宋简体" w:cs="宋体"/>
          <w:b w:val="0"/>
          <w:i w:val="0"/>
          <w:caps w:val="0"/>
          <w:color w:val="333333"/>
          <w:spacing w:val="0"/>
          <w:kern w:val="0"/>
          <w:sz w:val="32"/>
          <w:szCs w:val="27"/>
          <w:shd w:val="clear" w:fill="FFFFFF"/>
          <w:lang w:val="en-US" w:eastAsia="zh-CN" w:bidi="ar"/>
        </w:rPr>
        <w:t>建立和完善长效机制，把绩效评价作为部门的日常性工作，建立绩效评价管理工作考核的长效机制。</w:t>
      </w:r>
    </w:p>
    <w:p w14:paraId="7460C1B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hint="eastAsia" w:eastAsia="黑体"/>
          <w:sz w:val="32"/>
          <w:szCs w:val="32"/>
        </w:rPr>
        <w:t>七、其他需要说明的问题</w:t>
      </w:r>
    </w:p>
    <w:p w14:paraId="4CC7307D">
      <w:pPr>
        <w:pStyle w:val="2"/>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宋体" w:hAnsi="宋体" w:eastAsia="方正仿宋简体" w:cs="宋体"/>
          <w:b w:val="0"/>
          <w:i w:val="0"/>
          <w:caps w:val="0"/>
          <w:color w:val="333333"/>
          <w:spacing w:val="0"/>
          <w:kern w:val="0"/>
          <w:sz w:val="32"/>
          <w:szCs w:val="27"/>
          <w:shd w:val="clear" w:fill="FFFFFF"/>
          <w:lang w:val="en-US" w:eastAsia="zh-CN" w:bidi="ar"/>
        </w:rPr>
      </w:pPr>
      <w:r>
        <w:rPr>
          <w:rFonts w:hint="eastAsia" w:ascii="宋体" w:hAnsi="宋体" w:eastAsia="方正仿宋简体" w:cs="宋体"/>
          <w:b w:val="0"/>
          <w:i w:val="0"/>
          <w:caps w:val="0"/>
          <w:color w:val="333333"/>
          <w:spacing w:val="0"/>
          <w:kern w:val="0"/>
          <w:sz w:val="32"/>
          <w:szCs w:val="27"/>
          <w:shd w:val="clear" w:fill="FFFFFF"/>
          <w:lang w:val="en-US" w:eastAsia="zh-CN" w:bidi="ar"/>
        </w:rPr>
        <w:t>无</w:t>
      </w:r>
    </w:p>
    <w:p w14:paraId="2C2A78E7">
      <w:pPr>
        <w:widowControl/>
        <w:spacing w:line="600" w:lineRule="exact"/>
        <w:jc w:val="center"/>
        <w:rPr>
          <w:rFonts w:ascii="方正小标宋_GBK" w:hAnsi="宋体" w:eastAsia="方正小标宋_GBK" w:cs="宋体"/>
          <w:bCs/>
          <w:kern w:val="0"/>
          <w:sz w:val="44"/>
          <w:szCs w:val="44"/>
        </w:rPr>
      </w:pPr>
    </w:p>
    <w:p w14:paraId="0B98CA96">
      <w:pPr>
        <w:spacing w:line="600" w:lineRule="exact"/>
        <w:rPr>
          <w:rFonts w:ascii="仿宋_GB2312" w:eastAsia="仿宋_GB2312"/>
          <w:sz w:val="32"/>
          <w:szCs w:val="32"/>
        </w:rPr>
      </w:pPr>
    </w:p>
    <w:p w14:paraId="5AECB864">
      <w:pPr>
        <w:spacing w:line="600" w:lineRule="exact"/>
        <w:ind w:firstLine="640" w:firstLineChars="200"/>
        <w:rPr>
          <w:rFonts w:eastAsia="黑体"/>
          <w:sz w:val="32"/>
          <w:szCs w:val="32"/>
        </w:rPr>
      </w:pPr>
      <w:r>
        <w:rPr>
          <w:rFonts w:eastAsia="黑体"/>
          <w:sz w:val="32"/>
          <w:szCs w:val="32"/>
        </w:rPr>
        <w:br w:type="page"/>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962"/>
        <w:gridCol w:w="172"/>
        <w:gridCol w:w="403"/>
        <w:gridCol w:w="306"/>
        <w:gridCol w:w="219"/>
        <w:gridCol w:w="632"/>
        <w:gridCol w:w="708"/>
      </w:tblGrid>
      <w:tr w14:paraId="578B9699">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14:paraId="296E49E4">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lang w:val="en-US" w:eastAsia="zh-CN"/>
              </w:rPr>
              <w:t>购买舆情监测服务</w:t>
            </w:r>
            <w:r>
              <w:rPr>
                <w:rFonts w:hint="eastAsia" w:ascii="宋体" w:hAnsi="宋体" w:cs="宋体"/>
                <w:b/>
                <w:bCs/>
                <w:kern w:val="0"/>
                <w:sz w:val="32"/>
                <w:szCs w:val="32"/>
              </w:rPr>
              <w:t>项目支出绩效自评表</w:t>
            </w:r>
          </w:p>
        </w:tc>
      </w:tr>
      <w:tr w14:paraId="688D1099">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14:paraId="69A52607">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 xml:space="preserve">  年度）</w:t>
            </w:r>
          </w:p>
        </w:tc>
      </w:tr>
      <w:tr w14:paraId="204B27B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7D5051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14:paraId="1C8DFD0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购买舆情监测服务</w:t>
            </w:r>
          </w:p>
        </w:tc>
      </w:tr>
      <w:tr w14:paraId="12B55404">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14:paraId="770B7D9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14:paraId="51F07A8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A3F80C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14:paraId="572E3CF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网信办</w:t>
            </w:r>
          </w:p>
        </w:tc>
      </w:tr>
      <w:tr w14:paraId="58D76A0A">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14:paraId="17C5C3E4">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14:paraId="49E2436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AA3F068">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14:paraId="4C9D126C">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vAlign w:val="center"/>
          </w:tcPr>
          <w:p w14:paraId="1AED28C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14:paraId="3ACBDD9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14:paraId="0F7FBC3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14:paraId="00B692A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46D519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2301BF80">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158BDAB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34CB6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vAlign w:val="center"/>
          </w:tcPr>
          <w:p w14:paraId="42E9388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vAlign w:val="center"/>
          </w:tcPr>
          <w:p w14:paraId="229A424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709" w:type="dxa"/>
            <w:gridSpan w:val="2"/>
            <w:tcBorders>
              <w:top w:val="nil"/>
              <w:left w:val="nil"/>
              <w:bottom w:val="single" w:color="auto" w:sz="4" w:space="0"/>
              <w:right w:val="single" w:color="auto" w:sz="4" w:space="0"/>
            </w:tcBorders>
            <w:vAlign w:val="center"/>
          </w:tcPr>
          <w:p w14:paraId="655885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14:paraId="16C3A5C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6B84C42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6C8797A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6ABA2DF">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A50B1D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14:paraId="7DBB7F6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vAlign w:val="center"/>
          </w:tcPr>
          <w:p w14:paraId="6FF088E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vAlign w:val="center"/>
          </w:tcPr>
          <w:p w14:paraId="7FE6E07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50.0</w:t>
            </w:r>
          </w:p>
        </w:tc>
        <w:tc>
          <w:tcPr>
            <w:tcW w:w="709" w:type="dxa"/>
            <w:gridSpan w:val="2"/>
            <w:tcBorders>
              <w:top w:val="nil"/>
              <w:left w:val="nil"/>
              <w:bottom w:val="single" w:color="auto" w:sz="4" w:space="0"/>
              <w:right w:val="single" w:color="auto" w:sz="4" w:space="0"/>
            </w:tcBorders>
            <w:vAlign w:val="center"/>
          </w:tcPr>
          <w:p w14:paraId="0885913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6FAE2DC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14:paraId="08002A1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F916D60">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01367A45">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45B6E04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47C0CD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27A852E">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276A470A">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160E84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0E6074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0FF2600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E4E555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14:paraId="7ED6AFF4">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14:paraId="5250BC1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4774E9A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6ED4B4D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14:paraId="7435B416">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14:paraId="093B41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14:paraId="2395E8F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14:paraId="3AAD2D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0C7B20">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14:paraId="4903509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14:paraId="456833D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14:paraId="51793CA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267C4E8">
        <w:tblPrEx>
          <w:tblCellMar>
            <w:top w:w="0" w:type="dxa"/>
            <w:left w:w="108" w:type="dxa"/>
            <w:bottom w:w="0" w:type="dxa"/>
            <w:right w:w="108" w:type="dxa"/>
          </w:tblCellMar>
        </w:tblPrEx>
        <w:trPr>
          <w:trHeight w:val="1900" w:hRule="exact"/>
          <w:jc w:val="center"/>
        </w:trPr>
        <w:tc>
          <w:tcPr>
            <w:tcW w:w="588" w:type="dxa"/>
            <w:vMerge w:val="continue"/>
            <w:tcBorders>
              <w:top w:val="nil"/>
              <w:left w:val="single" w:color="auto" w:sz="4" w:space="0"/>
              <w:bottom w:val="single" w:color="auto" w:sz="4" w:space="0"/>
              <w:right w:val="single" w:color="auto" w:sz="4" w:space="0"/>
            </w:tcBorders>
            <w:vAlign w:val="center"/>
          </w:tcPr>
          <w:p w14:paraId="467F9BFF">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14:paraId="4A64791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通过</w:t>
            </w:r>
            <w:r>
              <w:rPr>
                <w:rFonts w:hint="eastAsia" w:ascii="宋体" w:hAnsi="宋体" w:cs="宋体"/>
                <w:kern w:val="0"/>
                <w:sz w:val="18"/>
                <w:szCs w:val="18"/>
              </w:rPr>
              <w:t>购买常规舆情</w:t>
            </w:r>
            <w:r>
              <w:rPr>
                <w:rFonts w:hint="eastAsia" w:ascii="宋体" w:hAnsi="宋体" w:cs="宋体"/>
                <w:kern w:val="0"/>
                <w:sz w:val="18"/>
                <w:szCs w:val="18"/>
                <w:lang w:val="en-US" w:eastAsia="zh-CN"/>
              </w:rPr>
              <w:t>监测</w:t>
            </w:r>
            <w:r>
              <w:rPr>
                <w:rFonts w:hint="eastAsia" w:ascii="宋体" w:hAnsi="宋体" w:cs="宋体"/>
                <w:kern w:val="0"/>
                <w:sz w:val="18"/>
                <w:szCs w:val="18"/>
              </w:rPr>
              <w:t>服务，</w:t>
            </w:r>
            <w:r>
              <w:rPr>
                <w:rFonts w:hint="eastAsia" w:ascii="宋体" w:hAnsi="宋体" w:cs="宋体"/>
                <w:kern w:val="0"/>
                <w:sz w:val="18"/>
                <w:szCs w:val="18"/>
                <w:lang w:val="en-US" w:eastAsia="zh-CN"/>
              </w:rPr>
              <w:t>监</w:t>
            </w:r>
            <w:r>
              <w:rPr>
                <w:rFonts w:hint="eastAsia" w:ascii="宋体" w:hAnsi="宋体" w:cs="宋体"/>
                <w:kern w:val="0"/>
                <w:sz w:val="18"/>
                <w:szCs w:val="18"/>
              </w:rPr>
              <w:t>测和研判重大网络事件和舆情，及时处置舆情；持续开展属地网站、微信公众号、快手人工检测，</w:t>
            </w:r>
            <w:r>
              <w:rPr>
                <w:rFonts w:hint="eastAsia" w:ascii="宋体" w:hAnsi="宋体" w:cs="宋体"/>
                <w:kern w:val="0"/>
                <w:sz w:val="18"/>
                <w:szCs w:val="18"/>
                <w:lang w:val="en-US" w:eastAsia="zh-CN"/>
              </w:rPr>
              <w:t>保障我县网络安全，</w:t>
            </w:r>
            <w:r>
              <w:rPr>
                <w:rFonts w:hint="eastAsia" w:ascii="宋体" w:hAnsi="宋体" w:cs="宋体"/>
                <w:kern w:val="0"/>
                <w:sz w:val="18"/>
                <w:szCs w:val="18"/>
              </w:rPr>
              <w:t>营造清朗的网络空间</w:t>
            </w:r>
          </w:p>
        </w:tc>
        <w:tc>
          <w:tcPr>
            <w:tcW w:w="3402" w:type="dxa"/>
            <w:gridSpan w:val="7"/>
            <w:tcBorders>
              <w:top w:val="single" w:color="auto" w:sz="4" w:space="0"/>
              <w:left w:val="nil"/>
              <w:bottom w:val="single" w:color="auto" w:sz="4" w:space="0"/>
              <w:right w:val="single" w:color="auto" w:sz="4" w:space="0"/>
            </w:tcBorders>
            <w:vAlign w:val="center"/>
          </w:tcPr>
          <w:p w14:paraId="6756B76B">
            <w:pPr>
              <w:rPr>
                <w:rFonts w:hint="eastAsia" w:ascii="宋体" w:hAnsi="宋体" w:cs="宋体"/>
                <w:kern w:val="0"/>
                <w:sz w:val="18"/>
                <w:szCs w:val="18"/>
                <w:lang w:val="en-US" w:eastAsia="zh-CN"/>
              </w:rPr>
            </w:pPr>
            <w:r>
              <w:rPr>
                <w:rFonts w:hint="eastAsia" w:ascii="宋体" w:hAnsi="宋体" w:cs="宋体"/>
                <w:kern w:val="0"/>
                <w:sz w:val="18"/>
                <w:szCs w:val="18"/>
                <w:lang w:val="en-US" w:eastAsia="zh-CN"/>
              </w:rPr>
              <w:t>购买了舆情监测服务，监测和研判重大网络事件和舆情处置，全年无重大舆情炒作发生，营造了清朗的网络空间。与上市网络安全技术公司天融信合作，对全县机关事业单位网站建立线上网络安全监测体系，我县零事故、零隐患。</w:t>
            </w:r>
          </w:p>
          <w:p w14:paraId="56FE4D58">
            <w:pPr>
              <w:rPr>
                <w:rFonts w:hint="default" w:ascii="宋体" w:hAnsi="宋体" w:cs="宋体"/>
                <w:kern w:val="0"/>
                <w:sz w:val="18"/>
                <w:szCs w:val="18"/>
                <w:lang w:val="en-US" w:eastAsia="zh-CN"/>
              </w:rPr>
            </w:pPr>
          </w:p>
        </w:tc>
      </w:tr>
      <w:tr w14:paraId="341B74CF">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vAlign w:val="center"/>
          </w:tcPr>
          <w:p w14:paraId="31765729">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14:paraId="0975D2F0">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14:paraId="776B3D70">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14:paraId="0A4DF51F">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14:paraId="3B8F3601">
            <w:pPr>
              <w:widowControl/>
              <w:jc w:val="center"/>
              <w:rPr>
                <w:rFonts w:ascii="宋体" w:hAnsi="宋体" w:cs="宋体"/>
                <w:kern w:val="0"/>
                <w:sz w:val="18"/>
                <w:szCs w:val="18"/>
              </w:rPr>
            </w:pPr>
            <w:r>
              <w:rPr>
                <w:rFonts w:hint="eastAsia" w:ascii="宋体" w:hAnsi="宋体" w:cs="宋体"/>
                <w:kern w:val="0"/>
                <w:sz w:val="18"/>
                <w:szCs w:val="18"/>
              </w:rPr>
              <w:t>年度</w:t>
            </w:r>
          </w:p>
          <w:p w14:paraId="58103AEB">
            <w:pPr>
              <w:widowControl/>
              <w:jc w:val="center"/>
              <w:rPr>
                <w:rFonts w:ascii="宋体" w:hAnsi="宋体" w:cs="宋体"/>
                <w:kern w:val="0"/>
                <w:sz w:val="18"/>
                <w:szCs w:val="18"/>
              </w:rPr>
            </w:pPr>
            <w:r>
              <w:rPr>
                <w:rFonts w:hint="eastAsia" w:ascii="宋体" w:hAnsi="宋体" w:cs="宋体"/>
                <w:kern w:val="0"/>
                <w:sz w:val="18"/>
                <w:szCs w:val="18"/>
              </w:rPr>
              <w:t>指标值</w:t>
            </w:r>
          </w:p>
        </w:tc>
        <w:tc>
          <w:tcPr>
            <w:tcW w:w="962" w:type="dxa"/>
            <w:tcBorders>
              <w:top w:val="nil"/>
              <w:left w:val="nil"/>
              <w:bottom w:val="single" w:color="auto" w:sz="4" w:space="0"/>
              <w:right w:val="single" w:color="auto" w:sz="4" w:space="0"/>
            </w:tcBorders>
            <w:vAlign w:val="center"/>
          </w:tcPr>
          <w:p w14:paraId="43518638">
            <w:pPr>
              <w:widowControl/>
              <w:jc w:val="center"/>
              <w:rPr>
                <w:rFonts w:ascii="宋体" w:hAnsi="宋体" w:cs="宋体"/>
                <w:kern w:val="0"/>
                <w:sz w:val="18"/>
                <w:szCs w:val="18"/>
              </w:rPr>
            </w:pPr>
            <w:r>
              <w:rPr>
                <w:rFonts w:hint="eastAsia" w:ascii="宋体" w:hAnsi="宋体" w:cs="宋体"/>
                <w:kern w:val="0"/>
                <w:sz w:val="18"/>
                <w:szCs w:val="18"/>
              </w:rPr>
              <w:t>实际</w:t>
            </w:r>
          </w:p>
          <w:p w14:paraId="592DEF0E">
            <w:pPr>
              <w:widowControl/>
              <w:jc w:val="center"/>
              <w:rPr>
                <w:rFonts w:ascii="宋体" w:hAnsi="宋体" w:cs="宋体"/>
                <w:kern w:val="0"/>
                <w:sz w:val="18"/>
                <w:szCs w:val="18"/>
              </w:rPr>
            </w:pPr>
            <w:r>
              <w:rPr>
                <w:rFonts w:hint="eastAsia" w:ascii="宋体" w:hAnsi="宋体" w:cs="宋体"/>
                <w:kern w:val="0"/>
                <w:sz w:val="18"/>
                <w:szCs w:val="18"/>
              </w:rPr>
              <w:t>完成值</w:t>
            </w:r>
          </w:p>
        </w:tc>
        <w:tc>
          <w:tcPr>
            <w:tcW w:w="575" w:type="dxa"/>
            <w:gridSpan w:val="2"/>
            <w:tcBorders>
              <w:top w:val="nil"/>
              <w:left w:val="nil"/>
              <w:bottom w:val="single" w:color="auto" w:sz="4" w:space="0"/>
              <w:right w:val="single" w:color="auto" w:sz="4" w:space="0"/>
            </w:tcBorders>
            <w:vAlign w:val="center"/>
          </w:tcPr>
          <w:p w14:paraId="2348C503">
            <w:pPr>
              <w:widowControl/>
              <w:jc w:val="center"/>
              <w:rPr>
                <w:rFonts w:ascii="宋体" w:hAnsi="宋体" w:cs="宋体"/>
                <w:kern w:val="0"/>
                <w:sz w:val="18"/>
                <w:szCs w:val="18"/>
              </w:rPr>
            </w:pPr>
            <w:r>
              <w:rPr>
                <w:rFonts w:hint="eastAsia" w:ascii="宋体" w:hAnsi="宋体" w:cs="宋体"/>
                <w:kern w:val="0"/>
                <w:sz w:val="18"/>
                <w:szCs w:val="18"/>
              </w:rPr>
              <w:t>分值</w:t>
            </w:r>
          </w:p>
        </w:tc>
        <w:tc>
          <w:tcPr>
            <w:tcW w:w="525" w:type="dxa"/>
            <w:gridSpan w:val="2"/>
            <w:tcBorders>
              <w:top w:val="nil"/>
              <w:left w:val="nil"/>
              <w:bottom w:val="single" w:color="auto" w:sz="4" w:space="0"/>
              <w:right w:val="single" w:color="auto" w:sz="4" w:space="0"/>
            </w:tcBorders>
            <w:vAlign w:val="center"/>
          </w:tcPr>
          <w:p w14:paraId="62009EF5">
            <w:pPr>
              <w:widowControl/>
              <w:jc w:val="center"/>
              <w:rPr>
                <w:rFonts w:ascii="宋体" w:hAnsi="宋体" w:cs="宋体"/>
                <w:kern w:val="0"/>
                <w:sz w:val="18"/>
                <w:szCs w:val="18"/>
              </w:rPr>
            </w:pPr>
            <w:r>
              <w:rPr>
                <w:rFonts w:hint="eastAsia" w:ascii="宋体" w:hAnsi="宋体" w:cs="宋体"/>
                <w:kern w:val="0"/>
                <w:sz w:val="18"/>
                <w:szCs w:val="18"/>
              </w:rPr>
              <w:t>得分</w:t>
            </w:r>
          </w:p>
        </w:tc>
        <w:tc>
          <w:tcPr>
            <w:tcW w:w="1340" w:type="dxa"/>
            <w:gridSpan w:val="2"/>
            <w:tcBorders>
              <w:top w:val="single" w:color="auto" w:sz="4" w:space="0"/>
              <w:left w:val="nil"/>
              <w:bottom w:val="single" w:color="auto" w:sz="4" w:space="0"/>
              <w:right w:val="single" w:color="auto" w:sz="4" w:space="0"/>
            </w:tcBorders>
            <w:vAlign w:val="center"/>
          </w:tcPr>
          <w:p w14:paraId="463A3E8E">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D8B3171">
        <w:tblPrEx>
          <w:tblCellMar>
            <w:top w:w="0" w:type="dxa"/>
            <w:left w:w="108" w:type="dxa"/>
            <w:bottom w:w="0" w:type="dxa"/>
            <w:right w:w="108" w:type="dxa"/>
          </w:tblCellMar>
        </w:tblPrEx>
        <w:trPr>
          <w:trHeight w:val="766" w:hRule="exact"/>
          <w:jc w:val="center"/>
        </w:trPr>
        <w:tc>
          <w:tcPr>
            <w:tcW w:w="588" w:type="dxa"/>
            <w:vMerge w:val="continue"/>
            <w:tcBorders>
              <w:left w:val="single" w:color="auto" w:sz="4" w:space="0"/>
              <w:right w:val="single" w:color="auto" w:sz="4" w:space="0"/>
            </w:tcBorders>
            <w:vAlign w:val="center"/>
          </w:tcPr>
          <w:p w14:paraId="4DB29827">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14:paraId="11E61CF9">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14:paraId="388D2C74">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14:paraId="2A1EBDAD">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监测舆情事件</w:t>
            </w:r>
          </w:p>
        </w:tc>
        <w:tc>
          <w:tcPr>
            <w:tcW w:w="850" w:type="dxa"/>
            <w:tcBorders>
              <w:top w:val="nil"/>
              <w:left w:val="nil"/>
              <w:bottom w:val="single" w:color="auto" w:sz="4" w:space="0"/>
              <w:right w:val="single" w:color="auto" w:sz="4" w:space="0"/>
            </w:tcBorders>
            <w:vAlign w:val="center"/>
          </w:tcPr>
          <w:p w14:paraId="0C5C8F9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涉乐舆情</w:t>
            </w:r>
          </w:p>
        </w:tc>
        <w:tc>
          <w:tcPr>
            <w:tcW w:w="962" w:type="dxa"/>
            <w:tcBorders>
              <w:top w:val="nil"/>
              <w:left w:val="nil"/>
              <w:bottom w:val="single" w:color="auto" w:sz="4" w:space="0"/>
              <w:right w:val="single" w:color="auto" w:sz="4" w:space="0"/>
            </w:tcBorders>
            <w:vAlign w:val="center"/>
          </w:tcPr>
          <w:p w14:paraId="183AAE3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2000余条</w:t>
            </w:r>
          </w:p>
        </w:tc>
        <w:tc>
          <w:tcPr>
            <w:tcW w:w="575" w:type="dxa"/>
            <w:gridSpan w:val="2"/>
            <w:tcBorders>
              <w:top w:val="nil"/>
              <w:left w:val="nil"/>
              <w:bottom w:val="single" w:color="auto" w:sz="4" w:space="0"/>
              <w:right w:val="single" w:color="auto" w:sz="4" w:space="0"/>
            </w:tcBorders>
            <w:vAlign w:val="center"/>
          </w:tcPr>
          <w:p w14:paraId="2A17D9B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vAlign w:val="center"/>
          </w:tcPr>
          <w:p w14:paraId="41193E90">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340" w:type="dxa"/>
            <w:gridSpan w:val="2"/>
            <w:tcBorders>
              <w:top w:val="single" w:color="auto" w:sz="4" w:space="0"/>
              <w:left w:val="nil"/>
              <w:bottom w:val="single" w:color="auto" w:sz="4" w:space="0"/>
              <w:right w:val="single" w:color="auto" w:sz="4" w:space="0"/>
            </w:tcBorders>
            <w:vAlign w:val="center"/>
          </w:tcPr>
          <w:p w14:paraId="526DB019">
            <w:pPr>
              <w:widowControl/>
              <w:jc w:val="center"/>
              <w:rPr>
                <w:rFonts w:ascii="宋体" w:hAnsi="宋体" w:cs="宋体"/>
                <w:kern w:val="0"/>
                <w:sz w:val="18"/>
                <w:szCs w:val="18"/>
              </w:rPr>
            </w:pPr>
          </w:p>
        </w:tc>
      </w:tr>
      <w:tr w14:paraId="1F26C7CB">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74518CC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55437FB9">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4AA3ADC9">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14:paraId="7F1AE31C">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网络有害信息处置率</w:t>
            </w:r>
          </w:p>
        </w:tc>
        <w:tc>
          <w:tcPr>
            <w:tcW w:w="850" w:type="dxa"/>
            <w:tcBorders>
              <w:top w:val="nil"/>
              <w:left w:val="nil"/>
              <w:bottom w:val="single" w:color="auto" w:sz="4" w:space="0"/>
              <w:right w:val="single" w:color="auto" w:sz="4" w:space="0"/>
            </w:tcBorders>
            <w:vAlign w:val="center"/>
          </w:tcPr>
          <w:p w14:paraId="1414CE0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962" w:type="dxa"/>
            <w:tcBorders>
              <w:top w:val="nil"/>
              <w:left w:val="nil"/>
              <w:bottom w:val="single" w:color="auto" w:sz="4" w:space="0"/>
              <w:right w:val="single" w:color="auto" w:sz="4" w:space="0"/>
            </w:tcBorders>
            <w:vAlign w:val="center"/>
          </w:tcPr>
          <w:p w14:paraId="09B9EB2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5" w:type="dxa"/>
            <w:gridSpan w:val="2"/>
            <w:tcBorders>
              <w:top w:val="nil"/>
              <w:left w:val="nil"/>
              <w:bottom w:val="single" w:color="auto" w:sz="4" w:space="0"/>
              <w:right w:val="single" w:color="auto" w:sz="4" w:space="0"/>
            </w:tcBorders>
            <w:vAlign w:val="center"/>
          </w:tcPr>
          <w:p w14:paraId="2DB141E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vAlign w:val="center"/>
          </w:tcPr>
          <w:p w14:paraId="3239438C">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340" w:type="dxa"/>
            <w:gridSpan w:val="2"/>
            <w:tcBorders>
              <w:top w:val="single" w:color="auto" w:sz="4" w:space="0"/>
              <w:left w:val="nil"/>
              <w:bottom w:val="single" w:color="auto" w:sz="4" w:space="0"/>
              <w:right w:val="single" w:color="auto" w:sz="4" w:space="0"/>
            </w:tcBorders>
            <w:vAlign w:val="center"/>
          </w:tcPr>
          <w:p w14:paraId="264B80E3">
            <w:pPr>
              <w:widowControl/>
              <w:jc w:val="center"/>
              <w:rPr>
                <w:rFonts w:ascii="宋体" w:hAnsi="宋体" w:cs="宋体"/>
                <w:kern w:val="0"/>
                <w:sz w:val="18"/>
                <w:szCs w:val="18"/>
              </w:rPr>
            </w:pPr>
          </w:p>
        </w:tc>
      </w:tr>
      <w:tr w14:paraId="03BDA56F">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07321C04">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77B2F9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7D437FA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14:paraId="7F865F32">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处置的及时率</w:t>
            </w:r>
          </w:p>
        </w:tc>
        <w:tc>
          <w:tcPr>
            <w:tcW w:w="850" w:type="dxa"/>
            <w:tcBorders>
              <w:top w:val="nil"/>
              <w:left w:val="nil"/>
              <w:bottom w:val="single" w:color="auto" w:sz="4" w:space="0"/>
              <w:right w:val="single" w:color="auto" w:sz="4" w:space="0"/>
            </w:tcBorders>
            <w:vAlign w:val="center"/>
          </w:tcPr>
          <w:p w14:paraId="51192D4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及时性</w:t>
            </w:r>
          </w:p>
        </w:tc>
        <w:tc>
          <w:tcPr>
            <w:tcW w:w="962" w:type="dxa"/>
            <w:tcBorders>
              <w:top w:val="nil"/>
              <w:left w:val="nil"/>
              <w:bottom w:val="single" w:color="auto" w:sz="4" w:space="0"/>
              <w:right w:val="single" w:color="auto" w:sz="4" w:space="0"/>
            </w:tcBorders>
            <w:vAlign w:val="center"/>
          </w:tcPr>
          <w:p w14:paraId="0B8305F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5" w:type="dxa"/>
            <w:gridSpan w:val="2"/>
            <w:tcBorders>
              <w:top w:val="nil"/>
              <w:left w:val="nil"/>
              <w:bottom w:val="single" w:color="auto" w:sz="4" w:space="0"/>
              <w:right w:val="single" w:color="auto" w:sz="4" w:space="0"/>
            </w:tcBorders>
            <w:vAlign w:val="center"/>
          </w:tcPr>
          <w:p w14:paraId="434EA32A">
            <w:pPr>
              <w:widowControl/>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vAlign w:val="center"/>
          </w:tcPr>
          <w:p w14:paraId="5305741D">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340" w:type="dxa"/>
            <w:gridSpan w:val="2"/>
            <w:tcBorders>
              <w:top w:val="single" w:color="auto" w:sz="4" w:space="0"/>
              <w:left w:val="nil"/>
              <w:bottom w:val="single" w:color="auto" w:sz="4" w:space="0"/>
              <w:right w:val="single" w:color="auto" w:sz="4" w:space="0"/>
            </w:tcBorders>
            <w:vAlign w:val="center"/>
          </w:tcPr>
          <w:p w14:paraId="25EF6C76">
            <w:pPr>
              <w:widowControl/>
              <w:jc w:val="center"/>
              <w:rPr>
                <w:rFonts w:ascii="宋体" w:hAnsi="宋体" w:cs="宋体"/>
                <w:kern w:val="0"/>
                <w:sz w:val="18"/>
                <w:szCs w:val="18"/>
              </w:rPr>
            </w:pPr>
          </w:p>
        </w:tc>
      </w:tr>
      <w:tr w14:paraId="293F9A26">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vAlign w:val="center"/>
          </w:tcPr>
          <w:p w14:paraId="542FC27A">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7CFD618">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635D5369">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14:paraId="2C0FDDD4">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专项资金使用率</w:t>
            </w:r>
          </w:p>
        </w:tc>
        <w:tc>
          <w:tcPr>
            <w:tcW w:w="850" w:type="dxa"/>
            <w:tcBorders>
              <w:top w:val="nil"/>
              <w:left w:val="nil"/>
              <w:bottom w:val="single" w:color="auto" w:sz="4" w:space="0"/>
              <w:right w:val="single" w:color="auto" w:sz="4" w:space="0"/>
            </w:tcBorders>
            <w:vAlign w:val="center"/>
          </w:tcPr>
          <w:p w14:paraId="119C251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≤50万</w:t>
            </w:r>
          </w:p>
        </w:tc>
        <w:tc>
          <w:tcPr>
            <w:tcW w:w="962" w:type="dxa"/>
            <w:tcBorders>
              <w:top w:val="nil"/>
              <w:left w:val="nil"/>
              <w:bottom w:val="single" w:color="auto" w:sz="4" w:space="0"/>
              <w:right w:val="single" w:color="auto" w:sz="4" w:space="0"/>
            </w:tcBorders>
            <w:vAlign w:val="center"/>
          </w:tcPr>
          <w:p w14:paraId="0A874DE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50万</w:t>
            </w:r>
          </w:p>
        </w:tc>
        <w:tc>
          <w:tcPr>
            <w:tcW w:w="575" w:type="dxa"/>
            <w:gridSpan w:val="2"/>
            <w:tcBorders>
              <w:top w:val="nil"/>
              <w:left w:val="nil"/>
              <w:bottom w:val="single" w:color="auto" w:sz="4" w:space="0"/>
              <w:right w:val="single" w:color="auto" w:sz="4" w:space="0"/>
            </w:tcBorders>
            <w:vAlign w:val="center"/>
          </w:tcPr>
          <w:p w14:paraId="3493AE88">
            <w:pPr>
              <w:widowControl/>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vAlign w:val="center"/>
          </w:tcPr>
          <w:p w14:paraId="78768E91">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340" w:type="dxa"/>
            <w:gridSpan w:val="2"/>
            <w:tcBorders>
              <w:top w:val="single" w:color="auto" w:sz="4" w:space="0"/>
              <w:left w:val="nil"/>
              <w:bottom w:val="single" w:color="auto" w:sz="4" w:space="0"/>
              <w:right w:val="single" w:color="auto" w:sz="4" w:space="0"/>
            </w:tcBorders>
            <w:vAlign w:val="center"/>
          </w:tcPr>
          <w:p w14:paraId="2B77565C">
            <w:pPr>
              <w:widowControl/>
              <w:jc w:val="center"/>
              <w:rPr>
                <w:rFonts w:ascii="宋体" w:hAnsi="宋体" w:cs="宋体"/>
                <w:kern w:val="0"/>
                <w:sz w:val="18"/>
                <w:szCs w:val="18"/>
              </w:rPr>
            </w:pPr>
          </w:p>
        </w:tc>
      </w:tr>
      <w:tr w14:paraId="613F3FF2">
        <w:tblPrEx>
          <w:tblCellMar>
            <w:top w:w="0" w:type="dxa"/>
            <w:left w:w="108" w:type="dxa"/>
            <w:bottom w:w="0" w:type="dxa"/>
            <w:right w:w="108" w:type="dxa"/>
          </w:tblCellMar>
        </w:tblPrEx>
        <w:trPr>
          <w:trHeight w:val="667" w:hRule="exact"/>
          <w:jc w:val="center"/>
        </w:trPr>
        <w:tc>
          <w:tcPr>
            <w:tcW w:w="588" w:type="dxa"/>
            <w:vMerge w:val="continue"/>
            <w:tcBorders>
              <w:left w:val="single" w:color="auto" w:sz="4" w:space="0"/>
              <w:right w:val="single" w:color="auto" w:sz="4" w:space="0"/>
            </w:tcBorders>
            <w:vAlign w:val="center"/>
          </w:tcPr>
          <w:p w14:paraId="11D106A1">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061DF3C5">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6DD6B298">
            <w:pPr>
              <w:widowControl/>
              <w:jc w:val="center"/>
              <w:rPr>
                <w:rFonts w:ascii="宋体" w:hAnsi="宋体" w:cs="宋体"/>
                <w:kern w:val="0"/>
                <w:sz w:val="18"/>
                <w:szCs w:val="18"/>
              </w:rPr>
            </w:pPr>
            <w:r>
              <w:rPr>
                <w:rFonts w:hint="eastAsia" w:ascii="宋体" w:hAnsi="宋体" w:cs="宋体"/>
                <w:kern w:val="0"/>
                <w:sz w:val="18"/>
                <w:szCs w:val="18"/>
              </w:rPr>
              <w:t>社会效益</w:t>
            </w:r>
          </w:p>
          <w:p w14:paraId="1E921306">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14:paraId="2914B49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社会影响力</w:t>
            </w:r>
          </w:p>
        </w:tc>
        <w:tc>
          <w:tcPr>
            <w:tcW w:w="850" w:type="dxa"/>
            <w:tcBorders>
              <w:top w:val="nil"/>
              <w:left w:val="nil"/>
              <w:bottom w:val="single" w:color="auto" w:sz="4" w:space="0"/>
              <w:right w:val="single" w:color="auto" w:sz="4" w:space="0"/>
            </w:tcBorders>
            <w:vAlign w:val="center"/>
          </w:tcPr>
          <w:p w14:paraId="4E76A99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长期</w:t>
            </w:r>
          </w:p>
        </w:tc>
        <w:tc>
          <w:tcPr>
            <w:tcW w:w="962" w:type="dxa"/>
            <w:tcBorders>
              <w:top w:val="nil"/>
              <w:left w:val="nil"/>
              <w:bottom w:val="single" w:color="auto" w:sz="4" w:space="0"/>
              <w:right w:val="single" w:color="auto" w:sz="4" w:space="0"/>
            </w:tcBorders>
            <w:vAlign w:val="center"/>
          </w:tcPr>
          <w:p w14:paraId="255F74E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不断增强</w:t>
            </w:r>
          </w:p>
        </w:tc>
        <w:tc>
          <w:tcPr>
            <w:tcW w:w="575" w:type="dxa"/>
            <w:gridSpan w:val="2"/>
            <w:tcBorders>
              <w:top w:val="nil"/>
              <w:left w:val="nil"/>
              <w:bottom w:val="single" w:color="auto" w:sz="4" w:space="0"/>
              <w:right w:val="single" w:color="auto" w:sz="4" w:space="0"/>
            </w:tcBorders>
            <w:vAlign w:val="center"/>
          </w:tcPr>
          <w:p w14:paraId="74D8D3A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vAlign w:val="center"/>
          </w:tcPr>
          <w:p w14:paraId="06F019F9">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340" w:type="dxa"/>
            <w:gridSpan w:val="2"/>
            <w:tcBorders>
              <w:top w:val="single" w:color="auto" w:sz="4" w:space="0"/>
              <w:left w:val="nil"/>
              <w:bottom w:val="single" w:color="auto" w:sz="4" w:space="0"/>
              <w:right w:val="single" w:color="auto" w:sz="4" w:space="0"/>
            </w:tcBorders>
            <w:vAlign w:val="center"/>
          </w:tcPr>
          <w:p w14:paraId="310F7A99">
            <w:pPr>
              <w:widowControl/>
              <w:jc w:val="center"/>
              <w:rPr>
                <w:rFonts w:ascii="宋体" w:hAnsi="宋体" w:cs="宋体"/>
                <w:kern w:val="0"/>
                <w:sz w:val="18"/>
                <w:szCs w:val="18"/>
              </w:rPr>
            </w:pPr>
          </w:p>
        </w:tc>
      </w:tr>
      <w:tr w14:paraId="2098E560">
        <w:tblPrEx>
          <w:tblCellMar>
            <w:top w:w="0" w:type="dxa"/>
            <w:left w:w="108" w:type="dxa"/>
            <w:bottom w:w="0" w:type="dxa"/>
            <w:right w:w="108" w:type="dxa"/>
          </w:tblCellMar>
        </w:tblPrEx>
        <w:trPr>
          <w:trHeight w:val="667" w:hRule="exact"/>
          <w:jc w:val="center"/>
        </w:trPr>
        <w:tc>
          <w:tcPr>
            <w:tcW w:w="588" w:type="dxa"/>
            <w:vMerge w:val="continue"/>
            <w:tcBorders>
              <w:left w:val="single" w:color="auto" w:sz="4" w:space="0"/>
              <w:right w:val="single" w:color="auto" w:sz="4" w:space="0"/>
            </w:tcBorders>
            <w:vAlign w:val="center"/>
          </w:tcPr>
          <w:p w14:paraId="2CE2339B">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2C0BB748">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35A3679F">
            <w:pPr>
              <w:widowControl/>
              <w:jc w:val="center"/>
              <w:rPr>
                <w:rFonts w:hint="eastAsia" w:ascii="宋体" w:hAnsi="宋体" w:cs="宋体"/>
                <w:kern w:val="0"/>
                <w:sz w:val="18"/>
                <w:szCs w:val="18"/>
              </w:rPr>
            </w:pPr>
            <w:r>
              <w:rPr>
                <w:rFonts w:hint="eastAsia" w:ascii="宋体" w:hAnsi="宋体" w:cs="宋体"/>
                <w:kern w:val="0"/>
                <w:sz w:val="18"/>
                <w:szCs w:val="18"/>
              </w:rPr>
              <w:t>生态效益指标</w:t>
            </w:r>
          </w:p>
        </w:tc>
        <w:tc>
          <w:tcPr>
            <w:tcW w:w="2148" w:type="dxa"/>
            <w:gridSpan w:val="3"/>
            <w:tcBorders>
              <w:top w:val="single" w:color="auto" w:sz="4" w:space="0"/>
              <w:left w:val="nil"/>
              <w:bottom w:val="single" w:color="auto" w:sz="4" w:space="0"/>
              <w:right w:val="single" w:color="auto" w:sz="4" w:space="0"/>
            </w:tcBorders>
            <w:vAlign w:val="center"/>
          </w:tcPr>
          <w:p w14:paraId="35BBBEB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网络生态空间</w:t>
            </w:r>
          </w:p>
        </w:tc>
        <w:tc>
          <w:tcPr>
            <w:tcW w:w="850" w:type="dxa"/>
            <w:tcBorders>
              <w:top w:val="nil"/>
              <w:left w:val="nil"/>
              <w:bottom w:val="single" w:color="auto" w:sz="4" w:space="0"/>
              <w:right w:val="single" w:color="auto" w:sz="4" w:space="0"/>
            </w:tcBorders>
            <w:vAlign w:val="center"/>
          </w:tcPr>
          <w:p w14:paraId="0C13E3D3">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持续净化</w:t>
            </w:r>
          </w:p>
        </w:tc>
        <w:tc>
          <w:tcPr>
            <w:tcW w:w="962" w:type="dxa"/>
            <w:tcBorders>
              <w:top w:val="nil"/>
              <w:left w:val="nil"/>
              <w:bottom w:val="single" w:color="auto" w:sz="4" w:space="0"/>
              <w:right w:val="single" w:color="auto" w:sz="4" w:space="0"/>
            </w:tcBorders>
            <w:vAlign w:val="center"/>
          </w:tcPr>
          <w:p w14:paraId="08F5B975">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零事故零隐患</w:t>
            </w:r>
          </w:p>
        </w:tc>
        <w:tc>
          <w:tcPr>
            <w:tcW w:w="575" w:type="dxa"/>
            <w:gridSpan w:val="2"/>
            <w:tcBorders>
              <w:top w:val="nil"/>
              <w:left w:val="nil"/>
              <w:bottom w:val="single" w:color="auto" w:sz="4" w:space="0"/>
              <w:right w:val="single" w:color="auto" w:sz="4" w:space="0"/>
            </w:tcBorders>
            <w:vAlign w:val="center"/>
          </w:tcPr>
          <w:p w14:paraId="7D0F254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vAlign w:val="center"/>
          </w:tcPr>
          <w:p w14:paraId="4C34A822">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40" w:type="dxa"/>
            <w:gridSpan w:val="2"/>
            <w:tcBorders>
              <w:top w:val="single" w:color="auto" w:sz="4" w:space="0"/>
              <w:left w:val="nil"/>
              <w:bottom w:val="single" w:color="auto" w:sz="4" w:space="0"/>
              <w:right w:val="single" w:color="auto" w:sz="4" w:space="0"/>
            </w:tcBorders>
            <w:vAlign w:val="center"/>
          </w:tcPr>
          <w:p w14:paraId="2C7A2802">
            <w:pPr>
              <w:widowControl/>
              <w:jc w:val="center"/>
              <w:rPr>
                <w:rFonts w:ascii="宋体" w:hAnsi="宋体" w:cs="宋体"/>
                <w:kern w:val="0"/>
                <w:sz w:val="18"/>
                <w:szCs w:val="18"/>
              </w:rPr>
            </w:pPr>
          </w:p>
        </w:tc>
      </w:tr>
      <w:tr w14:paraId="2BB3C0C3">
        <w:tblPrEx>
          <w:tblCellMar>
            <w:top w:w="0" w:type="dxa"/>
            <w:left w:w="108" w:type="dxa"/>
            <w:bottom w:w="0" w:type="dxa"/>
            <w:right w:w="108" w:type="dxa"/>
          </w:tblCellMar>
        </w:tblPrEx>
        <w:trPr>
          <w:trHeight w:val="667" w:hRule="exact"/>
          <w:jc w:val="center"/>
        </w:trPr>
        <w:tc>
          <w:tcPr>
            <w:tcW w:w="588" w:type="dxa"/>
            <w:vMerge w:val="continue"/>
            <w:tcBorders>
              <w:left w:val="single" w:color="auto" w:sz="4" w:space="0"/>
              <w:right w:val="single" w:color="auto" w:sz="4" w:space="0"/>
            </w:tcBorders>
            <w:vAlign w:val="center"/>
          </w:tcPr>
          <w:p w14:paraId="0927A4D3">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7D95E792">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0F2B581A">
            <w:pPr>
              <w:widowControl/>
              <w:jc w:val="center"/>
              <w:rPr>
                <w:rFonts w:hint="eastAsia" w:ascii="宋体" w:hAnsi="宋体" w:cs="宋体"/>
                <w:kern w:val="0"/>
                <w:sz w:val="18"/>
                <w:szCs w:val="18"/>
              </w:rPr>
            </w:pPr>
            <w:r>
              <w:rPr>
                <w:rFonts w:hint="eastAsia" w:ascii="宋体" w:hAnsi="宋体" w:cs="宋体"/>
                <w:kern w:val="0"/>
                <w:sz w:val="18"/>
                <w:szCs w:val="18"/>
              </w:rPr>
              <w:t>经济效益指标</w:t>
            </w:r>
          </w:p>
        </w:tc>
        <w:tc>
          <w:tcPr>
            <w:tcW w:w="2148" w:type="dxa"/>
            <w:gridSpan w:val="3"/>
            <w:tcBorders>
              <w:top w:val="single" w:color="auto" w:sz="4" w:space="0"/>
              <w:left w:val="nil"/>
              <w:bottom w:val="single" w:color="auto" w:sz="4" w:space="0"/>
              <w:right w:val="single" w:color="auto" w:sz="4" w:space="0"/>
            </w:tcBorders>
            <w:vAlign w:val="center"/>
          </w:tcPr>
          <w:p w14:paraId="7262DDF7">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社会稳定，促进经济发展</w:t>
            </w:r>
          </w:p>
        </w:tc>
        <w:tc>
          <w:tcPr>
            <w:tcW w:w="850" w:type="dxa"/>
            <w:tcBorders>
              <w:top w:val="nil"/>
              <w:left w:val="nil"/>
              <w:bottom w:val="single" w:color="auto" w:sz="4" w:space="0"/>
              <w:right w:val="single" w:color="auto" w:sz="4" w:space="0"/>
            </w:tcBorders>
            <w:vAlign w:val="center"/>
          </w:tcPr>
          <w:p w14:paraId="6DEB5841">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不断提升</w:t>
            </w:r>
          </w:p>
        </w:tc>
        <w:tc>
          <w:tcPr>
            <w:tcW w:w="962" w:type="dxa"/>
            <w:tcBorders>
              <w:top w:val="nil"/>
              <w:left w:val="nil"/>
              <w:bottom w:val="single" w:color="auto" w:sz="4" w:space="0"/>
              <w:right w:val="single" w:color="auto" w:sz="4" w:space="0"/>
            </w:tcBorders>
            <w:vAlign w:val="center"/>
          </w:tcPr>
          <w:p w14:paraId="719EF683">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不断提升</w:t>
            </w:r>
          </w:p>
        </w:tc>
        <w:tc>
          <w:tcPr>
            <w:tcW w:w="575" w:type="dxa"/>
            <w:gridSpan w:val="2"/>
            <w:tcBorders>
              <w:top w:val="nil"/>
              <w:left w:val="nil"/>
              <w:bottom w:val="single" w:color="auto" w:sz="4" w:space="0"/>
              <w:right w:val="single" w:color="auto" w:sz="4" w:space="0"/>
            </w:tcBorders>
            <w:vAlign w:val="center"/>
          </w:tcPr>
          <w:p w14:paraId="247A2DBB">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vAlign w:val="center"/>
          </w:tcPr>
          <w:p w14:paraId="5C022D93">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340" w:type="dxa"/>
            <w:gridSpan w:val="2"/>
            <w:tcBorders>
              <w:top w:val="single" w:color="auto" w:sz="4" w:space="0"/>
              <w:left w:val="nil"/>
              <w:bottom w:val="single" w:color="auto" w:sz="4" w:space="0"/>
              <w:right w:val="single" w:color="auto" w:sz="4" w:space="0"/>
            </w:tcBorders>
            <w:vAlign w:val="center"/>
          </w:tcPr>
          <w:p w14:paraId="79ACF717">
            <w:pPr>
              <w:widowControl/>
              <w:jc w:val="center"/>
              <w:rPr>
                <w:rFonts w:ascii="宋体" w:hAnsi="宋体" w:cs="宋体"/>
                <w:kern w:val="0"/>
                <w:sz w:val="18"/>
                <w:szCs w:val="18"/>
              </w:rPr>
            </w:pPr>
          </w:p>
        </w:tc>
      </w:tr>
      <w:tr w14:paraId="5933419B">
        <w:tblPrEx>
          <w:tblCellMar>
            <w:top w:w="0" w:type="dxa"/>
            <w:left w:w="108" w:type="dxa"/>
            <w:bottom w:w="0" w:type="dxa"/>
            <w:right w:w="108" w:type="dxa"/>
          </w:tblCellMar>
        </w:tblPrEx>
        <w:trPr>
          <w:trHeight w:val="1129" w:hRule="exact"/>
          <w:jc w:val="center"/>
        </w:trPr>
        <w:tc>
          <w:tcPr>
            <w:tcW w:w="588" w:type="dxa"/>
            <w:vMerge w:val="continue"/>
            <w:tcBorders>
              <w:left w:val="single" w:color="auto" w:sz="4" w:space="0"/>
              <w:right w:val="single" w:color="auto" w:sz="4" w:space="0"/>
            </w:tcBorders>
            <w:vAlign w:val="center"/>
          </w:tcPr>
          <w:p w14:paraId="00751439">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14:paraId="3BF8FAEA">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14:paraId="1DE4AC1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14:paraId="664B8976">
            <w:pPr>
              <w:widowControl/>
              <w:jc w:val="center"/>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持续监测网络舆情，减少影响</w:t>
            </w:r>
          </w:p>
        </w:tc>
        <w:tc>
          <w:tcPr>
            <w:tcW w:w="850" w:type="dxa"/>
            <w:tcBorders>
              <w:top w:val="nil"/>
              <w:left w:val="nil"/>
              <w:bottom w:val="single" w:color="auto" w:sz="4" w:space="0"/>
              <w:right w:val="single" w:color="auto" w:sz="4" w:space="0"/>
            </w:tcBorders>
            <w:vAlign w:val="center"/>
          </w:tcPr>
          <w:p w14:paraId="60CF7E6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不发生舆情炒作</w:t>
            </w:r>
          </w:p>
        </w:tc>
        <w:tc>
          <w:tcPr>
            <w:tcW w:w="962" w:type="dxa"/>
            <w:tcBorders>
              <w:top w:val="nil"/>
              <w:left w:val="nil"/>
              <w:bottom w:val="single" w:color="auto" w:sz="4" w:space="0"/>
              <w:right w:val="single" w:color="auto" w:sz="4" w:space="0"/>
            </w:tcBorders>
            <w:vAlign w:val="center"/>
          </w:tcPr>
          <w:p w14:paraId="5FC92EE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未发生舆情炒作</w:t>
            </w:r>
          </w:p>
        </w:tc>
        <w:tc>
          <w:tcPr>
            <w:tcW w:w="575" w:type="dxa"/>
            <w:gridSpan w:val="2"/>
            <w:tcBorders>
              <w:top w:val="nil"/>
              <w:left w:val="nil"/>
              <w:bottom w:val="single" w:color="auto" w:sz="4" w:space="0"/>
              <w:right w:val="single" w:color="auto" w:sz="4" w:space="0"/>
            </w:tcBorders>
            <w:vAlign w:val="center"/>
          </w:tcPr>
          <w:p w14:paraId="62D46DF1">
            <w:pPr>
              <w:widowControl/>
              <w:jc w:val="center"/>
              <w:rPr>
                <w:rFonts w:ascii="宋体" w:hAnsi="宋体" w:cs="宋体"/>
                <w:kern w:val="0"/>
                <w:sz w:val="18"/>
                <w:szCs w:val="18"/>
              </w:rPr>
            </w:pPr>
            <w:r>
              <w:rPr>
                <w:rFonts w:hint="eastAsia" w:ascii="宋体" w:hAnsi="宋体" w:cs="宋体"/>
                <w:kern w:val="0"/>
                <w:sz w:val="18"/>
                <w:szCs w:val="18"/>
              </w:rPr>
              <w:t>10</w:t>
            </w:r>
          </w:p>
        </w:tc>
        <w:tc>
          <w:tcPr>
            <w:tcW w:w="525" w:type="dxa"/>
            <w:gridSpan w:val="2"/>
            <w:tcBorders>
              <w:top w:val="nil"/>
              <w:left w:val="nil"/>
              <w:bottom w:val="single" w:color="auto" w:sz="4" w:space="0"/>
              <w:right w:val="single" w:color="auto" w:sz="4" w:space="0"/>
            </w:tcBorders>
            <w:vAlign w:val="center"/>
          </w:tcPr>
          <w:p w14:paraId="22C772D6">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340" w:type="dxa"/>
            <w:gridSpan w:val="2"/>
            <w:tcBorders>
              <w:top w:val="single" w:color="auto" w:sz="4" w:space="0"/>
              <w:left w:val="nil"/>
              <w:bottom w:val="single" w:color="auto" w:sz="4" w:space="0"/>
              <w:right w:val="single" w:color="auto" w:sz="4" w:space="0"/>
            </w:tcBorders>
            <w:vAlign w:val="center"/>
          </w:tcPr>
          <w:p w14:paraId="484D3216">
            <w:pPr>
              <w:widowControl/>
              <w:jc w:val="center"/>
              <w:rPr>
                <w:rFonts w:ascii="宋体" w:hAnsi="宋体" w:cs="宋体"/>
                <w:kern w:val="0"/>
                <w:sz w:val="18"/>
                <w:szCs w:val="18"/>
              </w:rPr>
            </w:pPr>
          </w:p>
        </w:tc>
      </w:tr>
      <w:tr w14:paraId="6D817CBC">
        <w:tblPrEx>
          <w:tblCellMar>
            <w:top w:w="0" w:type="dxa"/>
            <w:left w:w="108" w:type="dxa"/>
            <w:bottom w:w="0" w:type="dxa"/>
            <w:right w:w="108" w:type="dxa"/>
          </w:tblCellMar>
        </w:tblPrEx>
        <w:trPr>
          <w:trHeight w:val="713" w:hRule="exact"/>
          <w:jc w:val="center"/>
        </w:trPr>
        <w:tc>
          <w:tcPr>
            <w:tcW w:w="588" w:type="dxa"/>
            <w:vMerge w:val="continue"/>
            <w:tcBorders>
              <w:left w:val="single" w:color="auto" w:sz="4" w:space="0"/>
              <w:right w:val="single" w:color="auto" w:sz="4" w:space="0"/>
            </w:tcBorders>
            <w:vAlign w:val="center"/>
          </w:tcPr>
          <w:p w14:paraId="25F479BA">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vAlign w:val="center"/>
          </w:tcPr>
          <w:p w14:paraId="79FAFC22">
            <w:pPr>
              <w:widowControl/>
              <w:jc w:val="center"/>
              <w:rPr>
                <w:rFonts w:ascii="宋体" w:hAnsi="宋体" w:cs="宋体"/>
                <w:kern w:val="0"/>
                <w:sz w:val="18"/>
                <w:szCs w:val="18"/>
              </w:rPr>
            </w:pPr>
            <w:r>
              <w:rPr>
                <w:rFonts w:hint="eastAsia" w:ascii="宋体" w:hAnsi="宋体" w:cs="宋体"/>
                <w:kern w:val="0"/>
                <w:sz w:val="18"/>
                <w:szCs w:val="18"/>
              </w:rPr>
              <w:t>满意度</w:t>
            </w:r>
          </w:p>
          <w:p w14:paraId="289F87B4">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14:paraId="31CE9DC8">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14:paraId="398EC44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干群满意度</w:t>
            </w:r>
          </w:p>
        </w:tc>
        <w:tc>
          <w:tcPr>
            <w:tcW w:w="850" w:type="dxa"/>
            <w:tcBorders>
              <w:top w:val="nil"/>
              <w:left w:val="nil"/>
              <w:bottom w:val="single" w:color="auto" w:sz="4" w:space="0"/>
              <w:right w:val="single" w:color="auto" w:sz="4" w:space="0"/>
            </w:tcBorders>
            <w:vAlign w:val="center"/>
          </w:tcPr>
          <w:p w14:paraId="2AABC3D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962" w:type="dxa"/>
            <w:tcBorders>
              <w:top w:val="nil"/>
              <w:left w:val="nil"/>
              <w:bottom w:val="single" w:color="auto" w:sz="4" w:space="0"/>
              <w:right w:val="single" w:color="auto" w:sz="4" w:space="0"/>
            </w:tcBorders>
            <w:vAlign w:val="center"/>
          </w:tcPr>
          <w:p w14:paraId="66A5201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575" w:type="dxa"/>
            <w:gridSpan w:val="2"/>
            <w:tcBorders>
              <w:top w:val="nil"/>
              <w:left w:val="nil"/>
              <w:bottom w:val="single" w:color="auto" w:sz="4" w:space="0"/>
              <w:right w:val="single" w:color="auto" w:sz="4" w:space="0"/>
            </w:tcBorders>
            <w:vAlign w:val="center"/>
          </w:tcPr>
          <w:p w14:paraId="72D3E947">
            <w:pPr>
              <w:widowControl/>
              <w:jc w:val="center"/>
              <w:rPr>
                <w:rFonts w:ascii="宋体" w:hAnsi="宋体" w:cs="宋体"/>
                <w:kern w:val="0"/>
                <w:sz w:val="18"/>
                <w:szCs w:val="18"/>
              </w:rPr>
            </w:pPr>
            <w:r>
              <w:rPr>
                <w:rFonts w:hint="eastAsia" w:ascii="宋体" w:hAnsi="宋体" w:cs="宋体"/>
                <w:kern w:val="0"/>
                <w:sz w:val="18"/>
                <w:szCs w:val="18"/>
              </w:rPr>
              <w:t>10</w:t>
            </w:r>
          </w:p>
        </w:tc>
        <w:tc>
          <w:tcPr>
            <w:tcW w:w="525" w:type="dxa"/>
            <w:gridSpan w:val="2"/>
            <w:tcBorders>
              <w:top w:val="nil"/>
              <w:left w:val="nil"/>
              <w:bottom w:val="single" w:color="auto" w:sz="4" w:space="0"/>
              <w:right w:val="single" w:color="auto" w:sz="4" w:space="0"/>
            </w:tcBorders>
            <w:vAlign w:val="center"/>
          </w:tcPr>
          <w:p w14:paraId="1E3157FC">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10</w:t>
            </w:r>
          </w:p>
        </w:tc>
        <w:tc>
          <w:tcPr>
            <w:tcW w:w="1340" w:type="dxa"/>
            <w:gridSpan w:val="2"/>
            <w:tcBorders>
              <w:top w:val="single" w:color="auto" w:sz="4" w:space="0"/>
              <w:left w:val="nil"/>
              <w:bottom w:val="single" w:color="auto" w:sz="4" w:space="0"/>
              <w:right w:val="single" w:color="auto" w:sz="4" w:space="0"/>
            </w:tcBorders>
            <w:vAlign w:val="center"/>
          </w:tcPr>
          <w:p w14:paraId="5D83A140">
            <w:pPr>
              <w:widowControl/>
              <w:jc w:val="center"/>
              <w:rPr>
                <w:rFonts w:ascii="宋体" w:hAnsi="宋体" w:cs="宋体"/>
                <w:kern w:val="0"/>
                <w:sz w:val="18"/>
                <w:szCs w:val="18"/>
              </w:rPr>
            </w:pPr>
          </w:p>
        </w:tc>
      </w:tr>
      <w:tr w14:paraId="0E48BC76">
        <w:tblPrEx>
          <w:tblCellMar>
            <w:top w:w="0" w:type="dxa"/>
            <w:left w:w="108" w:type="dxa"/>
            <w:bottom w:w="0" w:type="dxa"/>
            <w:right w:w="108" w:type="dxa"/>
          </w:tblCellMar>
        </w:tblPrEx>
        <w:trPr>
          <w:trHeight w:val="454" w:hRule="exact"/>
          <w:jc w:val="center"/>
        </w:trPr>
        <w:tc>
          <w:tcPr>
            <w:tcW w:w="6640" w:type="dxa"/>
            <w:gridSpan w:val="8"/>
            <w:tcBorders>
              <w:top w:val="single" w:color="auto" w:sz="4" w:space="0"/>
              <w:left w:val="single" w:color="auto" w:sz="4" w:space="0"/>
              <w:bottom w:val="single" w:color="auto" w:sz="4" w:space="0"/>
              <w:right w:val="single" w:color="auto" w:sz="4" w:space="0"/>
            </w:tcBorders>
            <w:vAlign w:val="center"/>
          </w:tcPr>
          <w:p w14:paraId="76A3E2BE">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75" w:type="dxa"/>
            <w:gridSpan w:val="2"/>
            <w:tcBorders>
              <w:top w:val="nil"/>
              <w:left w:val="nil"/>
              <w:bottom w:val="single" w:color="auto" w:sz="4" w:space="0"/>
              <w:right w:val="single" w:color="auto" w:sz="4" w:space="0"/>
            </w:tcBorders>
            <w:vAlign w:val="center"/>
          </w:tcPr>
          <w:p w14:paraId="0AE43348">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5" w:type="dxa"/>
            <w:gridSpan w:val="2"/>
            <w:tcBorders>
              <w:top w:val="nil"/>
              <w:left w:val="nil"/>
              <w:bottom w:val="single" w:color="auto" w:sz="4" w:space="0"/>
              <w:right w:val="single" w:color="auto" w:sz="4" w:space="0"/>
            </w:tcBorders>
            <w:vAlign w:val="center"/>
          </w:tcPr>
          <w:p w14:paraId="163C7E5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340" w:type="dxa"/>
            <w:gridSpan w:val="2"/>
            <w:tcBorders>
              <w:top w:val="single" w:color="auto" w:sz="4" w:space="0"/>
              <w:left w:val="nil"/>
              <w:bottom w:val="single" w:color="auto" w:sz="4" w:space="0"/>
              <w:right w:val="single" w:color="auto" w:sz="4" w:space="0"/>
            </w:tcBorders>
            <w:vAlign w:val="center"/>
          </w:tcPr>
          <w:p w14:paraId="330F61B5">
            <w:pPr>
              <w:widowControl/>
              <w:jc w:val="center"/>
              <w:rPr>
                <w:rFonts w:ascii="宋体" w:hAnsi="宋体" w:cs="宋体"/>
                <w:kern w:val="0"/>
                <w:sz w:val="18"/>
                <w:szCs w:val="18"/>
              </w:rPr>
            </w:pPr>
          </w:p>
        </w:tc>
      </w:tr>
    </w:tbl>
    <w:p w14:paraId="61765F5F">
      <w:pPr>
        <w:rPr>
          <w:rFonts w:hint="eastAsia" w:ascii="方正小标宋简体" w:hAnsi="宋体" w:eastAsia="方正小标宋简体"/>
          <w:sz w:val="44"/>
          <w:szCs w:val="44"/>
        </w:rPr>
      </w:pPr>
    </w:p>
    <w:p w14:paraId="708F2EBB">
      <w:pPr>
        <w:pStyle w:val="2"/>
        <w:rPr>
          <w:rFonts w:hint="eastAsia"/>
        </w:rPr>
      </w:pPr>
    </w:p>
    <w:sectPr>
      <w:pgSz w:w="11906" w:h="16838"/>
      <w:pgMar w:top="1440" w:right="1984" w:bottom="1440"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C2758"/>
    <w:multiLevelType w:val="singleLevel"/>
    <w:tmpl w:val="8FFC2758"/>
    <w:lvl w:ilvl="0" w:tentative="0">
      <w:start w:val="3"/>
      <w:numFmt w:val="chineseCounting"/>
      <w:suff w:val="nothing"/>
      <w:lvlText w:val="%1、"/>
      <w:lvlJc w:val="left"/>
      <w:rPr>
        <w:rFonts w:hint="eastAsia"/>
      </w:rPr>
    </w:lvl>
  </w:abstractNum>
  <w:abstractNum w:abstractNumId="1">
    <w:nsid w:val="CB4DDB23"/>
    <w:multiLevelType w:val="singleLevel"/>
    <w:tmpl w:val="CB4DDB23"/>
    <w:lvl w:ilvl="0" w:tentative="0">
      <w:start w:val="6"/>
      <w:numFmt w:val="chineseCounting"/>
      <w:suff w:val="nothing"/>
      <w:lvlText w:val="%1、"/>
      <w:lvlJc w:val="left"/>
      <w:rPr>
        <w:rFonts w:hint="eastAsia"/>
      </w:rPr>
    </w:lvl>
  </w:abstractNum>
  <w:abstractNum w:abstractNumId="2">
    <w:nsid w:val="07FAE50B"/>
    <w:multiLevelType w:val="singleLevel"/>
    <w:tmpl w:val="07FAE50B"/>
    <w:lvl w:ilvl="0" w:tentative="0">
      <w:start w:val="2"/>
      <w:numFmt w:val="chineseCounting"/>
      <w:suff w:val="nothing"/>
      <w:lvlText w:val="（%1）"/>
      <w:lvlJc w:val="left"/>
      <w:rPr>
        <w:rFonts w:hint="eastAsia"/>
      </w:rPr>
    </w:lvl>
  </w:abstractNum>
  <w:abstractNum w:abstractNumId="3">
    <w:nsid w:val="42F3D9D7"/>
    <w:multiLevelType w:val="singleLevel"/>
    <w:tmpl w:val="42F3D9D7"/>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6688"/>
    <w:rsid w:val="003E6EE7"/>
    <w:rsid w:val="009B324D"/>
    <w:rsid w:val="00A6134F"/>
    <w:rsid w:val="00CF6688"/>
    <w:rsid w:val="01031B8A"/>
    <w:rsid w:val="01656B77"/>
    <w:rsid w:val="02315B2D"/>
    <w:rsid w:val="072832FB"/>
    <w:rsid w:val="0976386B"/>
    <w:rsid w:val="0CEE7DB6"/>
    <w:rsid w:val="0D5374F8"/>
    <w:rsid w:val="0F461810"/>
    <w:rsid w:val="207165CC"/>
    <w:rsid w:val="227B31E2"/>
    <w:rsid w:val="277E2AA7"/>
    <w:rsid w:val="29581734"/>
    <w:rsid w:val="2B2C156E"/>
    <w:rsid w:val="2C4F6765"/>
    <w:rsid w:val="2DA345D6"/>
    <w:rsid w:val="2DB02844"/>
    <w:rsid w:val="2E1C2473"/>
    <w:rsid w:val="30185CEA"/>
    <w:rsid w:val="32537184"/>
    <w:rsid w:val="3C84712C"/>
    <w:rsid w:val="3CF56400"/>
    <w:rsid w:val="3E7F66C3"/>
    <w:rsid w:val="4328061F"/>
    <w:rsid w:val="48FB09F3"/>
    <w:rsid w:val="4C483B05"/>
    <w:rsid w:val="4CE2153C"/>
    <w:rsid w:val="4D222DDC"/>
    <w:rsid w:val="51C91D8F"/>
    <w:rsid w:val="51E902AE"/>
    <w:rsid w:val="52E554C4"/>
    <w:rsid w:val="537804ED"/>
    <w:rsid w:val="56917C06"/>
    <w:rsid w:val="585E5B8B"/>
    <w:rsid w:val="58D01084"/>
    <w:rsid w:val="59D6292C"/>
    <w:rsid w:val="5AC90491"/>
    <w:rsid w:val="5B0D7F4F"/>
    <w:rsid w:val="61D46BC8"/>
    <w:rsid w:val="625F5925"/>
    <w:rsid w:val="63226A76"/>
    <w:rsid w:val="637F1020"/>
    <w:rsid w:val="63D01FFE"/>
    <w:rsid w:val="6CC03F6D"/>
    <w:rsid w:val="6CDC4068"/>
    <w:rsid w:val="76995049"/>
    <w:rsid w:val="78894209"/>
    <w:rsid w:val="7935779C"/>
    <w:rsid w:val="7ABC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Arial" w:hAnsi="Arial"/>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2163</Words>
  <Characters>2276</Characters>
  <Lines>10</Lines>
  <Paragraphs>2</Paragraphs>
  <TotalTime>18</TotalTime>
  <ScaleCrop>false</ScaleCrop>
  <LinksUpToDate>false</LinksUpToDate>
  <CharactersWithSpaces>2313</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2022-02-21T06:03:00Z</dcterms:created>
  <dc:creator>admin</dc:creator>
  <cp:lastModifiedBy>甜大宝儿</cp:lastModifiedBy>
  <dcterms:modified xsi:type="dcterms:W3CDTF">2024-12-06T09:12:47Z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5945712D3CDE4CFBAD764177235D434B_12</vt:lpwstr>
  </property>
</Properties>
</file>