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文本框 20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>
            <v:path arrowok="t"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5"/>
      <w:bookmarkStart w:id="1" w:name="bookmark117"/>
      <w:bookmarkStart w:id="2" w:name="bookmark116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7"/>
        <w:spacing w:line="640" w:lineRule="exact"/>
        <w:ind w:firstLine="0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pStyle w:val="7"/>
        <w:spacing w:line="640" w:lineRule="exact"/>
        <w:ind w:firstLine="0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pStyle w:val="7"/>
        <w:spacing w:line="640" w:lineRule="exact"/>
        <w:ind w:firstLine="627" w:firstLineChars="196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项目名称：2019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年省级福利彩票公益金161万</w:t>
      </w:r>
    </w:p>
    <w:p>
      <w:pPr>
        <w:pStyle w:val="7"/>
        <w:spacing w:line="640" w:lineRule="exact"/>
        <w:ind w:firstLine="2240" w:firstLineChars="7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余78.734687万元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实施单位（公章）：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养老服务中心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主管部门（公章）：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乐亭县民政局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李清华</w:t>
      </w:r>
      <w:bookmarkStart w:id="3" w:name="_GoBack"/>
      <w:bookmarkEnd w:id="3"/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充分发挥福利彩票公益金使用效益，</w:t>
      </w:r>
      <w:r>
        <w:rPr>
          <w:rFonts w:hint="eastAsia" w:ascii="仿宋_GB2312" w:hAnsi="宋体" w:eastAsia="仿宋_GB2312" w:cs="宋体"/>
          <w:sz w:val="32"/>
          <w:szCs w:val="32"/>
        </w:rPr>
        <w:t>推进养老事业快速发展，提升养老院服务质量，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用于</w:t>
      </w:r>
      <w:r>
        <w:rPr>
          <w:rFonts w:hint="eastAsia" w:ascii="仿宋_GB2312" w:hAnsi="宋体" w:eastAsia="仿宋_GB2312" w:cs="宋体"/>
          <w:sz w:val="32"/>
          <w:szCs w:val="32"/>
        </w:rPr>
        <w:t>公办养老机构维修改造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工程</w:t>
      </w:r>
      <w:r>
        <w:rPr>
          <w:rFonts w:hint="eastAsia" w:ascii="仿宋_GB2312" w:hAnsi="宋体" w:eastAsia="仿宋_GB2312" w:cs="宋体"/>
          <w:sz w:val="32"/>
          <w:szCs w:val="32"/>
        </w:rPr>
        <w:t>及设备购置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（二）项目年度预算绩效目标和绩效指标设定情况：</w:t>
      </w:r>
      <w:r>
        <w:rPr>
          <w:rFonts w:hint="eastAsia" w:ascii="仿宋_GB2312" w:hAnsi="宋体" w:eastAsia="仿宋_GB2312" w:cs="宋体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《民政公共服务设施建设改造实施方案》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要求</w:t>
      </w:r>
      <w:r>
        <w:rPr>
          <w:rFonts w:hint="eastAsia" w:ascii="仿宋_GB2312" w:hAnsi="宋体" w:eastAsia="仿宋_GB2312" w:cs="宋体"/>
          <w:sz w:val="32"/>
          <w:szCs w:val="32"/>
        </w:rPr>
        <w:t>及养老院服务质量改造提升标准，对庞各庄、姜各庄2家公办敬老院老旧设施进行维修改造及设备购置，已改造完成投入使用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提升养老机构设施标准，提升老人居住舒适度，满意度，决定对敬老院实施改造提升，进行设施改造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（二）项目资金实际使用情况：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拨付姜各庄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敬老院维修改造工程资金10万元，庞各庄敬老院维修改造资金68.734687万元，合计资金78.734687万元，资金利用率100%。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（四）项目资金管理情况：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我单位项目资金严格管理，资金专款专用。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（一）项目组织情况：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通过招投标完成项目建设，按施工进度及合同规定拨付工程款。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（一）项目绩效目标完成情况。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产出指标完成情况分析。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庞各庄敬老院、姜各庄敬老院设施维修改造及设备购置等项目按预算目标全部完成，全年完成值100%；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质量指标：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符合国家行业规范及建筑规范要求，工程验收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100%，全年完成值100%；工程验收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合格率年度指标值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（3）时效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left="420" w:left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按合同时效完成工程验收，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社会效益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  <w:r>
        <w:rPr>
          <w:rFonts w:hint="eastAsia" w:ascii="仿宋_GB2312" w:hAnsi="宋体" w:eastAsia="仿宋_GB2312" w:cs="宋体"/>
          <w:sz w:val="32"/>
          <w:szCs w:val="32"/>
        </w:rPr>
        <w:t>更好满足特困老人养老服务需求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100%，全年完成值100%；与社会发展水平相协调，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（2）生态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与老龄化进程相适应，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（4）可持续影响指标：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宋体" w:eastAsia="仿宋_GB2312" w:cs="宋体"/>
          <w:sz w:val="32"/>
          <w:szCs w:val="32"/>
        </w:rPr>
        <w:t>更好的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发挥公办养老服务机构在提供基本养老服务中的功能和作用，更好满足老人养老服务需求，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满意度指标完成情况分析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：</w:t>
      </w:r>
    </w:p>
    <w:p>
      <w:pPr>
        <w:ind w:left="420" w:left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受益老人满意度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95%。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五、其他需要说明的问题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（一）后续工作计划；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（二）主要经验及做法、存在问题和建议（包括资金安排、使用过程中的经验、做法、存在问题、改进措施和有关建议等）。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09"/>
        <w:gridCol w:w="1418"/>
        <w:gridCol w:w="1417"/>
        <w:gridCol w:w="691"/>
        <w:gridCol w:w="80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sz w:val="18"/>
                <w:szCs w:val="18"/>
              </w:rPr>
              <w:t>2019年省级福利彩票公益金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结余资金78.734687万元　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80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39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78.734687　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78.734687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4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5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目标1：提升养老院服务质量，推进养老事业快速发展，对公办养老机构进行维修改造及设备购置，年底完成并投入使用。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按照《河北省养老机构星级评定实施细则》标准和居家养老服务中心建设标准及养老院服务质量改造提升标准，对庞各庄、姜各庄2家公办敬老院老旧设施进行维修改造及设备购置，已改造完成投入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敬老院维修改造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敬老院设备购置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符合国家行业规范及建筑规范要求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符合国家行业规范及购置标准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按合同约定完成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改造维修购置设备资金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78.734687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更好满足特困老人养老服务需求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与老㱓化进程相适应程度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发挥公办养老机构在提供基本养老服务中的功能和作用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老人满意度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99.5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文本框 63" o:spid="_x0000_s4097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>
          <v:path arrowok="t"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F75"/>
    <w:rsid w:val="00200E34"/>
    <w:rsid w:val="002634CF"/>
    <w:rsid w:val="003D0278"/>
    <w:rsid w:val="00467D4D"/>
    <w:rsid w:val="00523B91"/>
    <w:rsid w:val="00540209"/>
    <w:rsid w:val="007C551D"/>
    <w:rsid w:val="008A284D"/>
    <w:rsid w:val="008B098A"/>
    <w:rsid w:val="0091556F"/>
    <w:rsid w:val="009827C9"/>
    <w:rsid w:val="009F7B53"/>
    <w:rsid w:val="00A427D7"/>
    <w:rsid w:val="00BD4370"/>
    <w:rsid w:val="00C61E5A"/>
    <w:rsid w:val="00C97F75"/>
    <w:rsid w:val="00CA287A"/>
    <w:rsid w:val="00DA7B54"/>
    <w:rsid w:val="00E34539"/>
    <w:rsid w:val="00ED30B8"/>
    <w:rsid w:val="00F83CCD"/>
    <w:rsid w:val="30632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312</Words>
  <Characters>1779</Characters>
  <Lines>14</Lines>
  <Paragraphs>4</Paragraphs>
  <TotalTime>15</TotalTime>
  <ScaleCrop>false</ScaleCrop>
  <LinksUpToDate>false</LinksUpToDate>
  <CharactersWithSpaces>2087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2021-04-27T03:42:00Z</dcterms:created>
  <dc:creator>admin</dc:creator>
  <cp:lastModifiedBy>Administrator</cp:lastModifiedBy>
  <dcterms:modified xsi:type="dcterms:W3CDTF">2021-04-29T01:29:07Z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20FF3BF470FC4A83B247A0BCFF4AC8C0</vt:lpwstr>
  </property>
</Properties>
</file>