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BOldoAAAAJAQAADwAAAAAAAAABACAAAAAiAAAAZHJz&#10;L2Rvd25yZXYueG1sUEsBAhQAFAAAAAgAh07iQC/EtIo7AgAAZwQAAA4AAAAAAAAAAQAgAAAAKQEA&#10;AGRycy9lMm9Eb2MueG1sUEsFBgAAAAAGAAYAWQEAANYFA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地名管理经费</w:t>
      </w:r>
    </w:p>
    <w:p>
      <w:pPr>
        <w:pStyle w:val="7"/>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区划地名服务中心</w:t>
      </w:r>
    </w:p>
    <w:p>
      <w:pPr>
        <w:pStyle w:val="7"/>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pPr>
        <w:pStyle w:val="7"/>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李永波</w:t>
      </w:r>
    </w:p>
    <w:p>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2021 </w:t>
      </w:r>
      <w:r>
        <w:rPr>
          <w:rFonts w:hint="eastAsia" w:ascii="黑体" w:hAnsi="黑体" w:eastAsia="黑体" w:cs="黑体"/>
          <w:sz w:val="32"/>
          <w:szCs w:val="32"/>
          <w:lang w:eastAsia="zh-CN"/>
        </w:rPr>
        <w:t xml:space="preserve"> </w:t>
      </w:r>
      <w:r>
        <w:rPr>
          <w:rFonts w:hint="eastAsia" w:ascii="黑体" w:hAnsi="黑体" w:eastAsia="黑体" w:cs="黑体"/>
          <w:sz w:val="32"/>
          <w:szCs w:val="32"/>
        </w:rPr>
        <w:t>年</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25</w:t>
      </w:r>
      <w:r>
        <w:rPr>
          <w:rFonts w:hint="eastAsia" w:ascii="黑体" w:hAnsi="黑体" w:eastAsia="黑体" w:cs="黑体"/>
          <w:sz w:val="32"/>
          <w:szCs w:val="32"/>
          <w:lang w:eastAsia="zh-CN"/>
        </w:rPr>
        <w:t xml:space="preserve"> </w:t>
      </w:r>
      <w:r>
        <w:rPr>
          <w:rFonts w:hint="eastAsia" w:ascii="黑体" w:hAnsi="黑体" w:eastAsia="黑体" w:cs="黑体"/>
          <w:sz w:val="32"/>
          <w:szCs w:val="32"/>
        </w:rPr>
        <w:t>日</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r>
        <w:rPr>
          <w:rFonts w:hint="eastAsia" w:ascii="仿宋_GB2312" w:hAnsi="仿宋_GB2312" w:eastAsia="仿宋_GB2312" w:cs="仿宋_GB2312"/>
          <w:sz w:val="32"/>
          <w:szCs w:val="32"/>
          <w:lang w:eastAsia="zh-CN"/>
        </w:rPr>
        <w:t>根据《河北省民政厅关于转发〈民政部办公厅关于开展国家地名信息库更新完善工作的通知〉的通知》（冀民函</w:t>
      </w:r>
      <w:r>
        <w:rPr>
          <w:rFonts w:hint="eastAsia" w:ascii="仿宋_GB2312" w:hAnsi="仿宋_GB2312" w:eastAsia="仿宋_GB2312" w:cs="仿宋_GB2312"/>
          <w:sz w:val="32"/>
          <w:szCs w:val="32"/>
          <w:lang w:val="en-US" w:eastAsia="zh-CN"/>
        </w:rPr>
        <w:t>[2019]123号</w:t>
      </w:r>
      <w:r>
        <w:rPr>
          <w:rFonts w:hint="eastAsia" w:ascii="仿宋_GB2312" w:hAnsi="仿宋_GB2312" w:eastAsia="仿宋_GB2312" w:cs="仿宋_GB2312"/>
          <w:sz w:val="32"/>
          <w:szCs w:val="32"/>
          <w:lang w:eastAsia="zh-CN"/>
        </w:rPr>
        <w:t>），全面做好</w:t>
      </w:r>
      <w:r>
        <w:rPr>
          <w:rFonts w:hint="eastAsia" w:ascii="仿宋_GB2312" w:hAnsi="仿宋_GB2312" w:eastAsia="仿宋_GB2312" w:cs="仿宋_GB2312"/>
          <w:sz w:val="32"/>
          <w:szCs w:val="32"/>
          <w:lang w:val="en-US" w:eastAsia="zh-CN"/>
        </w:rPr>
        <w:t>2015年以来地名信息的采集、更新、上报工作；根据《河北省地名管理规定》，做好地名标志的设置及维护，及时设置新增街路牌，修复损坏的街路牌。与昌黎县进行两县区域界线联合检查，做好界线界桩的维护。</w:t>
      </w:r>
      <w:r>
        <w:rPr>
          <w:rFonts w:hint="eastAsia" w:ascii="仿宋_GB2312" w:hAnsi="仿宋_GB2312" w:eastAsia="仿宋_GB2312" w:cs="仿宋_GB2312"/>
          <w:sz w:val="32"/>
          <w:szCs w:val="32"/>
        </w:rPr>
        <w:t>（二）项目年度预算绩效目标和绩效指标设定情况</w:t>
      </w:r>
      <w:r>
        <w:rPr>
          <w:rFonts w:hint="eastAsia" w:ascii="仿宋_GB2312" w:hAnsi="仿宋_GB2312" w:eastAsia="仿宋_GB2312" w:cs="仿宋_GB2312"/>
          <w:sz w:val="32"/>
          <w:szCs w:val="32"/>
          <w:lang w:eastAsia="zh-CN"/>
        </w:rPr>
        <w:t>：做好本行政区域内地名信息的采集、更新、上报工作，确保相关数据真实、准确、有效，普查数据准确率达</w:t>
      </w:r>
      <w:r>
        <w:rPr>
          <w:rFonts w:hint="eastAsia" w:ascii="仿宋_GB2312" w:hAnsi="仿宋_GB2312" w:eastAsia="仿宋_GB2312" w:cs="仿宋_GB2312"/>
          <w:sz w:val="32"/>
          <w:szCs w:val="32"/>
          <w:lang w:val="en-US" w:eastAsia="zh-CN"/>
        </w:rPr>
        <w:t>98%以上，为社会提供方便快捷的地名公共服务，行政区域界线联检完成程度达100%</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（一）项目决策情况</w:t>
      </w:r>
      <w:r>
        <w:rPr>
          <w:rFonts w:hint="eastAsia" w:ascii="仿宋_GB2312" w:hAnsi="仿宋_GB2312" w:eastAsia="仿宋_GB2312" w:cs="仿宋_GB2312"/>
          <w:sz w:val="32"/>
          <w:szCs w:val="32"/>
          <w:lang w:eastAsia="zh-CN"/>
        </w:rPr>
        <w:t>：根据《河北省民政厅关于转发〈民政部办公厅关于开展国家地名信息库更新完善工作的通知〉及《河北省地名管理规定》，制定了</w:t>
      </w:r>
      <w:r>
        <w:rPr>
          <w:rFonts w:hint="eastAsia" w:ascii="仿宋_GB2312" w:hAnsi="仿宋_GB2312" w:eastAsia="仿宋_GB2312" w:cs="仿宋_GB2312"/>
          <w:sz w:val="32"/>
          <w:szCs w:val="32"/>
          <w:lang w:val="en-US" w:eastAsia="zh-CN"/>
        </w:rPr>
        <w:t>2020年主要完成的工作任务。</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（二）项目资金（包括财政资金、自筹资金等）安排落实、总投入等情况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2020年县级下达预算金额6万元。</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（三）项目资金（主要是指财政资金）实际使用情况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2020年县级下达预算金额6万元，主要用于委托专业机构负责地名数据库的更新完善，城区地名标志的设置维护及界线联检工作。</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（四）项目资金管理情况</w:t>
      </w:r>
      <w:r>
        <w:rPr>
          <w:rFonts w:hint="eastAsia" w:ascii="仿宋_GB2312" w:hAnsi="仿宋_GB2312" w:eastAsia="仿宋_GB2312" w:cs="仿宋_GB2312"/>
          <w:sz w:val="32"/>
          <w:szCs w:val="32"/>
          <w:lang w:eastAsia="zh-CN"/>
        </w:rPr>
        <w:t>：无</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三、项目组织实施情况</w:t>
      </w:r>
    </w:p>
    <w:p>
      <w:pPr>
        <w:pStyle w:val="7"/>
        <w:spacing w:line="560" w:lineRule="exact"/>
        <w:ind w:firstLine="4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（一）项目组织情况</w:t>
      </w:r>
      <w:r>
        <w:rPr>
          <w:rFonts w:hint="eastAsia" w:ascii="仿宋_GB2312" w:hAnsi="仿宋_GB2312" w:eastAsia="仿宋_GB2312" w:cs="仿宋_GB2312"/>
          <w:sz w:val="32"/>
          <w:szCs w:val="32"/>
          <w:lang w:eastAsia="zh-CN"/>
        </w:rPr>
        <w:t>：一是与石家庄利达测绘有限公司签订了《乐亭县国家地名信息库和河北省区划地名信息化平台更新完善工作项目合同》，委托技术公司完成普查更新工作并通过省厅检查验收。二是对城区地名标志进行日常检查维护修理，共修复街路牌</w:t>
      </w:r>
      <w:r>
        <w:rPr>
          <w:rFonts w:hint="eastAsia" w:ascii="仿宋_GB2312" w:hAnsi="仿宋_GB2312" w:eastAsia="仿宋_GB2312" w:cs="仿宋_GB2312"/>
          <w:sz w:val="32"/>
          <w:szCs w:val="32"/>
          <w:lang w:val="en-US" w:eastAsia="zh-CN"/>
        </w:rPr>
        <w:t>15块；三是与昌黎县对两县界线界桩进行联合检查，清理界桩周边杂物，进行描红，通过检查发现两县分别丢失界桩各一块，乐亭、昌黎、滦南三县界桩断裂，需要及时补设，两县界线保持完整。</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（二）项目管理情况</w:t>
      </w:r>
      <w:r>
        <w:rPr>
          <w:rFonts w:hint="eastAsia" w:ascii="仿宋_GB2312" w:hAnsi="仿宋_GB2312" w:eastAsia="仿宋_GB2312" w:cs="仿宋_GB2312"/>
          <w:sz w:val="32"/>
          <w:szCs w:val="32"/>
          <w:lang w:eastAsia="zh-CN"/>
        </w:rPr>
        <w:t>：建立日常管理制度，加强地名日常管理，做好数据衔接，及时更新，充分发挥地名标志的导向性作用。</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pPr>
        <w:ind w:firstLine="640" w:firstLineChars="200"/>
        <w:outlineLvl w:val="0"/>
        <w:rPr>
          <w:rFonts w:hint="default" w:ascii="仿宋" w:hAnsi="仿宋" w:eastAsia="仿宋" w:cs="仿宋"/>
          <w:color w:val="000000"/>
          <w:kern w:val="0"/>
          <w:sz w:val="32"/>
          <w:szCs w:val="32"/>
          <w:lang w:val="en-US" w:eastAsia="zh-CN" w:bidi="zh-TW"/>
        </w:rPr>
      </w:pPr>
      <w:r>
        <w:rPr>
          <w:rFonts w:hint="eastAsia" w:ascii="仿宋_GB2312" w:hAnsi="仿宋_GB2312" w:eastAsia="仿宋_GB2312" w:cs="仿宋_GB2312"/>
          <w:sz w:val="32"/>
          <w:szCs w:val="32"/>
        </w:rPr>
        <w:t>（一）项目绩效目标完成情况。</w:t>
      </w:r>
      <w:r>
        <w:rPr>
          <w:rFonts w:hint="eastAsia" w:ascii="仿宋" w:hAnsi="仿宋" w:eastAsia="仿宋" w:cs="仿宋"/>
          <w:color w:val="000000"/>
          <w:kern w:val="0"/>
          <w:sz w:val="32"/>
          <w:szCs w:val="32"/>
          <w:lang w:val="en-US" w:eastAsia="zh-CN" w:bidi="zh-TW"/>
        </w:rPr>
        <w:t>一是对2015至2019年底期间新增、变更的地名条数进行信息采集、录入，实地踏勘。更新完善地名数据库信息，录入国家地名信息库及省地名信息平台，普查成果入库率及准确率达99%，</w:t>
      </w:r>
      <w:r>
        <w:rPr>
          <w:rFonts w:hint="eastAsia" w:ascii="仿宋" w:hAnsi="仿宋" w:eastAsia="仿宋" w:cs="仿宋"/>
          <w:sz w:val="32"/>
          <w:szCs w:val="32"/>
          <w:lang w:val="en-US" w:eastAsia="zh-CN"/>
        </w:rPr>
        <w:t>经省厅检查验收合格；</w:t>
      </w:r>
      <w:r>
        <w:rPr>
          <w:rFonts w:hint="eastAsia" w:ascii="仿宋" w:hAnsi="仿宋" w:eastAsia="仿宋" w:cs="仿宋"/>
          <w:color w:val="000000"/>
          <w:kern w:val="0"/>
          <w:sz w:val="32"/>
          <w:szCs w:val="32"/>
          <w:lang w:val="en-US" w:eastAsia="zh-CN" w:bidi="zh-TW"/>
        </w:rPr>
        <w:t>二是</w:t>
      </w:r>
      <w:r>
        <w:rPr>
          <w:rFonts w:hint="eastAsia" w:ascii="仿宋" w:hAnsi="仿宋" w:eastAsia="仿宋" w:cs="仿宋"/>
          <w:sz w:val="32"/>
          <w:szCs w:val="32"/>
          <w:lang w:val="en-US" w:eastAsia="zh-CN"/>
        </w:rPr>
        <w:t>地名标志设置基本达到了全覆盖；三是行政区域界线联检完成率100%。</w:t>
      </w:r>
    </w:p>
    <w:p>
      <w:pPr>
        <w:pStyle w:val="7"/>
        <w:spacing w:line="560" w:lineRule="exact"/>
        <w:ind w:firstLine="403"/>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（二）项目绩效目标未完成情况及原因分析</w:t>
      </w:r>
      <w:r>
        <w:rPr>
          <w:rFonts w:hint="eastAsia" w:ascii="仿宋_GB2312" w:hAnsi="仿宋_GB2312" w:eastAsia="仿宋_GB2312" w:cs="仿宋_GB2312"/>
          <w:sz w:val="32"/>
          <w:szCs w:val="32"/>
          <w:lang w:eastAsia="zh-CN"/>
        </w:rPr>
        <w:t>：按年初制定的工作目标，各项工作均圆满完成</w:t>
      </w:r>
      <w:r>
        <w:rPr>
          <w:rFonts w:hint="eastAsia" w:ascii="仿宋_GB2312" w:hAnsi="仿宋_GB2312" w:eastAsia="仿宋_GB2312" w:cs="仿宋_GB2312"/>
          <w:sz w:val="32"/>
          <w:szCs w:val="32"/>
        </w:rPr>
        <w:t>。</w:t>
      </w:r>
    </w:p>
    <w:p>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五、其他需要说明的问题</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（一）后续工作计划</w:t>
      </w:r>
      <w:r>
        <w:rPr>
          <w:rFonts w:hint="eastAsia" w:ascii="仿宋_GB2312" w:hAnsi="仿宋_GB2312" w:eastAsia="仿宋_GB2312" w:cs="仿宋_GB2312"/>
          <w:sz w:val="32"/>
          <w:szCs w:val="32"/>
          <w:lang w:eastAsia="zh-CN"/>
        </w:rPr>
        <w:t>：一是更新完善国家地名信息库是一项长期的工作任务，每年都需要完成上一年度地名信息更新年报工作；二是加强地名管理，做好地名标志的管理与维护，提高地名公共服务管理水平。</w:t>
      </w:r>
    </w:p>
    <w:p>
      <w:pPr>
        <w:pStyle w:val="7"/>
        <w:spacing w:line="560" w:lineRule="exact"/>
        <w:ind w:firstLine="40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（二）主要经验及做法、存在问题和建议</w:t>
      </w:r>
      <w:r>
        <w:rPr>
          <w:rFonts w:hint="eastAsia" w:ascii="仿宋_GB2312" w:hAnsi="仿宋_GB2312" w:eastAsia="仿宋_GB2312" w:cs="仿宋_GB2312"/>
          <w:sz w:val="32"/>
          <w:szCs w:val="32"/>
          <w:lang w:eastAsia="zh-CN"/>
        </w:rPr>
        <w:t>：由于财政资金紧张，地名标志设置因时间长损坏严重。下一步将积极筹措资金，更换新的地名标志，扎实提高资金使用率。</w:t>
      </w:r>
    </w:p>
    <w:p>
      <w:pPr>
        <w:pStyle w:val="7"/>
        <w:spacing w:line="560" w:lineRule="exact"/>
        <w:ind w:left="0" w:leftChars="0" w:firstLine="0" w:firstLineChars="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p>
      <w:pPr>
        <w:pStyle w:val="7"/>
        <w:spacing w:line="560" w:lineRule="exact"/>
        <w:ind w:left="0" w:leftChars="0" w:firstLine="0" w:firstLineChars="0"/>
        <w:rPr>
          <w:rFonts w:hint="eastAsia" w:ascii="黑体" w:hAnsi="黑体" w:eastAsia="黑体" w:cs="黑体"/>
          <w:sz w:val="32"/>
          <w:szCs w:val="32"/>
        </w:rPr>
      </w:pPr>
    </w:p>
    <w:tbl>
      <w:tblPr>
        <w:tblStyle w:val="4"/>
        <w:tblW w:w="9500" w:type="dxa"/>
        <w:jc w:val="center"/>
        <w:tblLayout w:type="fixed"/>
        <w:tblCellMar>
          <w:top w:w="0" w:type="dxa"/>
          <w:left w:w="108" w:type="dxa"/>
          <w:bottom w:w="0" w:type="dxa"/>
          <w:right w:w="108" w:type="dxa"/>
        </w:tblCellMar>
      </w:tblPr>
      <w:tblGrid>
        <w:gridCol w:w="920"/>
        <w:gridCol w:w="860"/>
        <w:gridCol w:w="1298"/>
        <w:gridCol w:w="1245"/>
        <w:gridCol w:w="697"/>
        <w:gridCol w:w="800"/>
        <w:gridCol w:w="1080"/>
        <w:gridCol w:w="780"/>
        <w:gridCol w:w="580"/>
        <w:gridCol w:w="660"/>
        <w:gridCol w:w="580"/>
      </w:tblGrid>
      <w:tr>
        <w:tblPrEx>
          <w:tblCellMar>
            <w:top w:w="0" w:type="dxa"/>
            <w:left w:w="108" w:type="dxa"/>
            <w:bottom w:w="0" w:type="dxa"/>
            <w:right w:w="108" w:type="dxa"/>
          </w:tblCellMar>
        </w:tblPrEx>
        <w:trPr>
          <w:trHeight w:val="329" w:hRule="atLeast"/>
          <w:jc w:val="center"/>
        </w:trPr>
        <w:tc>
          <w:tcPr>
            <w:tcW w:w="1780"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298"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1245"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97"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年度）</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5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地名管理经费</w:t>
            </w:r>
            <w:r>
              <w:rPr>
                <w:rFonts w:hint="eastAsia" w:ascii="宋体" w:hAnsi="宋体" w:eastAsia="宋体" w:cs="宋体"/>
                <w:sz w:val="18"/>
                <w:szCs w:val="18"/>
              </w:rPr>
              <w:t>　</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5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5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3937"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25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393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9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bookmarkStart w:id="0" w:name="_GoBack"/>
            <w:bookmarkEnd w:id="0"/>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39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w:t>
            </w:r>
          </w:p>
        </w:tc>
        <w:tc>
          <w:tcPr>
            <w:tcW w:w="39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r>
      <w:tr>
        <w:tblPrEx>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CellMar>
            <w:top w:w="0" w:type="dxa"/>
            <w:left w:w="108" w:type="dxa"/>
            <w:bottom w:w="0" w:type="dxa"/>
            <w:right w:w="108" w:type="dxa"/>
          </w:tblCellMar>
        </w:tblPrEx>
        <w:trPr>
          <w:trHeight w:val="1687"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pPr>
              <w:widowControl/>
              <w:rPr>
                <w:rFonts w:hint="eastAsia" w:ascii="宋体" w:hAnsi="宋体" w:eastAsia="宋体" w:cs="宋体"/>
                <w:sz w:val="18"/>
                <w:szCs w:val="18"/>
              </w:rPr>
            </w:pPr>
            <w:r>
              <w:rPr>
                <w:rFonts w:hint="eastAsia" w:ascii="宋体" w:hAnsi="宋体" w:eastAsia="宋体" w:cs="宋体"/>
                <w:sz w:val="18"/>
                <w:szCs w:val="18"/>
              </w:rPr>
              <w:t>目标1：协助普查技术公司完成国家地名信息库和河北省区划地名信息化平台数据更新完善力求普查成果入库率及准确率达到</w:t>
            </w:r>
            <w:r>
              <w:rPr>
                <w:rFonts w:hint="eastAsia" w:ascii="宋体" w:hAnsi="宋体" w:eastAsia="宋体" w:cs="宋体"/>
                <w:sz w:val="18"/>
                <w:szCs w:val="18"/>
                <w:lang w:val="en-US" w:eastAsia="zh-CN"/>
              </w:rPr>
              <w:t>99</w:t>
            </w:r>
            <w:r>
              <w:rPr>
                <w:rFonts w:hint="eastAsia" w:ascii="宋体" w:hAnsi="宋体" w:eastAsia="宋体" w:cs="宋体"/>
                <w:sz w:val="18"/>
                <w:szCs w:val="18"/>
              </w:rPr>
              <w:t>%，符合国家规范要求。</w:t>
            </w:r>
          </w:p>
          <w:p>
            <w:pPr>
              <w:widowControl/>
              <w:rPr>
                <w:rFonts w:hint="eastAsia" w:ascii="宋体" w:hAnsi="宋体" w:eastAsia="宋体" w:cs="宋体"/>
                <w:sz w:val="18"/>
                <w:szCs w:val="18"/>
              </w:rPr>
            </w:pPr>
            <w:r>
              <w:rPr>
                <w:rFonts w:hint="eastAsia" w:ascii="宋体" w:hAnsi="宋体" w:eastAsia="宋体" w:cs="宋体"/>
                <w:sz w:val="18"/>
                <w:szCs w:val="18"/>
              </w:rPr>
              <w:t>目标2：加强城区地名标志的设置维护管理，充分发挥地名标志的导向性作用。</w:t>
            </w:r>
            <w:r>
              <w:rPr>
                <w:rFonts w:hint="eastAsia" w:ascii="宋体" w:hAnsi="宋体" w:eastAsia="宋体" w:cs="宋体"/>
                <w:sz w:val="18"/>
                <w:szCs w:val="18"/>
              </w:rPr>
              <w:br w:type="textWrapping"/>
            </w:r>
            <w:r>
              <w:rPr>
                <w:rFonts w:hint="eastAsia" w:ascii="宋体" w:hAnsi="宋体" w:eastAsia="宋体" w:cs="宋体"/>
                <w:sz w:val="18"/>
                <w:szCs w:val="18"/>
              </w:rPr>
              <w:t>目标3：</w:t>
            </w:r>
            <w:r>
              <w:rPr>
                <w:rFonts w:hint="eastAsia" w:ascii="宋体" w:hAnsi="宋体" w:eastAsia="宋体" w:cs="宋体"/>
                <w:sz w:val="18"/>
                <w:szCs w:val="18"/>
                <w:lang w:val="en-US" w:eastAsia="zh-CN"/>
              </w:rPr>
              <w:t>与昌黎县进行两县区域界线联合检查，做好界线界桩的维护。</w:t>
            </w:r>
          </w:p>
        </w:tc>
        <w:tc>
          <w:tcPr>
            <w:tcW w:w="3680" w:type="dxa"/>
            <w:gridSpan w:val="5"/>
            <w:tcBorders>
              <w:top w:val="single" w:color="auto" w:sz="4" w:space="0"/>
              <w:left w:val="nil"/>
              <w:bottom w:val="single" w:color="auto" w:sz="4" w:space="0"/>
              <w:right w:val="single" w:color="auto" w:sz="4" w:space="0"/>
            </w:tcBorders>
            <w:shd w:val="clear" w:color="auto" w:fill="auto"/>
          </w:tcPr>
          <w:p>
            <w:pPr>
              <w:outlineLvl w:val="0"/>
              <w:rPr>
                <w:rFonts w:hint="default" w:ascii="仿宋" w:hAnsi="仿宋" w:eastAsia="仿宋" w:cs="仿宋"/>
                <w:color w:val="000000"/>
                <w:kern w:val="0"/>
                <w:sz w:val="32"/>
                <w:szCs w:val="32"/>
                <w:lang w:val="en-US" w:eastAsia="zh-CN" w:bidi="zh-TW"/>
              </w:rPr>
            </w:pPr>
            <w:r>
              <w:rPr>
                <w:rFonts w:hint="eastAsia" w:ascii="宋体" w:hAnsi="宋体" w:eastAsia="宋体" w:cs="宋体"/>
                <w:sz w:val="18"/>
                <w:szCs w:val="18"/>
              </w:rPr>
              <w:t xml:space="preserve"> 目标1完成情况：</w:t>
            </w:r>
            <w:r>
              <w:rPr>
                <w:rFonts w:hint="eastAsia" w:ascii="宋体" w:hAnsi="宋体" w:eastAsia="宋体" w:cs="宋体"/>
                <w:sz w:val="18"/>
                <w:szCs w:val="18"/>
                <w:lang w:val="en-US" w:eastAsia="zh-CN"/>
              </w:rPr>
              <w:t>普查成果入库率及准确率达100%，经省厅检查验收合……</w:t>
            </w:r>
            <w:r>
              <w:rPr>
                <w:rFonts w:hint="eastAsia" w:ascii="宋体" w:hAnsi="宋体" w:eastAsia="宋体" w:cs="宋体"/>
                <w:sz w:val="18"/>
                <w:szCs w:val="18"/>
              </w:rPr>
              <w:br w:type="textWrapping"/>
            </w:r>
            <w:r>
              <w:rPr>
                <w:rFonts w:hint="eastAsia" w:ascii="宋体" w:hAnsi="宋体" w:eastAsia="宋体" w:cs="宋体"/>
                <w:sz w:val="18"/>
                <w:szCs w:val="18"/>
              </w:rPr>
              <w:t xml:space="preserve"> 目标2完成情况：</w:t>
            </w:r>
            <w:r>
              <w:rPr>
                <w:rFonts w:hint="eastAsia" w:ascii="宋体" w:hAnsi="宋体" w:eastAsia="宋体" w:cs="宋体"/>
                <w:sz w:val="18"/>
                <w:szCs w:val="18"/>
                <w:lang w:val="en-US" w:eastAsia="zh-CN"/>
              </w:rPr>
              <w:t>地名标志设置基本达到了全覆盖。</w:t>
            </w:r>
            <w:r>
              <w:rPr>
                <w:rFonts w:hint="eastAsia" w:ascii="宋体" w:hAnsi="宋体" w:eastAsia="宋体" w:cs="宋体"/>
                <w:sz w:val="18"/>
                <w:szCs w:val="18"/>
              </w:rPr>
              <w:br w:type="textWrapping"/>
            </w:r>
            <w:r>
              <w:rPr>
                <w:rFonts w:hint="eastAsia" w:ascii="宋体" w:hAnsi="宋体" w:eastAsia="宋体" w:cs="宋体"/>
                <w:sz w:val="18"/>
                <w:szCs w:val="18"/>
              </w:rPr>
              <w:t xml:space="preserve"> 目标3完成情况：</w:t>
            </w:r>
            <w:r>
              <w:rPr>
                <w:rFonts w:hint="eastAsia" w:ascii="宋体" w:hAnsi="宋体" w:eastAsia="宋体" w:cs="宋体"/>
                <w:sz w:val="18"/>
                <w:szCs w:val="18"/>
                <w:lang w:val="en-US" w:eastAsia="zh-CN"/>
              </w:rPr>
              <w:t>行政区域界线联检完成率100%。</w:t>
            </w:r>
          </w:p>
          <w:p>
            <w:pPr>
              <w:widowControl/>
              <w:rPr>
                <w:rFonts w:ascii="宋体" w:hAnsi="宋体" w:eastAsia="宋体" w:cs="宋体"/>
                <w:sz w:val="18"/>
                <w:szCs w:val="18"/>
              </w:rPr>
            </w:pPr>
            <w:r>
              <w:rPr>
                <w:rFonts w:hint="eastAsia" w:ascii="宋体" w:hAnsi="宋体" w:eastAsia="宋体" w:cs="宋体"/>
                <w:sz w:val="18"/>
                <w:szCs w:val="18"/>
              </w:rPr>
              <w:br w:type="textWrapping"/>
            </w:r>
          </w:p>
        </w:tc>
      </w:tr>
      <w:tr>
        <w:tblPrEx>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r>
              <w:rPr>
                <w:rFonts w:hint="eastAsia" w:ascii="宋体" w:hAnsi="宋体" w:eastAsia="宋体" w:cs="宋体"/>
                <w:sz w:val="18"/>
                <w:szCs w:val="18"/>
                <w:lang w:eastAsia="zh-CN"/>
              </w:rPr>
              <w:t>由于财政资金紧张，地名标志设置因时间长损坏严重。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pStyle w:val="7"/>
              <w:spacing w:line="560" w:lineRule="exact"/>
              <w:ind w:firstLine="403"/>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整改的措施与建议:将积极筹措资金，更换新的地名标志，扎实提高资金使用率。</w:t>
            </w:r>
          </w:p>
          <w:p>
            <w:pPr>
              <w:pStyle w:val="7"/>
              <w:spacing w:line="560" w:lineRule="exact"/>
              <w:ind w:firstLine="403"/>
              <w:rPr>
                <w:rFonts w:hint="eastAsia" w:ascii="宋体" w:hAnsi="宋体" w:eastAsia="宋体" w:cs="宋体"/>
                <w:color w:val="auto"/>
                <w:kern w:val="2"/>
                <w:sz w:val="18"/>
                <w:szCs w:val="18"/>
                <w:lang w:val="en-US" w:eastAsia="zh-CN" w:bidi="ar-SA"/>
              </w:rPr>
            </w:pPr>
          </w:p>
        </w:tc>
      </w:tr>
      <w:tr>
        <w:tblPrEx>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29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12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　</w:t>
            </w:r>
            <w:r>
              <w:rPr>
                <w:rFonts w:hint="eastAsia" w:ascii="宋体" w:hAnsi="宋体" w:eastAsia="宋体" w:cs="宋体"/>
                <w:sz w:val="18"/>
                <w:szCs w:val="18"/>
                <w:lang w:eastAsia="zh-CN"/>
              </w:rPr>
              <w:t>普查成果入库率</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20</w:t>
            </w: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98%</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99%</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19</w:t>
            </w: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rPr>
              <w:t>　</w:t>
            </w:r>
            <w:r>
              <w:rPr>
                <w:rFonts w:hint="eastAsia" w:ascii="宋体" w:hAnsi="宋体" w:eastAsia="宋体" w:cs="宋体"/>
                <w:sz w:val="18"/>
                <w:szCs w:val="18"/>
                <w:lang w:eastAsia="zh-CN"/>
              </w:rPr>
              <w:t>地名标志覆盖率</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99%</w:t>
            </w: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19</w:t>
            </w: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普查成果准确率</w:t>
            </w: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98%</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10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90"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2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各种地名标志设置规范化、标准化率</w:t>
            </w: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20</w:t>
            </w: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outlineLvl w:val="0"/>
              <w:rPr>
                <w:rFonts w:hint="default" w:ascii="仿宋" w:hAnsi="仿宋" w:eastAsia="仿宋" w:cs="仿宋"/>
                <w:color w:val="000000"/>
                <w:kern w:val="0"/>
                <w:sz w:val="32"/>
                <w:szCs w:val="32"/>
                <w:lang w:val="en-US" w:eastAsia="zh-CN" w:bidi="zh-TW"/>
              </w:rPr>
            </w:pPr>
            <w:r>
              <w:rPr>
                <w:rFonts w:hint="eastAsia" w:ascii="宋体" w:hAnsi="宋体" w:eastAsia="宋体" w:cs="宋体"/>
                <w:sz w:val="18"/>
                <w:szCs w:val="18"/>
                <w:lang w:val="en-US" w:eastAsia="zh-CN"/>
              </w:rPr>
              <w:t>行政区域界线联检完成率。</w:t>
            </w:r>
          </w:p>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2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2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eastAsia="zh-CN"/>
              </w:rPr>
              <w:t>为社会提供方便快捷的公共服务</w:t>
            </w: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sz w:val="18"/>
                <w:szCs w:val="18"/>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9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w:t>
            </w:r>
          </w:p>
        </w:tc>
        <w:tc>
          <w:tcPr>
            <w:tcW w:w="12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01" w:hRule="atLeast"/>
          <w:jc w:val="center"/>
        </w:trPr>
        <w:tc>
          <w:tcPr>
            <w:tcW w:w="43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98</w:t>
            </w: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p>
      <w:pPr>
        <w:pStyle w:val="7"/>
        <w:spacing w:after="280" w:line="240" w:lineRule="auto"/>
        <w:ind w:firstLine="0"/>
        <w:jc w:val="center"/>
        <w:rPr>
          <w:rFonts w:eastAsia="宋体"/>
          <w:lang w:eastAsia="zh-CN"/>
        </w:rPr>
        <w:sectPr>
          <w:headerReference r:id="rId7" w:type="default"/>
          <w:footerReference r:id="rId8" w:type="default"/>
          <w:pgSz w:w="11900" w:h="16840"/>
          <w:pgMar w:top="1418" w:right="1418" w:bottom="1418" w:left="1418" w:header="0" w:footer="6" w:gutter="0"/>
          <w:cols w:space="720"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GqiLH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75"/>
    <w:rsid w:val="00540209"/>
    <w:rsid w:val="007C551D"/>
    <w:rsid w:val="00A427D7"/>
    <w:rsid w:val="00BD4370"/>
    <w:rsid w:val="00C97F75"/>
    <w:rsid w:val="00E34539"/>
    <w:rsid w:val="00ED30B8"/>
    <w:rsid w:val="0CB125B7"/>
    <w:rsid w:val="0FBB453C"/>
    <w:rsid w:val="11FF62FA"/>
    <w:rsid w:val="1A2B64D9"/>
    <w:rsid w:val="1E331E8B"/>
    <w:rsid w:val="20D339DE"/>
    <w:rsid w:val="596F6CC7"/>
    <w:rsid w:val="61C945F9"/>
    <w:rsid w:val="7597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qFormat/>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1418</Characters>
  <Lines>11</Lines>
  <Paragraphs>3</Paragraphs>
  <TotalTime>3</TotalTime>
  <ScaleCrop>false</ScaleCrop>
  <LinksUpToDate>false</LinksUpToDate>
  <CharactersWithSpaces>1663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cp:lastPrinted>2021-04-26T02:24:00Z</cp:lastPrinted>
  <dcterms:modified xsi:type="dcterms:W3CDTF">2021-04-29T01:23:18Z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810769593_btnclosed</vt:lpwstr>
  </property>
  <property fmtid="{D5CDD505-2E9C-101B-9397-08002B2CF9AE}" pid="3" name="KSOProductBuildVer">
    <vt:lpwstr>2052-11.1.0.10356</vt:lpwstr>
  </property>
  <property fmtid="{D5CDD505-2E9C-101B-9397-08002B2CF9AE}" pid="4" name="ICV">
    <vt:lpwstr>2B326A8EDA1A458FB24F7D03506AB50C</vt:lpwstr>
  </property>
</Properties>
</file>