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孤儿助学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社会事务办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王英楠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24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河北省民政厅关于开展“福彩圆梦•孤儿助学工程”项目的通知》文件精神，为本省户籍，已被认定为孤儿身份、年满18周岁后在普通全日制本科学校、普通全日制专科学校、高等职业学校等高等院校及中等职业学校就读的中专、大专、本科学生和硕士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发放助学资金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（一）项目资金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2020年上半年，为符合资助条件的9人办理资助手续，并发放助学资金45000元；2020年下半年，为符合资助条件的8人办理资助手续，并发放助学资金4000元。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</w:p>
    <w:p>
      <w:pPr>
        <w:pStyle w:val="7"/>
        <w:spacing w:line="560" w:lineRule="exact"/>
        <w:ind w:firstLine="0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孤儿助学资金按季银行化发放，资金直达个人账户。项目管理规范，确保专款专用，资金由福利彩票公益金提供支持。</w:t>
      </w:r>
    </w:p>
    <w:p>
      <w:pPr>
        <w:pStyle w:val="7"/>
        <w:spacing w:line="560" w:lineRule="exact"/>
        <w:ind w:firstLine="40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孤儿助学资金是对孤儿等特殊群体的关爱保障，体现了国家对孤弃儿童的制度关怀，彰显了中国特色社会主义制度的优越性。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数量指标。满足资助条件儿童17人次。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“孤儿助学”资金发放完成率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为100%。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3）时效指标。每季度末为满足条件学生发放。</w:t>
      </w:r>
    </w:p>
    <w:p>
      <w:pPr>
        <w:spacing w:line="360" w:lineRule="auto"/>
        <w:ind w:firstLine="800" w:firstLineChars="25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（1）社会效益。为孤儿身份、年满18周岁在校生减轻经济负担。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spacing w:line="360" w:lineRule="auto"/>
        <w:ind w:firstLine="1120" w:firstLineChars="35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下一步，我们将继续为满足条件孤儿提供资助申请的办理，保证资助资金及时发放到位。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孤儿助学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王英楠  4626115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乐亭县民政局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社会事务办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8.5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8.5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为孤儿身份、年满18周岁普通全日制本科学校、普通全日制专科学校、高职学校及中职学校就读的中专、大专、本科学生和硕士研究生提供资助。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上半年为9人提供资助，下半年为8人提供资助。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资助儿童人次数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助学金发放率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每季度末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每季度末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每季度末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为孤儿身份、年满18周岁在校生减轻经济负担。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群众满意度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≧90%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99%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9.9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99.9%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99.9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5419B"/>
    <w:rsid w:val="00066D63"/>
    <w:rsid w:val="000E6F19"/>
    <w:rsid w:val="001F0980"/>
    <w:rsid w:val="001F65AF"/>
    <w:rsid w:val="002265E8"/>
    <w:rsid w:val="002E27A0"/>
    <w:rsid w:val="0032094B"/>
    <w:rsid w:val="004711D4"/>
    <w:rsid w:val="004A39E9"/>
    <w:rsid w:val="004F5D5C"/>
    <w:rsid w:val="00540209"/>
    <w:rsid w:val="00622DC5"/>
    <w:rsid w:val="00627F68"/>
    <w:rsid w:val="006B376F"/>
    <w:rsid w:val="007847FD"/>
    <w:rsid w:val="007B79B8"/>
    <w:rsid w:val="007C551D"/>
    <w:rsid w:val="009103A7"/>
    <w:rsid w:val="00967621"/>
    <w:rsid w:val="00A0668C"/>
    <w:rsid w:val="00A427D7"/>
    <w:rsid w:val="00B2254E"/>
    <w:rsid w:val="00BD4370"/>
    <w:rsid w:val="00C65EEC"/>
    <w:rsid w:val="00C97F75"/>
    <w:rsid w:val="00E34539"/>
    <w:rsid w:val="00ED30B8"/>
    <w:rsid w:val="00FC4C2F"/>
    <w:rsid w:val="13DA2B40"/>
    <w:rsid w:val="40EE76A0"/>
    <w:rsid w:val="49424371"/>
    <w:rsid w:val="6C745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</Words>
  <Characters>1440</Characters>
  <Lines>12</Lines>
  <Paragraphs>3</Paragraphs>
  <TotalTime>55</TotalTime>
  <ScaleCrop>false</ScaleCrop>
  <LinksUpToDate>false</LinksUpToDate>
  <CharactersWithSpaces>1689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admin</dc:creator>
  <cp:lastModifiedBy>Administrator</cp:lastModifiedBy>
  <dcterms:modified xsi:type="dcterms:W3CDTF">2021-04-30T02:00:44Z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DDCD5C7313C3478FB2B40B3320AA3F03</vt:lpwstr>
  </property>
</Properties>
</file>