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ind w:firstLine="600"/>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rPr>
        <w:t>20</w:t>
      </w:r>
      <w:r>
        <w:rPr>
          <w:rFonts w:ascii="Times New Roman" w:hAnsi="Times New Roman" w:eastAsia="仿宋" w:cs="Times New Roman"/>
          <w:sz w:val="30"/>
          <w:szCs w:val="30"/>
        </w:rPr>
        <w:t>年度）</w:t>
      </w:r>
    </w:p>
    <w:p>
      <w:pPr>
        <w:ind w:firstLine="420"/>
        <w:jc w:val="center"/>
        <w:rPr>
          <w:rFonts w:ascii="Times New Roman" w:hAnsi="Times New Roman" w:eastAsia="仿宋" w:cs="Times New Roman"/>
        </w:rPr>
      </w:pPr>
    </w:p>
    <w:p>
      <w:pPr>
        <w:ind w:firstLine="420"/>
        <w:jc w:val="center"/>
        <w:rPr>
          <w:rFonts w:ascii="Times New Roman" w:hAnsi="Times New Roman" w:eastAsia="仿宋" w:cs="Times New Roman"/>
        </w:rPr>
      </w:pPr>
    </w:p>
    <w:p>
      <w:pPr>
        <w:ind w:left="0" w:firstLine="0" w:firstLineChars="0"/>
        <w:jc w:val="center"/>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ind w:firstLine="420"/>
        <w:jc w:val="center"/>
        <w:rPr>
          <w:rFonts w:ascii="Times New Roman" w:hAnsi="Times New Roman" w:eastAsia="仿宋" w:cs="Times New Roman"/>
        </w:rPr>
      </w:pPr>
    </w:p>
    <w:p>
      <w:pPr>
        <w:ind w:firstLine="420"/>
        <w:jc w:val="center"/>
        <w:rPr>
          <w:rFonts w:ascii="Times New Roman" w:hAnsi="Times New Roman" w:eastAsia="仿宋" w:cs="Times New Roman"/>
        </w:rPr>
      </w:pPr>
    </w:p>
    <w:p>
      <w:pPr>
        <w:ind w:left="0" w:firstLine="0" w:firstLineChars="0"/>
        <w:jc w:val="center"/>
        <w:rPr>
          <w:rFonts w:ascii="Times New Roman" w:hAnsi="Times New Roman" w:eastAsia="仿宋" w:cs="Times New Roman"/>
          <w:sz w:val="32"/>
          <w:szCs w:val="32"/>
        </w:rPr>
      </w:pPr>
    </w:p>
    <w:p>
      <w:pPr>
        <w:ind w:firstLine="1920" w:firstLineChars="600"/>
        <w:jc w:val="center"/>
        <w:rPr>
          <w:rFonts w:ascii="Times New Roman" w:hAnsi="Times New Roman" w:eastAsia="仿宋" w:cs="Times New Roman"/>
          <w:sz w:val="32"/>
          <w:szCs w:val="32"/>
        </w:rPr>
      </w:pPr>
    </w:p>
    <w:p>
      <w:pPr>
        <w:ind w:firstLine="198" w:firstLineChars="62"/>
        <w:jc w:val="center"/>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汀流河镇人民政府 （加盖公章）</w:t>
      </w:r>
    </w:p>
    <w:p>
      <w:pPr>
        <w:ind w:firstLine="198" w:firstLineChars="62"/>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4855130           </w:t>
      </w:r>
    </w:p>
    <w:p>
      <w:pPr>
        <w:ind w:left="0" w:firstLine="0" w:firstLineChars="0"/>
        <w:jc w:val="center"/>
        <w:rPr>
          <w:rFonts w:ascii="Times New Roman" w:hAnsi="Times New Roman" w:eastAsia="仿宋" w:cs="Times New Roman"/>
          <w:sz w:val="32"/>
          <w:szCs w:val="32"/>
        </w:rPr>
      </w:pPr>
    </w:p>
    <w:p>
      <w:pPr>
        <w:ind w:firstLine="1440" w:firstLineChars="450"/>
        <w:jc w:val="center"/>
        <w:rPr>
          <w:rFonts w:ascii="Times New Roman" w:hAnsi="Times New Roman" w:eastAsia="仿宋" w:cs="Times New Roman"/>
          <w:sz w:val="32"/>
          <w:szCs w:val="32"/>
        </w:rPr>
      </w:pPr>
    </w:p>
    <w:p>
      <w:pPr>
        <w:ind w:firstLine="640"/>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：2020</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4</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25</w:t>
      </w:r>
      <w:r>
        <w:rPr>
          <w:rFonts w:ascii="Times New Roman" w:hAnsi="Times New Roman" w:eastAsia="仿宋" w:cs="Times New Roman"/>
          <w:sz w:val="32"/>
          <w:szCs w:val="32"/>
        </w:rPr>
        <w:t>日</w:t>
      </w:r>
    </w:p>
    <w:p>
      <w:pPr>
        <w:ind w:firstLine="640"/>
        <w:jc w:val="center"/>
        <w:rPr>
          <w:rFonts w:ascii="仿宋" w:hAnsi="仿宋" w:eastAsia="仿宋" w:cs="Times New Roman"/>
          <w:sz w:val="32"/>
          <w:szCs w:val="32"/>
        </w:rPr>
      </w:pPr>
      <w:r>
        <w:rPr>
          <w:rFonts w:hint="eastAsia" w:ascii="仿宋" w:hAnsi="仿宋" w:eastAsia="仿宋" w:cs="Times New Roman"/>
          <w:sz w:val="32"/>
          <w:szCs w:val="32"/>
        </w:rPr>
        <w:t>汀流河镇人民政府编</w:t>
      </w:r>
      <w:r>
        <w:rPr>
          <w:rFonts w:ascii="仿宋" w:hAnsi="仿宋" w:eastAsia="仿宋" w:cs="Times New Roman"/>
          <w:sz w:val="32"/>
          <w:szCs w:val="32"/>
        </w:rPr>
        <w:t>制</w:t>
      </w:r>
    </w:p>
    <w:p>
      <w:pPr>
        <w:widowControl/>
        <w:ind w:firstLine="883"/>
        <w:jc w:val="left"/>
        <w:rPr>
          <w:rFonts w:cs="Times New Roman" w:asciiTheme="minorEastAsia" w:hAnsiTheme="minorEastAsia"/>
          <w:b/>
          <w:sz w:val="44"/>
          <w:szCs w:val="44"/>
        </w:rPr>
      </w:pPr>
      <w:r>
        <w:rPr>
          <w:rFonts w:cs="Times New Roman" w:asciiTheme="minorEastAsia" w:hAnsiTheme="minorEastAsia"/>
          <w:b/>
          <w:sz w:val="44"/>
          <w:szCs w:val="44"/>
        </w:rPr>
        <w:br w:type="page"/>
      </w:r>
    </w:p>
    <w:p>
      <w:pPr>
        <w:ind w:firstLine="883"/>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pStyle w:val="9"/>
        <w:numPr>
          <w:ilvl w:val="0"/>
          <w:numId w:val="1"/>
        </w:numPr>
        <w:ind w:firstLineChars="0"/>
        <w:rPr>
          <w:rFonts w:cs="Times New Roman" w:asciiTheme="minorEastAsia" w:hAnsiTheme="minorEastAsia"/>
          <w:b/>
          <w:sz w:val="28"/>
          <w:szCs w:val="28"/>
        </w:rPr>
      </w:pPr>
      <w:r>
        <w:rPr>
          <w:rFonts w:cs="Times New Roman" w:asciiTheme="minorEastAsia" w:hAnsiTheme="minorEastAsia"/>
          <w:b/>
          <w:sz w:val="28"/>
          <w:szCs w:val="28"/>
        </w:rPr>
        <w:t>部门</w:t>
      </w:r>
      <w:r>
        <w:rPr>
          <w:rFonts w:hint="eastAsia" w:cs="Times New Roman" w:asciiTheme="minorEastAsia" w:hAnsiTheme="minorEastAsia"/>
          <w:b/>
          <w:sz w:val="28"/>
          <w:szCs w:val="28"/>
        </w:rPr>
        <w:t>整体</w:t>
      </w:r>
      <w:r>
        <w:rPr>
          <w:rFonts w:cs="Times New Roman" w:asciiTheme="minorEastAsia" w:hAnsiTheme="minorEastAsia"/>
          <w:b/>
          <w:sz w:val="28"/>
          <w:szCs w:val="28"/>
        </w:rPr>
        <w:t>概况</w:t>
      </w:r>
    </w:p>
    <w:p>
      <w:pPr>
        <w:spacing w:line="240" w:lineRule="auto"/>
        <w:ind w:firstLine="560"/>
        <w:jc w:val="left"/>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sz w:val="28"/>
          <w:szCs w:val="28"/>
        </w:rPr>
        <w:t>乐亭县汀流河镇人民政府是正科级行政部门，属于财政全额</w:t>
      </w:r>
      <w:r>
        <w:rPr>
          <w:rFonts w:hint="eastAsia" w:cs="Times New Roman" w:asciiTheme="minorEastAsia" w:hAnsiTheme="minorEastAsia"/>
          <w:sz w:val="28"/>
          <w:szCs w:val="28"/>
          <w:lang w:eastAsia="zh-CN"/>
        </w:rPr>
        <w:t>拨</w:t>
      </w:r>
      <w:r>
        <w:rPr>
          <w:rFonts w:hint="eastAsia" w:cs="Times New Roman" w:asciiTheme="minorEastAsia" w:hAnsiTheme="minorEastAsia"/>
          <w:sz w:val="28"/>
          <w:szCs w:val="28"/>
        </w:rPr>
        <w:t>款单位，</w:t>
      </w:r>
      <w:r>
        <w:rPr>
          <w:rFonts w:cs="Times New Roman" w:asciiTheme="minorEastAsia" w:hAnsiTheme="minorEastAsia"/>
          <w:sz w:val="28"/>
          <w:szCs w:val="28"/>
        </w:rPr>
        <w:t>本部门20</w:t>
      </w:r>
      <w:r>
        <w:rPr>
          <w:rFonts w:hint="eastAsia" w:cs="Times New Roman" w:asciiTheme="minorEastAsia" w:hAnsiTheme="minorEastAsia"/>
          <w:sz w:val="28"/>
          <w:szCs w:val="28"/>
        </w:rPr>
        <w:t>20</w:t>
      </w:r>
      <w:r>
        <w:rPr>
          <w:rFonts w:cs="Times New Roman" w:asciiTheme="minorEastAsia" w:hAnsiTheme="minorEastAsia"/>
          <w:sz w:val="28"/>
          <w:szCs w:val="28"/>
        </w:rPr>
        <w:t>年度申请预算</w:t>
      </w:r>
      <w:r>
        <w:rPr>
          <w:rFonts w:hint="eastAsia" w:cs="Times New Roman" w:asciiTheme="minorEastAsia" w:hAnsiTheme="minorEastAsia"/>
          <w:sz w:val="28"/>
          <w:szCs w:val="28"/>
        </w:rPr>
        <w:t>资金</w:t>
      </w:r>
      <w:r>
        <w:rPr>
          <w:rFonts w:hint="eastAsia" w:ascii="宋体" w:hAnsi="宋体" w:cs="宋体"/>
          <w:color w:val="333333"/>
          <w:kern w:val="0"/>
          <w:sz w:val="28"/>
          <w:szCs w:val="28"/>
        </w:rPr>
        <w:t>2007.43</w:t>
      </w:r>
      <w:r>
        <w:rPr>
          <w:rFonts w:hint="eastAsia" w:cs="Times New Roman" w:asciiTheme="minorEastAsia" w:hAnsiTheme="minorEastAsia"/>
          <w:sz w:val="28"/>
          <w:szCs w:val="28"/>
        </w:rPr>
        <w:t>万元，实际支出</w:t>
      </w:r>
      <w:r>
        <w:rPr>
          <w:rFonts w:hint="eastAsia" w:ascii="宋体" w:hAnsi="宋体" w:cs="宋体"/>
          <w:color w:val="333333"/>
          <w:kern w:val="0"/>
          <w:sz w:val="28"/>
          <w:szCs w:val="28"/>
        </w:rPr>
        <w:t>2394.85</w:t>
      </w:r>
      <w:r>
        <w:rPr>
          <w:rFonts w:hint="eastAsia" w:cs="Times New Roman" w:asciiTheme="minorEastAsia" w:hAnsiTheme="minorEastAsia"/>
          <w:sz w:val="28"/>
          <w:szCs w:val="28"/>
        </w:rPr>
        <w:t>万元，预算执行率100</w:t>
      </w:r>
      <w:r>
        <w:rPr>
          <w:rFonts w:cs="Times New Roman" w:asciiTheme="minorEastAsia" w:hAnsiTheme="minorEastAsia"/>
          <w:sz w:val="28"/>
          <w:szCs w:val="28"/>
        </w:rPr>
        <w:t>%</w:t>
      </w:r>
      <w:r>
        <w:rPr>
          <w:rFonts w:hint="eastAsia" w:cs="Times New Roman" w:asciiTheme="minorEastAsia" w:hAnsiTheme="minorEastAsia"/>
          <w:sz w:val="28"/>
          <w:szCs w:val="28"/>
        </w:rPr>
        <w:t>。</w:t>
      </w:r>
      <w:r>
        <w:rPr>
          <w:rFonts w:hint="eastAsia" w:cs="Times New Roman" w:asciiTheme="minorEastAsia" w:hAnsiTheme="minorEastAsia"/>
          <w:color w:val="000000" w:themeColor="text1"/>
          <w:sz w:val="28"/>
          <w:szCs w:val="28"/>
          <w14:textFill>
            <w14:solidFill>
              <w14:schemeClr w14:val="tx1"/>
            </w14:solidFill>
          </w14:textFill>
        </w:rPr>
        <w:t>其中：专项</w:t>
      </w:r>
      <w:r>
        <w:rPr>
          <w:rFonts w:cs="Times New Roman" w:asciiTheme="minorEastAsia" w:hAnsiTheme="minorEastAsia"/>
          <w:color w:val="000000" w:themeColor="text1"/>
          <w:sz w:val="28"/>
          <w:szCs w:val="28"/>
          <w14:textFill>
            <w14:solidFill>
              <w14:schemeClr w14:val="tx1"/>
            </w14:solidFill>
          </w14:textFill>
        </w:rPr>
        <w:t>项目</w:t>
      </w:r>
      <w:r>
        <w:rPr>
          <w:rFonts w:hint="eastAsia" w:cs="Times New Roman" w:asciiTheme="minorEastAsia" w:hAnsiTheme="minorEastAsia"/>
          <w:color w:val="000000" w:themeColor="text1"/>
          <w:sz w:val="28"/>
          <w:szCs w:val="28"/>
          <w14:textFill>
            <w14:solidFill>
              <w14:schemeClr w14:val="tx1"/>
            </w14:solidFill>
          </w14:textFill>
        </w:rPr>
        <w:t>4</w:t>
      </w:r>
      <w:r>
        <w:rPr>
          <w:rFonts w:cs="Times New Roman" w:asciiTheme="minorEastAsia" w:hAnsiTheme="minorEastAsia"/>
          <w:color w:val="000000" w:themeColor="text1"/>
          <w:sz w:val="28"/>
          <w:szCs w:val="28"/>
          <w14:textFill>
            <w14:solidFill>
              <w14:schemeClr w14:val="tx1"/>
            </w14:solidFill>
          </w14:textFill>
        </w:rPr>
        <w:t>个，金额合计</w:t>
      </w:r>
      <w:r>
        <w:rPr>
          <w:rFonts w:hint="eastAsia" w:cs="Times New Roman" w:asciiTheme="minorEastAsia" w:hAnsiTheme="minorEastAsia"/>
          <w:color w:val="000000" w:themeColor="text1"/>
          <w:sz w:val="28"/>
          <w:szCs w:val="28"/>
          <w14:textFill>
            <w14:solidFill>
              <w14:schemeClr w14:val="tx1"/>
            </w14:solidFill>
          </w14:textFill>
        </w:rPr>
        <w:t>275.4</w:t>
      </w:r>
      <w:r>
        <w:rPr>
          <w:rFonts w:cs="Times New Roman" w:asciiTheme="minorEastAsia" w:hAnsiTheme="minorEastAsia"/>
          <w:color w:val="000000" w:themeColor="text1"/>
          <w:sz w:val="28"/>
          <w:szCs w:val="28"/>
          <w14:textFill>
            <w14:solidFill>
              <w14:schemeClr w14:val="tx1"/>
            </w14:solidFill>
          </w14:textFill>
        </w:rPr>
        <w:t>万元，实际</w:t>
      </w:r>
      <w:r>
        <w:rPr>
          <w:rFonts w:hint="eastAsia" w:cs="Times New Roman" w:asciiTheme="minorEastAsia" w:hAnsiTheme="minorEastAsia"/>
          <w:color w:val="000000" w:themeColor="text1"/>
          <w:sz w:val="28"/>
          <w:szCs w:val="28"/>
          <w14:textFill>
            <w14:solidFill>
              <w14:schemeClr w14:val="tx1"/>
            </w14:solidFill>
          </w14:textFill>
        </w:rPr>
        <w:t>支出275.4</w:t>
      </w:r>
      <w:r>
        <w:rPr>
          <w:rFonts w:cs="Times New Roman" w:asciiTheme="minorEastAsia" w:hAnsiTheme="minorEastAsia"/>
          <w:color w:val="000000" w:themeColor="text1"/>
          <w:sz w:val="28"/>
          <w:szCs w:val="28"/>
          <w14:textFill>
            <w14:solidFill>
              <w14:schemeClr w14:val="tx1"/>
            </w14:solidFill>
          </w14:textFill>
        </w:rPr>
        <w:t>万元，执行率为</w:t>
      </w:r>
      <w:r>
        <w:rPr>
          <w:rFonts w:hint="eastAsia" w:cs="Times New Roman" w:asciiTheme="minorEastAsia" w:hAnsiTheme="minorEastAsia"/>
          <w:color w:val="000000" w:themeColor="text1"/>
          <w:sz w:val="28"/>
          <w:szCs w:val="28"/>
          <w14:textFill>
            <w14:solidFill>
              <w14:schemeClr w14:val="tx1"/>
            </w14:solidFill>
          </w14:textFill>
        </w:rPr>
        <w:t>100</w:t>
      </w:r>
      <w:r>
        <w:rPr>
          <w:rFonts w:cs="Times New Roman" w:asciiTheme="minorEastAsia" w:hAnsiTheme="minorEastAsia"/>
          <w:color w:val="000000" w:themeColor="text1"/>
          <w:sz w:val="28"/>
          <w:szCs w:val="28"/>
          <w14:textFill>
            <w14:solidFill>
              <w14:schemeClr w14:val="tx1"/>
            </w14:solidFill>
          </w14:textFill>
        </w:rPr>
        <w:t>%。</w:t>
      </w:r>
    </w:p>
    <w:p>
      <w:pPr>
        <w:pStyle w:val="4"/>
        <w:widowControl/>
        <w:spacing w:after="226" w:line="405" w:lineRule="atLeast"/>
        <w:ind w:left="0" w:firstLine="560"/>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shd w:val="clear" w:color="auto" w:fill="FFFFFF"/>
          <w14:textFill>
            <w14:solidFill>
              <w14:schemeClr w14:val="tx1"/>
            </w14:solidFill>
          </w14:textFill>
        </w:rPr>
        <w:t>(一)主要职责</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1、贯彻落实党和国家在农村的各项方针政策和法律法规，做好农村、农业、农民工作。</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2、协调促进农村经济发展，维护农村稳定，增加农民收入，强化公共服务，改善民生，推进基层民主，促进农村和谐。</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3、加强农村基础设施建设和新型农村服务体系建设，落实强农惠农措施，着力解决群众生产生活中的突出问题，切实维护农民合法权益。</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4、增强社会管理和公共服务职能。</w:t>
      </w:r>
    </w:p>
    <w:p>
      <w:pPr>
        <w:pStyle w:val="4"/>
        <w:widowControl/>
        <w:spacing w:after="226" w:line="405" w:lineRule="atLeast"/>
        <w:ind w:firstLine="56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5、承办县委县政府的其他事项。</w:t>
      </w:r>
    </w:p>
    <w:p>
      <w:pPr>
        <w:pStyle w:val="4"/>
        <w:widowControl/>
        <w:spacing w:after="226" w:line="405" w:lineRule="atLeast"/>
        <w:ind w:left="0" w:firstLine="56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(二)部门预算单位构成</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1、机构及组成单位情况及单位性质</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汀流河镇人民政府是独立编制预算行政机构。下设党政综合办公室，经济发展办公室，社会事务办公室，财政所，文化综合服务中心，劳动保障事务站，人口和计划生育服务中心。</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2、人员构成情况</w:t>
      </w:r>
    </w:p>
    <w:p>
      <w:pPr>
        <w:pStyle w:val="4"/>
        <w:widowControl/>
        <w:spacing w:after="226" w:line="405" w:lineRule="atLeast"/>
        <w:ind w:left="0" w:firstLine="560"/>
        <w:rPr>
          <w:rFonts w:cs="宋体"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8"/>
          <w:szCs w:val="28"/>
          <w:shd w:val="clear" w:color="auto" w:fill="FFFFFF"/>
          <w14:textFill>
            <w14:solidFill>
              <w14:schemeClr w14:val="tx1"/>
            </w14:solidFill>
          </w14:textFill>
        </w:rPr>
        <w:t>汀流河镇人民政府共计111 人，其中：在职人员 71 人，离退休人员 40人。</w:t>
      </w:r>
    </w:p>
    <w:p>
      <w:pPr>
        <w:ind w:left="0" w:firstLine="0" w:firstLineChars="0"/>
        <w:rPr>
          <w:rFonts w:cs="Times New Roman" w:asciiTheme="minorEastAsia" w:hAnsiTheme="minorEastAsia"/>
          <w:b/>
          <w:sz w:val="28"/>
          <w:szCs w:val="28"/>
        </w:rPr>
      </w:pPr>
      <w:r>
        <w:rPr>
          <w:rFonts w:cs="Times New Roman" w:asciiTheme="minorEastAsia" w:hAnsiTheme="minorEastAsia"/>
          <w:b/>
          <w:sz w:val="28"/>
          <w:szCs w:val="28"/>
        </w:rPr>
        <w:t>二、部门总体绩效目标和绩效指标设定情况</w:t>
      </w:r>
    </w:p>
    <w:p>
      <w:pPr>
        <w:pStyle w:val="4"/>
        <w:widowControl/>
        <w:spacing w:after="226" w:line="405" w:lineRule="atLeast"/>
        <w:ind w:left="0" w:firstLine="560"/>
        <w:rPr>
          <w:rFonts w:cs="宋体"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8"/>
          <w:szCs w:val="28"/>
          <w:shd w:val="clear" w:color="auto" w:fill="FFFFFF"/>
          <w14:textFill>
            <w14:solidFill>
              <w14:schemeClr w14:val="tx1"/>
            </w14:solidFill>
          </w14:textFill>
        </w:rPr>
        <w:t>本年收入2007.43万元，比上年决算少1171.37万元，主要是因为村干部工资发放形式改变，涉农项目增加，其中：财政拨款收入2007.43万元。本年支出：2394.85万元，比上年支出少457.45万元，主要原因预算项目增加，其中，人员经费773.85万元，比上年减少68万元，原因是人员交替，新入职人员工资暂未发放。</w:t>
      </w:r>
    </w:p>
    <w:p>
      <w:pPr>
        <w:snapToGrid w:val="0"/>
        <w:spacing w:line="560" w:lineRule="exact"/>
        <w:ind w:left="0" w:firstLine="420" w:firstLineChars="150"/>
        <w:jc w:val="left"/>
        <w:rPr>
          <w:rFonts w:cs="仿宋_GB2312" w:asciiTheme="minorEastAsia" w:hAnsiTheme="minorEastAsia"/>
          <w:sz w:val="28"/>
          <w:szCs w:val="28"/>
        </w:rPr>
      </w:pPr>
      <w:r>
        <w:rPr>
          <w:rFonts w:hint="eastAsia" w:cs="宋体" w:asciiTheme="minorEastAsia" w:hAnsiTheme="minorEastAsia"/>
          <w:color w:val="333333"/>
          <w:sz w:val="28"/>
          <w:szCs w:val="28"/>
          <w:shd w:val="clear" w:color="auto" w:fill="FFFFFF"/>
        </w:rPr>
        <w:t>我单位从以下四方面对预算资金进行绩效管理。</w:t>
      </w:r>
    </w:p>
    <w:p>
      <w:pPr>
        <w:pStyle w:val="4"/>
        <w:shd w:val="clear" w:color="auto" w:fill="FFFFFF"/>
        <w:spacing w:after="0" w:line="480" w:lineRule="auto"/>
        <w:ind w:left="0" w:firstLine="420" w:firstLineChars="15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执行了预算政策要求。我单位工作经费安排严格按照年初预算来执行，有效防止了超预算；认真学习财经法规，严格执行财经纪律，防止了违法违纪行为的发生；认真落实了有关资金要求，主动及时上缴了年度结转结余资金。</w:t>
      </w:r>
    </w:p>
    <w:p>
      <w:pPr>
        <w:pStyle w:val="4"/>
        <w:shd w:val="clear" w:color="auto" w:fill="FFFFFF"/>
        <w:spacing w:after="0" w:line="480" w:lineRule="auto"/>
        <w:ind w:firstLine="0" w:firstLineChars="0"/>
        <w:jc w:val="both"/>
        <w:rPr>
          <w:rFonts w:asciiTheme="minorEastAsia" w:hAnsiTheme="minorEastAsia" w:eastAsiaTheme="minorEastAsia"/>
          <w:color w:val="000000"/>
          <w:sz w:val="28"/>
          <w:szCs w:val="28"/>
        </w:rPr>
      </w:pPr>
    </w:p>
    <w:p>
      <w:pPr>
        <w:pStyle w:val="4"/>
        <w:shd w:val="clear" w:color="auto" w:fill="FFFFFF"/>
        <w:spacing w:after="0" w:line="480" w:lineRule="auto"/>
        <w:ind w:left="640" w:leftChars="305" w:firstLine="420" w:firstLineChars="15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2、保障了机关有效运转。严格按照厉行节约的要求，精打细算，规范机关事务管理工作，提高服务质量，降低运行成本，合理配置，提高保障能力。保障了干部待遇按政策发放落实。</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加强了干部队伍建设。我镇党委认真贯彻落实全面从严治党各项要求，始终坚持把纪律规矩挺在最前面。不定期开展党风廉政建设专题党课活动，全面贯彻落实习近平新时代中国特色社会主义思想和党的十九大精神，深化推进党风廉政建设和反腐败工作纵深发展。</w:t>
      </w:r>
    </w:p>
    <w:p>
      <w:pPr>
        <w:pStyle w:val="4"/>
        <w:shd w:val="clear" w:color="auto" w:fill="FFFFFF"/>
        <w:spacing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4、强化了财政职能工作。顺利推进了预算改革、政府购买服务等。积极化解了财政风险，强化了债务风险规范了政府债务管理，积极强化了财政监管，提升了管理水平。</w:t>
      </w:r>
    </w:p>
    <w:p>
      <w:pPr>
        <w:pStyle w:val="4"/>
        <w:widowControl/>
        <w:spacing w:after="226" w:line="405" w:lineRule="atLeast"/>
        <w:ind w:left="0" w:firstLine="0" w:firstLineChars="0"/>
        <w:rPr>
          <w:rFonts w:asciiTheme="minorEastAsia" w:hAnsiTheme="minorEastAsia" w:eastAsiaTheme="minorEastAsia"/>
          <w:color w:val="333333"/>
          <w:sz w:val="28"/>
          <w:szCs w:val="28"/>
        </w:rPr>
      </w:pPr>
      <w:r>
        <w:rPr>
          <w:rFonts w:asciiTheme="minorEastAsia" w:hAnsiTheme="minorEastAsia"/>
          <w:b/>
          <w:sz w:val="28"/>
          <w:szCs w:val="28"/>
        </w:rPr>
        <w:t>三、绩效评价组织情况</w:t>
      </w:r>
    </w:p>
    <w:p>
      <w:pPr>
        <w:ind w:firstLine="56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本次绩效评价项目</w:t>
      </w:r>
      <w:r>
        <w:rPr>
          <w:rFonts w:hint="eastAsia" w:cs="Times New Roman" w:asciiTheme="minorEastAsia" w:hAnsiTheme="minorEastAsia"/>
          <w:color w:val="000000" w:themeColor="text1"/>
          <w:sz w:val="28"/>
          <w:szCs w:val="28"/>
          <w14:textFill>
            <w14:solidFill>
              <w14:schemeClr w14:val="tx1"/>
            </w14:solidFill>
          </w14:textFill>
        </w:rPr>
        <w:t>4</w:t>
      </w:r>
      <w:r>
        <w:rPr>
          <w:rFonts w:cs="Times New Roman" w:asciiTheme="minorEastAsia" w:hAnsiTheme="minorEastAsia"/>
          <w:color w:val="000000" w:themeColor="text1"/>
          <w:sz w:val="28"/>
          <w:szCs w:val="28"/>
          <w14:textFill>
            <w14:solidFill>
              <w14:schemeClr w14:val="tx1"/>
            </w14:solidFill>
          </w14:textFill>
        </w:rPr>
        <w:t>个，</w:t>
      </w:r>
      <w:r>
        <w:rPr>
          <w:rFonts w:hint="eastAsia" w:cs="Times New Roman" w:asciiTheme="minorEastAsia" w:hAnsiTheme="minorEastAsia"/>
          <w:color w:val="000000" w:themeColor="text1"/>
          <w:sz w:val="28"/>
          <w:szCs w:val="28"/>
          <w14:textFill>
            <w14:solidFill>
              <w14:schemeClr w14:val="tx1"/>
            </w14:solidFill>
          </w14:textFill>
        </w:rPr>
        <w:t>占</w:t>
      </w:r>
      <w:r>
        <w:rPr>
          <w:rFonts w:cs="Times New Roman" w:asciiTheme="minorEastAsia" w:hAnsiTheme="minorEastAsia"/>
          <w:color w:val="000000" w:themeColor="text1"/>
          <w:sz w:val="28"/>
          <w:szCs w:val="28"/>
          <w14:textFill>
            <w14:solidFill>
              <w14:schemeClr w14:val="tx1"/>
            </w14:solidFill>
          </w14:textFill>
        </w:rPr>
        <w:t>部门</w:t>
      </w:r>
      <w:r>
        <w:rPr>
          <w:rFonts w:hint="eastAsia" w:cs="Times New Roman" w:asciiTheme="minorEastAsia" w:hAnsiTheme="minorEastAsia"/>
          <w:color w:val="000000" w:themeColor="text1"/>
          <w:sz w:val="28"/>
          <w:szCs w:val="28"/>
          <w14:textFill>
            <w14:solidFill>
              <w14:schemeClr w14:val="tx1"/>
            </w14:solidFill>
          </w14:textFill>
        </w:rPr>
        <w:t>年初预算</w:t>
      </w:r>
      <w:r>
        <w:rPr>
          <w:rFonts w:cs="Times New Roman" w:asciiTheme="minorEastAsia" w:hAnsiTheme="minorEastAsia"/>
          <w:color w:val="000000" w:themeColor="text1"/>
          <w:sz w:val="28"/>
          <w:szCs w:val="28"/>
          <w14:textFill>
            <w14:solidFill>
              <w14:schemeClr w14:val="tx1"/>
            </w14:solidFill>
          </w14:textFill>
        </w:rPr>
        <w:t>项目总数的</w:t>
      </w:r>
      <w:r>
        <w:rPr>
          <w:rFonts w:hint="eastAsia" w:cs="Times New Roman" w:asciiTheme="minorEastAsia" w:hAnsiTheme="minorEastAsia"/>
          <w:color w:val="000000" w:themeColor="text1"/>
          <w:sz w:val="28"/>
          <w:szCs w:val="28"/>
          <w14:textFill>
            <w14:solidFill>
              <w14:schemeClr w14:val="tx1"/>
            </w14:solidFill>
          </w14:textFill>
        </w:rPr>
        <w:t>100%</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14:textFill>
            <w14:solidFill>
              <w14:schemeClr w14:val="tx1"/>
            </w14:solidFill>
          </w14:textFill>
        </w:rPr>
        <w:t>全部项目金额275.4</w:t>
      </w:r>
      <w:r>
        <w:rPr>
          <w:rFonts w:cs="Times New Roman" w:asciiTheme="minorEastAsia" w:hAnsiTheme="minorEastAsia"/>
          <w:color w:val="000000" w:themeColor="text1"/>
          <w:sz w:val="28"/>
          <w:szCs w:val="28"/>
          <w14:textFill>
            <w14:solidFill>
              <w14:schemeClr w14:val="tx1"/>
            </w14:solidFill>
          </w14:textFill>
        </w:rPr>
        <w:t>万元。采取成立本部门绩效自评工作组</w:t>
      </w:r>
      <w:r>
        <w:rPr>
          <w:rFonts w:hint="eastAsia" w:cs="Times New Roman" w:asciiTheme="minorEastAsia" w:hAnsiTheme="minorEastAsia"/>
          <w:color w:val="000000" w:themeColor="text1"/>
          <w:sz w:val="28"/>
          <w:szCs w:val="28"/>
          <w14:textFill>
            <w14:solidFill>
              <w14:schemeClr w14:val="tx1"/>
            </w14:solidFill>
          </w14:textFill>
        </w:rPr>
        <w:t>的</w:t>
      </w:r>
      <w:r>
        <w:rPr>
          <w:rFonts w:cs="Times New Roman" w:asciiTheme="minorEastAsia" w:hAnsiTheme="minorEastAsia"/>
          <w:color w:val="000000" w:themeColor="text1"/>
          <w:sz w:val="28"/>
          <w:szCs w:val="28"/>
          <w14:textFill>
            <w14:solidFill>
              <w14:schemeClr w14:val="tx1"/>
            </w14:solidFill>
          </w14:textFill>
        </w:rPr>
        <w:t>形式，本着客观、公正、公开的原则开展自评工作，所有项目的绩效自评均设计了合理、明晰、可考核的、关键性产出指标和效果指标。自评结果真实可靠。</w:t>
      </w:r>
    </w:p>
    <w:p>
      <w:pPr>
        <w:ind w:firstLine="562"/>
        <w:rPr>
          <w:rFonts w:cs="Times New Roman" w:asciiTheme="minorEastAsia" w:hAnsiTheme="minorEastAsia"/>
          <w:b/>
          <w:sz w:val="28"/>
          <w:szCs w:val="28"/>
        </w:rPr>
      </w:pPr>
      <w:r>
        <w:rPr>
          <w:rFonts w:cs="Times New Roman" w:asciiTheme="minorEastAsia" w:hAnsiTheme="minorEastAsia"/>
          <w:b/>
          <w:sz w:val="28"/>
          <w:szCs w:val="28"/>
        </w:rPr>
        <w:t>四、绩效实现情况分析</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1、乡镇维稳专项资金40万元。</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资金投入支出情况分析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项目资金于2020年全部到位，主要用于处置、化解信访案件，减少越级上访事件的发生，将信访人稳定在基层，级护社会和谐稳定。项目于2020年用于支付乡镇信访维稳支出。</w:t>
      </w:r>
    </w:p>
    <w:p>
      <w:pPr>
        <w:spacing w:line="560" w:lineRule="exact"/>
        <w:ind w:left="640" w:leftChars="305" w:firstLine="613" w:firstLineChars="218"/>
        <w:rPr>
          <w:rFonts w:asciiTheme="minorEastAsia" w:hAnsiTheme="minorEastAsia"/>
          <w:b/>
          <w:color w:val="000000"/>
          <w:sz w:val="28"/>
          <w:szCs w:val="28"/>
        </w:rPr>
      </w:pPr>
      <w:r>
        <w:rPr>
          <w:rFonts w:hint="eastAsia" w:asciiTheme="minorEastAsia" w:hAnsiTheme="minorEastAsia"/>
          <w:b/>
          <w:color w:val="000000"/>
          <w:sz w:val="28"/>
          <w:szCs w:val="28"/>
        </w:rPr>
        <w:t>总体绩效目标完成情况分析</w:t>
      </w:r>
    </w:p>
    <w:p>
      <w:pPr>
        <w:spacing w:line="560" w:lineRule="exact"/>
        <w:ind w:firstLine="560"/>
        <w:rPr>
          <w:rFonts w:asciiTheme="minorEastAsia" w:hAnsiTheme="minorEastAsia"/>
          <w:sz w:val="28"/>
          <w:szCs w:val="28"/>
        </w:rPr>
      </w:pPr>
      <w:r>
        <w:rPr>
          <w:rFonts w:hint="eastAsia" w:asciiTheme="minorEastAsia" w:hAnsiTheme="minorEastAsia"/>
          <w:color w:val="000000"/>
          <w:sz w:val="28"/>
          <w:szCs w:val="28"/>
        </w:rPr>
        <w:t>全年</w:t>
      </w:r>
      <w:r>
        <w:rPr>
          <w:rFonts w:hint="eastAsia" w:asciiTheme="minorEastAsia" w:hAnsiTheme="minorEastAsia"/>
          <w:sz w:val="28"/>
          <w:szCs w:val="28"/>
        </w:rPr>
        <w:t>化解矛盾纠纷45余件，全年没发生进京访行为，在重大活动及特殊时期未出现出县访，积极</w:t>
      </w:r>
      <w:r>
        <w:rPr>
          <w:rFonts w:hint="eastAsia" w:asciiTheme="minorEastAsia" w:hAnsiTheme="minorEastAsia"/>
          <w:sz w:val="28"/>
          <w:szCs w:val="28"/>
          <w:shd w:val="clear" w:color="auto" w:fill="FFFFFF"/>
        </w:rPr>
        <w:t>推进民主法治示范村创建活动，</w:t>
      </w:r>
      <w:r>
        <w:rPr>
          <w:rFonts w:hint="eastAsia" w:asciiTheme="minorEastAsia" w:hAnsiTheme="minorEastAsia"/>
          <w:sz w:val="28"/>
          <w:szCs w:val="28"/>
        </w:rPr>
        <w:t xml:space="preserve">多层次构建社会法治体系。 </w:t>
      </w:r>
    </w:p>
    <w:p>
      <w:pPr>
        <w:spacing w:line="560" w:lineRule="exact"/>
        <w:ind w:left="640" w:leftChars="305" w:firstLine="475" w:firstLineChars="169"/>
        <w:rPr>
          <w:rFonts w:asciiTheme="minorEastAsia" w:hAnsiTheme="minorEastAsia"/>
          <w:b/>
          <w:color w:val="000000"/>
          <w:sz w:val="28"/>
          <w:szCs w:val="28"/>
        </w:rPr>
      </w:pPr>
      <w:r>
        <w:rPr>
          <w:rFonts w:hint="eastAsia" w:asciiTheme="minorEastAsia" w:hAnsiTheme="minorEastAsia"/>
          <w:b/>
          <w:color w:val="000000"/>
          <w:sz w:val="28"/>
          <w:szCs w:val="28"/>
        </w:rPr>
        <w:t>绩效指标完成情况分析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绩效指标分析：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1．产出指标完成情况分析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（1）数量指标：协调督导事项50余件，化解率达100%，确保我单位无进京上访事件；</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（2）质量指标：涉稳舆情处置率100%，确保基层稳定；</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2.服务满意度指标分析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涉访人员的满意程度达90%以上，做到耐心解释，尽量使涉访人员满意。</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2、定期定量补助2.8万元</w:t>
      </w:r>
    </w:p>
    <w:p>
      <w:pPr>
        <w:spacing w:line="560" w:lineRule="exact"/>
        <w:ind w:firstLine="562"/>
        <w:rPr>
          <w:rFonts w:asciiTheme="minorEastAsia" w:hAnsiTheme="minorEastAsia"/>
          <w:color w:val="000000"/>
          <w:sz w:val="28"/>
          <w:szCs w:val="28"/>
        </w:rPr>
      </w:pPr>
      <w:r>
        <w:rPr>
          <w:rFonts w:hint="eastAsia" w:asciiTheme="minorEastAsia" w:hAnsiTheme="minorEastAsia"/>
          <w:b/>
          <w:color w:val="000000"/>
          <w:sz w:val="28"/>
          <w:szCs w:val="28"/>
        </w:rPr>
        <w:t>项目绩效目标：</w:t>
      </w:r>
      <w:r>
        <w:rPr>
          <w:rFonts w:hint="eastAsia" w:asciiTheme="minorEastAsia" w:hAnsiTheme="minorEastAsia"/>
          <w:color w:val="000000"/>
          <w:sz w:val="28"/>
          <w:szCs w:val="28"/>
        </w:rPr>
        <w:t>为切实解决农村困难群众生活，对符合政策的精减老弱残职工、职业警察和农村特困人员发放生活补助。</w:t>
      </w:r>
    </w:p>
    <w:p>
      <w:pPr>
        <w:spacing w:line="560" w:lineRule="exact"/>
        <w:ind w:firstLine="562"/>
        <w:rPr>
          <w:rFonts w:asciiTheme="minorEastAsia" w:hAnsiTheme="minorEastAsia"/>
          <w:color w:val="000000"/>
          <w:sz w:val="28"/>
          <w:szCs w:val="28"/>
        </w:rPr>
      </w:pPr>
      <w:r>
        <w:rPr>
          <w:rFonts w:hint="eastAsia" w:asciiTheme="minorEastAsia" w:hAnsiTheme="minorEastAsia"/>
          <w:b/>
          <w:color w:val="000000"/>
          <w:sz w:val="28"/>
          <w:szCs w:val="28"/>
        </w:rPr>
        <w:t>绩效指标分析：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w:t>
      </w:r>
      <w:bookmarkStart w:id="0" w:name="_GoBack"/>
      <w:bookmarkEnd w:id="0"/>
      <w:r>
        <w:rPr>
          <w:rFonts w:hint="eastAsia" w:asciiTheme="minorEastAsia" w:hAnsiTheme="minorEastAsia"/>
          <w:color w:val="000000"/>
          <w:sz w:val="28"/>
          <w:szCs w:val="28"/>
        </w:rPr>
        <w:t>指标—数量指标：发放补助人数57人</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产出指标—质量指标：补贴发放及时率100%</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效益指标—社会效益指标：补贴人员生活水平保持稳定</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满意度指标：受补贴人员满意度达95%以上</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3、企业发展资金30万元。</w:t>
      </w:r>
    </w:p>
    <w:p>
      <w:pPr>
        <w:spacing w:line="560" w:lineRule="exact"/>
        <w:ind w:firstLine="562"/>
        <w:rPr>
          <w:rFonts w:asciiTheme="minorEastAsia" w:hAnsiTheme="minorEastAsia"/>
          <w:color w:val="000000"/>
          <w:sz w:val="28"/>
          <w:szCs w:val="28"/>
        </w:rPr>
      </w:pPr>
      <w:r>
        <w:rPr>
          <w:rFonts w:hint="eastAsia" w:asciiTheme="minorEastAsia" w:hAnsiTheme="minorEastAsia"/>
          <w:b/>
          <w:color w:val="000000"/>
          <w:sz w:val="28"/>
          <w:szCs w:val="28"/>
        </w:rPr>
        <w:t>项目绩效目标：</w:t>
      </w:r>
      <w:r>
        <w:rPr>
          <w:rFonts w:hint="eastAsia" w:asciiTheme="minorEastAsia" w:hAnsiTheme="minorEastAsia"/>
          <w:color w:val="000000"/>
          <w:sz w:val="28"/>
          <w:szCs w:val="28"/>
        </w:rPr>
        <w:t>为增强县城经济实力，壮大辖区内企业经营活力对生产经营状况良好、有发展前景的商贸流通企业给予生产经营补贴。</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绩效指标分析：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产出指标完成情况—数量指标：支持企业数量1个</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效益指标—可持续影响指标：进一步壮大企业生产经营能力</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效益指标—经济效益指标：稳步提升企业利税水平</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服务对象满意度指标：企业满意度达100%</w:t>
      </w:r>
    </w:p>
    <w:p>
      <w:pPr>
        <w:spacing w:line="560" w:lineRule="exact"/>
        <w:ind w:firstLine="562"/>
        <w:rPr>
          <w:rFonts w:asciiTheme="minorEastAsia" w:hAnsiTheme="minorEastAsia"/>
          <w:color w:val="000000"/>
          <w:sz w:val="28"/>
          <w:szCs w:val="28"/>
        </w:rPr>
      </w:pPr>
      <w:r>
        <w:rPr>
          <w:rFonts w:hint="eastAsia" w:ascii="宋体" w:hAnsi="宋体" w:cs="宋体"/>
          <w:b/>
          <w:bCs/>
          <w:sz w:val="28"/>
          <w:szCs w:val="28"/>
        </w:rPr>
        <w:t>4、村级经费资金202.6万元</w:t>
      </w:r>
      <w:r>
        <w:rPr>
          <w:rFonts w:hint="eastAsia" w:ascii="宋体" w:hAnsi="宋体" w:cs="宋体"/>
          <w:b/>
          <w:color w:val="000000"/>
          <w:sz w:val="28"/>
          <w:szCs w:val="28"/>
        </w:rPr>
        <w:t>资金投入支出情况分析：</w:t>
      </w:r>
      <w:r>
        <w:rPr>
          <w:rFonts w:hint="eastAsia" w:asciiTheme="minorEastAsia" w:hAnsiTheme="minorEastAsia"/>
          <w:color w:val="000000"/>
          <w:sz w:val="28"/>
          <w:szCs w:val="28"/>
        </w:rPr>
        <w:t>项目资金于</w:t>
      </w:r>
      <w:r>
        <w:rPr>
          <w:rFonts w:asciiTheme="minorEastAsia" w:hAnsiTheme="minorEastAsia"/>
          <w:color w:val="000000"/>
          <w:sz w:val="28"/>
          <w:szCs w:val="28"/>
        </w:rPr>
        <w:t>2020</w:t>
      </w:r>
      <w:r>
        <w:rPr>
          <w:rFonts w:hint="eastAsia" w:asciiTheme="minorEastAsia" w:hAnsiTheme="minorEastAsia"/>
          <w:color w:val="000000"/>
          <w:sz w:val="28"/>
          <w:szCs w:val="28"/>
        </w:rPr>
        <w:t>全部到位，主要用于村民委员会办公支出、服务群众专项事务支出、村级党组织活动支出、村干部养老保险和离任村干部补贴支出，维持村民委</w:t>
      </w:r>
      <w:r>
        <w:rPr>
          <w:rFonts w:hint="eastAsia" w:asciiTheme="minorEastAsia" w:hAnsiTheme="minorEastAsia"/>
          <w:color w:val="000000"/>
          <w:sz w:val="28"/>
          <w:szCs w:val="28"/>
          <w:lang w:eastAsia="zh-CN"/>
        </w:rPr>
        <w:t>员</w:t>
      </w:r>
      <w:r>
        <w:rPr>
          <w:rFonts w:hint="eastAsia" w:asciiTheme="minorEastAsia" w:hAnsiTheme="minorEastAsia"/>
          <w:color w:val="000000"/>
          <w:sz w:val="28"/>
          <w:szCs w:val="28"/>
        </w:rPr>
        <w:t>会、党支部的正常工作运转，更好的服务村民。</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产出指标：维持村民委</w:t>
      </w:r>
      <w:r>
        <w:rPr>
          <w:rFonts w:hint="eastAsia" w:asciiTheme="minorEastAsia" w:hAnsiTheme="minorEastAsia"/>
          <w:color w:val="000000"/>
          <w:sz w:val="28"/>
          <w:szCs w:val="28"/>
          <w:lang w:eastAsia="zh-CN"/>
        </w:rPr>
        <w:t>员</w:t>
      </w:r>
      <w:r>
        <w:rPr>
          <w:rFonts w:hint="eastAsia" w:asciiTheme="minorEastAsia" w:hAnsiTheme="minorEastAsia"/>
          <w:color w:val="000000"/>
          <w:sz w:val="28"/>
          <w:szCs w:val="28"/>
        </w:rPr>
        <w:t>会、党支部的正常工作运转</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效益指标：更好的服务村民</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满意度指标：群众满意度达到</w:t>
      </w:r>
      <w:r>
        <w:rPr>
          <w:rFonts w:asciiTheme="minorEastAsia" w:hAnsiTheme="minorEastAsia"/>
          <w:color w:val="000000"/>
          <w:sz w:val="28"/>
          <w:szCs w:val="28"/>
        </w:rPr>
        <w:t>95</w:t>
      </w:r>
      <w:r>
        <w:rPr>
          <w:rFonts w:hint="eastAsia" w:asciiTheme="minorEastAsia" w:hAnsiTheme="minorEastAsia"/>
          <w:color w:val="000000"/>
          <w:sz w:val="28"/>
          <w:szCs w:val="28"/>
        </w:rPr>
        <w:t>％</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我单位项目支出严格按照国家财经法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我单位定期采集绩效运行的信息，督促各单位科室按时完成预算执行目标，杜绝发生偏离绩效目标和逾期无效目标的情况。依托严格的管理制度，我单位注重落实，全镇上下真抓实干，担当作为，全镇各项工作取得普遍提升。</w:t>
      </w:r>
    </w:p>
    <w:p>
      <w:pPr>
        <w:spacing w:line="560" w:lineRule="exact"/>
        <w:ind w:firstLine="562"/>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经济工作</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截至11月底，完成工商税收175.23万元，占全年任务129.8%，完成物流税收222.67万元，占全年任务44.53%。完成固定资产投入10.1亿元，占全年任务72.14%，完成土地使用税99.8万元，占全年任务75.81%。规模以上工业总产值128.15亿元，同比增长5.11%；规模以上工业增加值36.01亿元，同比增长7.42%；规模以上工业利润8.92亿元，同比增长62.18%。</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续建项目1个，新开工项目3个，签约项目2个，储备项目13个。唐山市国顿环保设备制造有限公司、乐亭县铸升金属制品厂等13家公司被评为“河北省科技型中小企业”。</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农业工作</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汀流河现代农业园区被评为“河北省精品园区”；新申请“东风青鸟”一个注册商标，新办理“乐亭甜瓜”商标使用许可一家；完成“乐亭县汀流河镇甜瓜协会网络平台”搭建，我镇农业规模化、产业化、标准化、品牌化建设水平不断提高。</w:t>
      </w:r>
    </w:p>
    <w:p>
      <w:pPr>
        <w:spacing w:line="560" w:lineRule="exact"/>
        <w:ind w:firstLine="562"/>
        <w:rPr>
          <w:rFonts w:hint="eastAsia" w:asciiTheme="minorEastAsia" w:hAnsiTheme="minorEastAsia"/>
          <w:b/>
          <w:color w:val="000000"/>
          <w:sz w:val="28"/>
          <w:szCs w:val="28"/>
        </w:rPr>
      </w:pPr>
      <w:r>
        <w:rPr>
          <w:rFonts w:hint="eastAsia" w:asciiTheme="minorEastAsia" w:hAnsiTheme="minorEastAsia"/>
          <w:b/>
          <w:color w:val="000000"/>
          <w:sz w:val="28"/>
          <w:szCs w:val="28"/>
        </w:rPr>
        <w:t>疫情防控</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面对疫情防控这个大战大考，汀流河镇党委坚持把党建引领作为重要抓手，切实发挥基层党组织和党员干部“三个作用”，让党旗在防疫一线高高飘扬。全镇31个村党支部组织成立73个防疫卡点，70余名机关党员干部深入疫情防控一线，928名党员参加疫情防控，1470名党员缴纳疫情特殊党费172580元。</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信访工作</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续加大扫黑除恶专项斗争宣传力度，维护良好社会风气。依法开展信访维稳工作，在重要时间节点我镇未出现一例出县访。对历史积案做到了“三重新、三到位、一处理”，我镇5件历史积案全部化解，7名信访老户全部签订了息诉罢访保证书。</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环境整治</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严格落实河长制，镇域内9条河道共清理垃圾10300立方米；完成新河东支全长6580米地下水超采综合治理农村灌溉水源置换项目；对20家“散乱污”企业进行整治，改造提升3家，“两断三清”17家；对10家粉尘污染企业进行改造提升达到环保要求；污水处理厂如期建成，对改善镇域生态环境发挥重要作用，为镇域发展和园区项目建设提供了有力支撑。</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其他工作</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投资43万元硬化东徐至丰庄村道路；通过广泛宣传，全面清查，圆满完成禁毒铲毒工作；完成散煤收缴工作，收缴散煤591.66吨；汀流河镇气代煤取暖炉安装9945户；广泛开展型煤推广、散煤治理及一氧化碳报警器发放安装工作。</w:t>
      </w:r>
    </w:p>
    <w:p>
      <w:pPr>
        <w:ind w:firstLine="562"/>
        <w:rPr>
          <w:rFonts w:cs="Times New Roman" w:asciiTheme="minorEastAsia" w:hAnsiTheme="minorEastAsia"/>
          <w:b/>
          <w:sz w:val="28"/>
          <w:szCs w:val="28"/>
        </w:rPr>
      </w:pPr>
      <w:r>
        <w:rPr>
          <w:rFonts w:cs="Times New Roman" w:asciiTheme="minorEastAsia" w:hAnsiTheme="minorEastAsia"/>
          <w:b/>
          <w:sz w:val="28"/>
          <w:szCs w:val="28"/>
        </w:rPr>
        <w:t>五、存在的问题和建议</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一是观念思想还需进一步转变。存在惯性思维和路径依赖，干部的能力素质水平与新时代、新要求不相适应。</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二是能力担当还需进一步强化。部分人员大局观不强，政策掌握不牢固，沟通协调能力不强。人员层次结构不优，积极性调动不充分，培养教育有差距。</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三是财政管理还需进一步提升。进一步优化支出结构，加强财政管理要做的工作还很多。</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四是纪律作风还需进一步严格。机关各项制度执行不够到位，一些作风建设要求没有彻底落地。</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五是创先争优意识还需进一步加强。要进行横向对比，努力提高业务水平。</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六、改进措施和有关建议</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一是提高政治站位，坚持从全方面来谋划和推动财政工作。</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二是贯彻新发展理念，积极学习财政政策，抓重点、补短板、强弱项，更好地适应新时代发展要求。</w:t>
      </w:r>
    </w:p>
    <w:p>
      <w:pPr>
        <w:pStyle w:val="4"/>
        <w:shd w:val="clear" w:color="auto" w:fill="FFFFFF"/>
        <w:spacing w:after="0" w:line="240" w:lineRule="auto"/>
        <w:ind w:firstLine="560"/>
        <w:jc w:val="both"/>
        <w:rPr>
          <w:rFonts w:ascii="宋体" w:hAnsi="宋体"/>
          <w:color w:val="000000"/>
          <w:sz w:val="28"/>
          <w:szCs w:val="28"/>
        </w:rPr>
      </w:pPr>
      <w:r>
        <w:rPr>
          <w:rFonts w:hint="eastAsia" w:asciiTheme="minorEastAsia" w:hAnsiTheme="minorEastAsia" w:eastAsiaTheme="minorEastAsia"/>
          <w:color w:val="000000"/>
          <w:sz w:val="28"/>
          <w:szCs w:val="28"/>
        </w:rPr>
        <w:t>三是把握稳中求进工作总基调，在财政工作中，</w:t>
      </w:r>
      <w:r>
        <w:rPr>
          <w:rFonts w:hint="eastAsia" w:ascii="宋体" w:hAnsi="宋体"/>
          <w:color w:val="000000"/>
          <w:sz w:val="28"/>
          <w:szCs w:val="28"/>
        </w:rPr>
        <w:t xml:space="preserve">建立健全部门预算绩效管理的法律法规体系，完善预算绩效管理体系与指标评估体系，提升绩效管理从业人员的专业素质和思想水平。 </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四是落实高质量发展要求，各部门严格执行内控制度，将预算绩效管理制度落到实处，确保财政资金的有效使用。</w:t>
      </w:r>
      <w:r>
        <w:rPr>
          <w:rFonts w:asciiTheme="minorEastAsia" w:hAnsiTheme="minorEastAsia" w:eastAsiaTheme="minorEastAsia"/>
          <w:color w:val="000000"/>
          <w:sz w:val="28"/>
          <w:szCs w:val="28"/>
        </w:rPr>
        <w:t xml:space="preserve"> </w:t>
      </w:r>
    </w:p>
    <w:p>
      <w:pPr>
        <w:pStyle w:val="4"/>
        <w:shd w:val="clear" w:color="auto" w:fill="FFFFFF"/>
        <w:spacing w:after="0" w:line="24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五是进一步加强单位财务管理，严格财政财务制度执行。</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58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3163E"/>
    <w:multiLevelType w:val="multilevel"/>
    <w:tmpl w:val="1B93163E"/>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96493D"/>
    <w:rsid w:val="00005328"/>
    <w:rsid w:val="00010B23"/>
    <w:rsid w:val="00075FA4"/>
    <w:rsid w:val="0008093C"/>
    <w:rsid w:val="000862E6"/>
    <w:rsid w:val="000A1E7E"/>
    <w:rsid w:val="000A740A"/>
    <w:rsid w:val="000B10D7"/>
    <w:rsid w:val="000C049D"/>
    <w:rsid w:val="000E5906"/>
    <w:rsid w:val="000E7104"/>
    <w:rsid w:val="000F2758"/>
    <w:rsid w:val="00107A98"/>
    <w:rsid w:val="00110F03"/>
    <w:rsid w:val="00112E11"/>
    <w:rsid w:val="00116C9D"/>
    <w:rsid w:val="001176CE"/>
    <w:rsid w:val="00121CE0"/>
    <w:rsid w:val="00126BA4"/>
    <w:rsid w:val="00132C4A"/>
    <w:rsid w:val="001375E4"/>
    <w:rsid w:val="00140A89"/>
    <w:rsid w:val="0014271C"/>
    <w:rsid w:val="001575F5"/>
    <w:rsid w:val="00164E16"/>
    <w:rsid w:val="00166914"/>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24705"/>
    <w:rsid w:val="00230589"/>
    <w:rsid w:val="002319C7"/>
    <w:rsid w:val="0024508D"/>
    <w:rsid w:val="002464E9"/>
    <w:rsid w:val="002478E8"/>
    <w:rsid w:val="00247DDE"/>
    <w:rsid w:val="002541FD"/>
    <w:rsid w:val="002633F7"/>
    <w:rsid w:val="0027171A"/>
    <w:rsid w:val="00271D38"/>
    <w:rsid w:val="0027275E"/>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141D5"/>
    <w:rsid w:val="00325602"/>
    <w:rsid w:val="00327511"/>
    <w:rsid w:val="00337974"/>
    <w:rsid w:val="003446E0"/>
    <w:rsid w:val="00346699"/>
    <w:rsid w:val="003552A2"/>
    <w:rsid w:val="0036652D"/>
    <w:rsid w:val="00366F10"/>
    <w:rsid w:val="00384029"/>
    <w:rsid w:val="0038556F"/>
    <w:rsid w:val="00386BB8"/>
    <w:rsid w:val="00387278"/>
    <w:rsid w:val="003A7E16"/>
    <w:rsid w:val="003C477D"/>
    <w:rsid w:val="003D0975"/>
    <w:rsid w:val="003E1D58"/>
    <w:rsid w:val="003E5E52"/>
    <w:rsid w:val="003F17CD"/>
    <w:rsid w:val="003F7251"/>
    <w:rsid w:val="00406567"/>
    <w:rsid w:val="004116D1"/>
    <w:rsid w:val="00411AFC"/>
    <w:rsid w:val="00414EC2"/>
    <w:rsid w:val="00416E93"/>
    <w:rsid w:val="00417732"/>
    <w:rsid w:val="00424B31"/>
    <w:rsid w:val="00436413"/>
    <w:rsid w:val="00436708"/>
    <w:rsid w:val="0044389B"/>
    <w:rsid w:val="00451D8B"/>
    <w:rsid w:val="00474EFA"/>
    <w:rsid w:val="0047729E"/>
    <w:rsid w:val="00480A62"/>
    <w:rsid w:val="00487E62"/>
    <w:rsid w:val="004A59A6"/>
    <w:rsid w:val="004A768C"/>
    <w:rsid w:val="004B53BA"/>
    <w:rsid w:val="004B673C"/>
    <w:rsid w:val="004C1538"/>
    <w:rsid w:val="004E10F6"/>
    <w:rsid w:val="004E2006"/>
    <w:rsid w:val="004F032F"/>
    <w:rsid w:val="004F206A"/>
    <w:rsid w:val="004F4B37"/>
    <w:rsid w:val="00502314"/>
    <w:rsid w:val="00516224"/>
    <w:rsid w:val="005265F1"/>
    <w:rsid w:val="0054486C"/>
    <w:rsid w:val="00552456"/>
    <w:rsid w:val="00554743"/>
    <w:rsid w:val="005663EF"/>
    <w:rsid w:val="00571418"/>
    <w:rsid w:val="0058244F"/>
    <w:rsid w:val="00591B54"/>
    <w:rsid w:val="00592053"/>
    <w:rsid w:val="00592587"/>
    <w:rsid w:val="005A6564"/>
    <w:rsid w:val="005B23F5"/>
    <w:rsid w:val="005B2A6B"/>
    <w:rsid w:val="005C2D92"/>
    <w:rsid w:val="005E0261"/>
    <w:rsid w:val="005E054D"/>
    <w:rsid w:val="005F30D6"/>
    <w:rsid w:val="005F77E7"/>
    <w:rsid w:val="00605FE4"/>
    <w:rsid w:val="0061143B"/>
    <w:rsid w:val="00642933"/>
    <w:rsid w:val="00645CC4"/>
    <w:rsid w:val="00662591"/>
    <w:rsid w:val="00663FCE"/>
    <w:rsid w:val="006772FC"/>
    <w:rsid w:val="00683D14"/>
    <w:rsid w:val="0069325D"/>
    <w:rsid w:val="006B32FD"/>
    <w:rsid w:val="006B4C63"/>
    <w:rsid w:val="006C0DB9"/>
    <w:rsid w:val="006D0808"/>
    <w:rsid w:val="006D0871"/>
    <w:rsid w:val="006D7962"/>
    <w:rsid w:val="006E2A46"/>
    <w:rsid w:val="006E3DCC"/>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56F88"/>
    <w:rsid w:val="00763E27"/>
    <w:rsid w:val="00772209"/>
    <w:rsid w:val="00790756"/>
    <w:rsid w:val="0079296F"/>
    <w:rsid w:val="00796528"/>
    <w:rsid w:val="007A4ADC"/>
    <w:rsid w:val="007B4A7A"/>
    <w:rsid w:val="007C4D9C"/>
    <w:rsid w:val="007C7290"/>
    <w:rsid w:val="007D0DAC"/>
    <w:rsid w:val="007D0DE9"/>
    <w:rsid w:val="007D479D"/>
    <w:rsid w:val="007F343B"/>
    <w:rsid w:val="0081101D"/>
    <w:rsid w:val="00817274"/>
    <w:rsid w:val="00817683"/>
    <w:rsid w:val="00820D53"/>
    <w:rsid w:val="0082380C"/>
    <w:rsid w:val="008245DD"/>
    <w:rsid w:val="008334A7"/>
    <w:rsid w:val="008516D5"/>
    <w:rsid w:val="00861DA1"/>
    <w:rsid w:val="00891075"/>
    <w:rsid w:val="00892AA3"/>
    <w:rsid w:val="00892DEC"/>
    <w:rsid w:val="008966D9"/>
    <w:rsid w:val="008A523D"/>
    <w:rsid w:val="008A612B"/>
    <w:rsid w:val="008A6ED1"/>
    <w:rsid w:val="008B632A"/>
    <w:rsid w:val="008C3D07"/>
    <w:rsid w:val="008D26CD"/>
    <w:rsid w:val="008D3E40"/>
    <w:rsid w:val="008D5B31"/>
    <w:rsid w:val="008D7F1E"/>
    <w:rsid w:val="008F0494"/>
    <w:rsid w:val="008F0DB4"/>
    <w:rsid w:val="008F3565"/>
    <w:rsid w:val="008F5E35"/>
    <w:rsid w:val="00905FEB"/>
    <w:rsid w:val="00921D11"/>
    <w:rsid w:val="00922F47"/>
    <w:rsid w:val="00936261"/>
    <w:rsid w:val="00951AF6"/>
    <w:rsid w:val="00962D51"/>
    <w:rsid w:val="0096493D"/>
    <w:rsid w:val="00967B1D"/>
    <w:rsid w:val="00971E03"/>
    <w:rsid w:val="00983E22"/>
    <w:rsid w:val="00987590"/>
    <w:rsid w:val="009A67D8"/>
    <w:rsid w:val="009B4F7E"/>
    <w:rsid w:val="009D0FDC"/>
    <w:rsid w:val="009E18A5"/>
    <w:rsid w:val="009E7258"/>
    <w:rsid w:val="009E79D4"/>
    <w:rsid w:val="00A05212"/>
    <w:rsid w:val="00A116E8"/>
    <w:rsid w:val="00A155ED"/>
    <w:rsid w:val="00A15DFD"/>
    <w:rsid w:val="00A33401"/>
    <w:rsid w:val="00A561DC"/>
    <w:rsid w:val="00A62435"/>
    <w:rsid w:val="00A675D2"/>
    <w:rsid w:val="00A72D74"/>
    <w:rsid w:val="00A75973"/>
    <w:rsid w:val="00A849CC"/>
    <w:rsid w:val="00A91703"/>
    <w:rsid w:val="00AA1287"/>
    <w:rsid w:val="00AA6884"/>
    <w:rsid w:val="00AB19F5"/>
    <w:rsid w:val="00AB2978"/>
    <w:rsid w:val="00AB36F7"/>
    <w:rsid w:val="00AB66B4"/>
    <w:rsid w:val="00AC0762"/>
    <w:rsid w:val="00AE01FF"/>
    <w:rsid w:val="00AE5B06"/>
    <w:rsid w:val="00AE7C6C"/>
    <w:rsid w:val="00AF36F2"/>
    <w:rsid w:val="00AF7631"/>
    <w:rsid w:val="00B06FC9"/>
    <w:rsid w:val="00B10C63"/>
    <w:rsid w:val="00B16FA2"/>
    <w:rsid w:val="00B17405"/>
    <w:rsid w:val="00B23BE6"/>
    <w:rsid w:val="00B27DDB"/>
    <w:rsid w:val="00B427F5"/>
    <w:rsid w:val="00B54F37"/>
    <w:rsid w:val="00B92159"/>
    <w:rsid w:val="00B96AA7"/>
    <w:rsid w:val="00BB4B7B"/>
    <w:rsid w:val="00BB53DC"/>
    <w:rsid w:val="00BC7129"/>
    <w:rsid w:val="00BD031B"/>
    <w:rsid w:val="00BD0897"/>
    <w:rsid w:val="00BD47B5"/>
    <w:rsid w:val="00BD73D6"/>
    <w:rsid w:val="00BE21C9"/>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72601"/>
    <w:rsid w:val="00C80532"/>
    <w:rsid w:val="00C86668"/>
    <w:rsid w:val="00C962DC"/>
    <w:rsid w:val="00C96B09"/>
    <w:rsid w:val="00CB68B9"/>
    <w:rsid w:val="00CC0354"/>
    <w:rsid w:val="00CC0871"/>
    <w:rsid w:val="00CD473F"/>
    <w:rsid w:val="00D0106E"/>
    <w:rsid w:val="00D04CF2"/>
    <w:rsid w:val="00D11089"/>
    <w:rsid w:val="00D15F50"/>
    <w:rsid w:val="00D20515"/>
    <w:rsid w:val="00D24077"/>
    <w:rsid w:val="00D27FFE"/>
    <w:rsid w:val="00D30A65"/>
    <w:rsid w:val="00D45AED"/>
    <w:rsid w:val="00D5376D"/>
    <w:rsid w:val="00D57B08"/>
    <w:rsid w:val="00D62B4A"/>
    <w:rsid w:val="00D72D4F"/>
    <w:rsid w:val="00D743C2"/>
    <w:rsid w:val="00D846C4"/>
    <w:rsid w:val="00D87767"/>
    <w:rsid w:val="00D936E7"/>
    <w:rsid w:val="00D94E81"/>
    <w:rsid w:val="00DC584E"/>
    <w:rsid w:val="00DD1E85"/>
    <w:rsid w:val="00DD38AB"/>
    <w:rsid w:val="00DD6D93"/>
    <w:rsid w:val="00DE26B2"/>
    <w:rsid w:val="00DF240D"/>
    <w:rsid w:val="00E03DF9"/>
    <w:rsid w:val="00E10D5F"/>
    <w:rsid w:val="00E15156"/>
    <w:rsid w:val="00E235EF"/>
    <w:rsid w:val="00E26DC6"/>
    <w:rsid w:val="00E52989"/>
    <w:rsid w:val="00E61311"/>
    <w:rsid w:val="00E71BB8"/>
    <w:rsid w:val="00E820CE"/>
    <w:rsid w:val="00E82CCD"/>
    <w:rsid w:val="00E8697C"/>
    <w:rsid w:val="00E91EC5"/>
    <w:rsid w:val="00EB202F"/>
    <w:rsid w:val="00EC698E"/>
    <w:rsid w:val="00EC7103"/>
    <w:rsid w:val="00ED618B"/>
    <w:rsid w:val="00EE26ED"/>
    <w:rsid w:val="00EE5475"/>
    <w:rsid w:val="00EF1C74"/>
    <w:rsid w:val="00EF1EFB"/>
    <w:rsid w:val="00F03904"/>
    <w:rsid w:val="00F071C2"/>
    <w:rsid w:val="00F147B0"/>
    <w:rsid w:val="00F147CF"/>
    <w:rsid w:val="00F22399"/>
    <w:rsid w:val="00F32DBB"/>
    <w:rsid w:val="00F347C6"/>
    <w:rsid w:val="00F52C51"/>
    <w:rsid w:val="00F537D1"/>
    <w:rsid w:val="00F541A1"/>
    <w:rsid w:val="00F72937"/>
    <w:rsid w:val="00F807BE"/>
    <w:rsid w:val="00F87E5E"/>
    <w:rsid w:val="00F94B3E"/>
    <w:rsid w:val="00F96EA6"/>
    <w:rsid w:val="00FD1769"/>
    <w:rsid w:val="00FD665A"/>
    <w:rsid w:val="00FF6055"/>
    <w:rsid w:val="00FF7EF0"/>
    <w:rsid w:val="124659C5"/>
    <w:rsid w:val="16F70EB5"/>
    <w:rsid w:val="18287B6F"/>
    <w:rsid w:val="239F679E"/>
    <w:rsid w:val="251A0B90"/>
    <w:rsid w:val="2BE52041"/>
    <w:rsid w:val="3D2E1997"/>
    <w:rsid w:val="423A386B"/>
    <w:rsid w:val="475710ED"/>
    <w:rsid w:val="4D2E66D8"/>
    <w:rsid w:val="65146C68"/>
    <w:rsid w:val="68880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40" w:line="240" w:lineRule="atLeast"/>
      <w:ind w:left="641"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jc w:val="left"/>
    </w:pPr>
    <w:rPr>
      <w:rFonts w:ascii="Calibri" w:hAnsi="Calibri" w:eastAsia="宋体" w:cs="Times New Roman"/>
      <w:kern w:val="0"/>
      <w:sz w:val="24"/>
      <w:szCs w:val="24"/>
    </w:rPr>
  </w:style>
  <w:style w:type="character" w:customStyle="1" w:styleId="7">
    <w:name w:val="页眉 Char"/>
    <w:basedOn w:val="6"/>
    <w:link w:val="3"/>
    <w:autoRedefine/>
    <w:semiHidden/>
    <w:qFormat/>
    <w:uiPriority w:val="99"/>
    <w:rPr>
      <w:kern w:val="2"/>
      <w:sz w:val="18"/>
      <w:szCs w:val="18"/>
    </w:rPr>
  </w:style>
  <w:style w:type="character" w:customStyle="1" w:styleId="8">
    <w:name w:val="页脚 Char"/>
    <w:basedOn w:val="6"/>
    <w:link w:val="2"/>
    <w:autoRedefine/>
    <w:semiHidden/>
    <w:qFormat/>
    <w:uiPriority w:val="99"/>
    <w:rPr>
      <w:kern w:val="2"/>
      <w:sz w:val="18"/>
      <w:szCs w:val="18"/>
    </w:rPr>
  </w:style>
  <w:style w:type="paragraph" w:styleId="9">
    <w:name w:val="List Paragraph"/>
    <w:basedOn w:val="1"/>
    <w:autoRedefine/>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33C4-9A3D-4E28-9479-36FF6EADC44F}">
  <ds:schemaRefs/>
</ds:datastoreItem>
</file>

<file path=docProps/app.xml><?xml version="1.0" encoding="utf-8"?>
<Properties xmlns="http://schemas.openxmlformats.org/officeDocument/2006/extended-properties" xmlns:vt="http://schemas.openxmlformats.org/officeDocument/2006/docPropsVTypes">
  <Template>Normal</Template>
  <Pages>10</Pages>
  <Words>3516</Words>
  <Characters>3738</Characters>
  <Lines>27</Lines>
  <Paragraphs>7</Paragraphs>
  <TotalTime>483</TotalTime>
  <ScaleCrop>false</ScaleCrop>
  <LinksUpToDate>false</LinksUpToDate>
  <CharactersWithSpaces>3782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闫春涛</cp:lastModifiedBy>
  <dcterms:modified xsi:type="dcterms:W3CDTF">2024-05-22T07:45:45Z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6523F82F860240129F0947315006819C_13</vt:lpwstr>
  </property>
</Properties>
</file>