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ind w:firstLine="600"/>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rPr>
        <w:t>20</w:t>
      </w:r>
      <w:r>
        <w:rPr>
          <w:rFonts w:ascii="Times New Roman" w:hAnsi="Times New Roman" w:eastAsia="仿宋" w:cs="Times New Roman"/>
          <w:sz w:val="30"/>
          <w:szCs w:val="30"/>
        </w:rPr>
        <w:t>年度）</w:t>
      </w:r>
    </w:p>
    <w:p>
      <w:pPr>
        <w:ind w:firstLine="420"/>
        <w:jc w:val="center"/>
        <w:rPr>
          <w:rFonts w:ascii="Times New Roman" w:hAnsi="Times New Roman" w:eastAsia="仿宋" w:cs="Times New Roman"/>
        </w:rPr>
      </w:pPr>
    </w:p>
    <w:p>
      <w:pPr>
        <w:ind w:firstLine="420"/>
        <w:jc w:val="center"/>
        <w:rPr>
          <w:rFonts w:ascii="Times New Roman" w:hAnsi="Times New Roman" w:eastAsia="仿宋" w:cs="Times New Roman"/>
        </w:rPr>
      </w:pPr>
    </w:p>
    <w:p>
      <w:pPr>
        <w:ind w:left="0" w:firstLine="0" w:firstLineChars="0"/>
        <w:jc w:val="center"/>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ind w:firstLine="420"/>
        <w:jc w:val="center"/>
        <w:rPr>
          <w:rFonts w:ascii="Times New Roman" w:hAnsi="Times New Roman" w:eastAsia="仿宋" w:cs="Times New Roman"/>
        </w:rPr>
      </w:pPr>
    </w:p>
    <w:p>
      <w:pPr>
        <w:ind w:firstLine="420"/>
        <w:jc w:val="center"/>
        <w:rPr>
          <w:rFonts w:ascii="Times New Roman" w:hAnsi="Times New Roman" w:eastAsia="仿宋" w:cs="Times New Roman"/>
        </w:rPr>
      </w:pPr>
    </w:p>
    <w:p>
      <w:pPr>
        <w:ind w:left="0" w:firstLine="0" w:firstLineChars="0"/>
        <w:jc w:val="center"/>
        <w:rPr>
          <w:rFonts w:ascii="Times New Roman" w:hAnsi="Times New Roman" w:eastAsia="仿宋" w:cs="Times New Roman"/>
          <w:sz w:val="32"/>
          <w:szCs w:val="32"/>
        </w:rPr>
      </w:pPr>
    </w:p>
    <w:p>
      <w:pPr>
        <w:ind w:firstLine="1920" w:firstLineChars="600"/>
        <w:jc w:val="center"/>
        <w:rPr>
          <w:rFonts w:ascii="Times New Roman" w:hAnsi="Times New Roman" w:eastAsia="仿宋" w:cs="Times New Roman"/>
          <w:sz w:val="32"/>
          <w:szCs w:val="32"/>
        </w:rPr>
      </w:pPr>
    </w:p>
    <w:p>
      <w:pPr>
        <w:ind w:firstLine="198" w:firstLineChars="62"/>
        <w:jc w:val="center"/>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汀流河镇人民政府 （加盖公章）</w:t>
      </w:r>
    </w:p>
    <w:p>
      <w:pPr>
        <w:ind w:firstLine="198" w:firstLineChars="62"/>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4855130           </w:t>
      </w:r>
    </w:p>
    <w:p>
      <w:pPr>
        <w:ind w:left="0" w:firstLine="0" w:firstLineChars="0"/>
        <w:jc w:val="center"/>
        <w:rPr>
          <w:rFonts w:ascii="Times New Roman" w:hAnsi="Times New Roman" w:eastAsia="仿宋" w:cs="Times New Roman"/>
          <w:sz w:val="32"/>
          <w:szCs w:val="32"/>
        </w:rPr>
      </w:pPr>
    </w:p>
    <w:p>
      <w:pPr>
        <w:ind w:firstLine="1440" w:firstLineChars="450"/>
        <w:jc w:val="center"/>
        <w:rPr>
          <w:rFonts w:ascii="Times New Roman" w:hAnsi="Times New Roman" w:eastAsia="仿宋" w:cs="Times New Roman"/>
          <w:sz w:val="32"/>
          <w:szCs w:val="32"/>
        </w:rPr>
      </w:pPr>
    </w:p>
    <w:p>
      <w:pPr>
        <w:ind w:firstLine="640"/>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：2020</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4</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25</w:t>
      </w:r>
      <w:r>
        <w:rPr>
          <w:rFonts w:ascii="Times New Roman" w:hAnsi="Times New Roman" w:eastAsia="仿宋" w:cs="Times New Roman"/>
          <w:sz w:val="32"/>
          <w:szCs w:val="32"/>
        </w:rPr>
        <w:t>日</w:t>
      </w:r>
    </w:p>
    <w:p>
      <w:pPr>
        <w:ind w:firstLine="640"/>
        <w:jc w:val="center"/>
        <w:rPr>
          <w:rFonts w:ascii="仿宋" w:hAnsi="仿宋" w:eastAsia="仿宋" w:cs="Times New Roman"/>
          <w:sz w:val="32"/>
          <w:szCs w:val="32"/>
        </w:rPr>
      </w:pPr>
      <w:r>
        <w:rPr>
          <w:rFonts w:hint="eastAsia" w:ascii="仿宋" w:hAnsi="仿宋" w:eastAsia="仿宋" w:cs="Times New Roman"/>
          <w:sz w:val="32"/>
          <w:szCs w:val="32"/>
        </w:rPr>
        <w:t>汀流河镇人民政府编</w:t>
      </w:r>
      <w:r>
        <w:rPr>
          <w:rFonts w:ascii="仿宋" w:hAnsi="仿宋" w:eastAsia="仿宋" w:cs="Times New Roman"/>
          <w:sz w:val="32"/>
          <w:szCs w:val="32"/>
        </w:rPr>
        <w:t>制</w:t>
      </w:r>
    </w:p>
    <w:p>
      <w:pPr>
        <w:widowControl/>
        <w:ind w:firstLine="883"/>
        <w:jc w:val="left"/>
        <w:rPr>
          <w:rFonts w:cs="Times New Roman" w:asciiTheme="minorEastAsia" w:hAnsiTheme="minorEastAsia"/>
          <w:b/>
          <w:sz w:val="44"/>
          <w:szCs w:val="44"/>
        </w:rPr>
      </w:pPr>
      <w:r>
        <w:rPr>
          <w:rFonts w:cs="Times New Roman" w:asciiTheme="minorEastAsia" w:hAnsiTheme="minorEastAsia"/>
          <w:b/>
          <w:sz w:val="44"/>
          <w:szCs w:val="44"/>
        </w:rPr>
        <w:br w:type="page"/>
      </w:r>
    </w:p>
    <w:p>
      <w:pPr>
        <w:ind w:firstLine="883"/>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pStyle w:val="9"/>
        <w:numPr>
          <w:ilvl w:val="0"/>
          <w:numId w:val="1"/>
        </w:numPr>
        <w:ind w:firstLineChars="0"/>
        <w:rPr>
          <w:rFonts w:cs="Times New Roman" w:asciiTheme="minorEastAsia" w:hAnsiTheme="minorEastAsia"/>
          <w:b/>
          <w:sz w:val="28"/>
          <w:szCs w:val="28"/>
        </w:rPr>
      </w:pPr>
      <w:r>
        <w:rPr>
          <w:rFonts w:cs="Times New Roman" w:asciiTheme="minorEastAsia" w:hAnsiTheme="minorEastAsia"/>
          <w:b/>
          <w:sz w:val="28"/>
          <w:szCs w:val="28"/>
        </w:rPr>
        <w:t>部门</w:t>
      </w:r>
      <w:r>
        <w:rPr>
          <w:rFonts w:hint="eastAsia" w:cs="Times New Roman" w:asciiTheme="minorEastAsia" w:hAnsiTheme="minorEastAsia"/>
          <w:b/>
          <w:sz w:val="28"/>
          <w:szCs w:val="28"/>
        </w:rPr>
        <w:t>整体</w:t>
      </w:r>
      <w:r>
        <w:rPr>
          <w:rFonts w:cs="Times New Roman" w:asciiTheme="minorEastAsia" w:hAnsiTheme="minorEastAsia"/>
          <w:b/>
          <w:sz w:val="28"/>
          <w:szCs w:val="28"/>
        </w:rPr>
        <w:t>概况</w:t>
      </w:r>
    </w:p>
    <w:p>
      <w:pPr>
        <w:spacing w:line="240" w:lineRule="auto"/>
        <w:ind w:firstLine="560"/>
        <w:jc w:val="left"/>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sz w:val="28"/>
          <w:szCs w:val="28"/>
        </w:rPr>
        <w:t>乐亭县汀流河镇人民政府是正科级行政部门，属于财政全额</w:t>
      </w:r>
      <w:r>
        <w:rPr>
          <w:rFonts w:hint="eastAsia" w:cs="Times New Roman" w:asciiTheme="minorEastAsia" w:hAnsiTheme="minorEastAsia"/>
          <w:sz w:val="28"/>
          <w:szCs w:val="28"/>
          <w:lang w:eastAsia="zh-CN"/>
        </w:rPr>
        <w:t>拨</w:t>
      </w:r>
      <w:r>
        <w:rPr>
          <w:rFonts w:hint="eastAsia" w:cs="Times New Roman" w:asciiTheme="minorEastAsia" w:hAnsiTheme="minorEastAsia"/>
          <w:sz w:val="28"/>
          <w:szCs w:val="28"/>
        </w:rPr>
        <w:t>款单位，</w:t>
      </w:r>
      <w:r>
        <w:rPr>
          <w:rFonts w:cs="Times New Roman" w:asciiTheme="minorEastAsia" w:hAnsiTheme="minorEastAsia"/>
          <w:sz w:val="28"/>
          <w:szCs w:val="28"/>
        </w:rPr>
        <w:t>本部门20</w:t>
      </w:r>
      <w:r>
        <w:rPr>
          <w:rFonts w:hint="eastAsia" w:cs="Times New Roman" w:asciiTheme="minorEastAsia" w:hAnsiTheme="minorEastAsia"/>
          <w:sz w:val="28"/>
          <w:szCs w:val="28"/>
        </w:rPr>
        <w:t>20</w:t>
      </w:r>
      <w:r>
        <w:rPr>
          <w:rFonts w:cs="Times New Roman" w:asciiTheme="minorEastAsia" w:hAnsiTheme="minorEastAsia"/>
          <w:sz w:val="28"/>
          <w:szCs w:val="28"/>
        </w:rPr>
        <w:t>年度申请预算</w:t>
      </w:r>
      <w:r>
        <w:rPr>
          <w:rFonts w:hint="eastAsia" w:cs="Times New Roman" w:asciiTheme="minorEastAsia" w:hAnsiTheme="minorEastAsia"/>
          <w:sz w:val="28"/>
          <w:szCs w:val="28"/>
        </w:rPr>
        <w:t>资金</w:t>
      </w:r>
      <w:r>
        <w:rPr>
          <w:rFonts w:hint="eastAsia" w:ascii="宋体" w:hAnsi="宋体" w:cs="宋体"/>
          <w:color w:val="333333"/>
          <w:kern w:val="0"/>
          <w:sz w:val="28"/>
          <w:szCs w:val="28"/>
        </w:rPr>
        <w:t>2007.43</w:t>
      </w:r>
      <w:r>
        <w:rPr>
          <w:rFonts w:hint="eastAsia" w:cs="Times New Roman" w:asciiTheme="minorEastAsia" w:hAnsiTheme="minorEastAsia"/>
          <w:sz w:val="28"/>
          <w:szCs w:val="28"/>
        </w:rPr>
        <w:t>万元，实际支出</w:t>
      </w:r>
      <w:r>
        <w:rPr>
          <w:rFonts w:hint="eastAsia" w:ascii="宋体" w:hAnsi="宋体" w:cs="宋体"/>
          <w:color w:val="333333"/>
          <w:kern w:val="0"/>
          <w:sz w:val="28"/>
          <w:szCs w:val="28"/>
        </w:rPr>
        <w:t>2394.85</w:t>
      </w:r>
      <w:r>
        <w:rPr>
          <w:rFonts w:hint="eastAsia" w:cs="Times New Roman" w:asciiTheme="minorEastAsia" w:hAnsiTheme="minorEastAsia"/>
          <w:sz w:val="28"/>
          <w:szCs w:val="28"/>
        </w:rPr>
        <w:t>万元，预算执行率100</w:t>
      </w:r>
      <w:r>
        <w:rPr>
          <w:rFonts w:cs="Times New Roman" w:asciiTheme="minorEastAsia" w:hAnsiTheme="minorEastAsia"/>
          <w:sz w:val="28"/>
          <w:szCs w:val="28"/>
        </w:rPr>
        <w:t>%</w:t>
      </w:r>
      <w:r>
        <w:rPr>
          <w:rFonts w:hint="eastAsia" w:cs="Times New Roman" w:asciiTheme="minorEastAsia" w:hAnsiTheme="minorEastAsia"/>
          <w:sz w:val="28"/>
          <w:szCs w:val="28"/>
        </w:rPr>
        <w:t>。</w:t>
      </w:r>
      <w:r>
        <w:rPr>
          <w:rFonts w:hint="eastAsia" w:cs="Times New Roman" w:asciiTheme="minorEastAsia" w:hAnsiTheme="minorEastAsia"/>
          <w:color w:val="000000" w:themeColor="text1"/>
          <w:sz w:val="28"/>
          <w:szCs w:val="28"/>
          <w14:textFill>
            <w14:solidFill>
              <w14:schemeClr w14:val="tx1"/>
            </w14:solidFill>
          </w14:textFill>
        </w:rPr>
        <w:t>其中：专项</w:t>
      </w:r>
      <w:r>
        <w:rPr>
          <w:rFonts w:cs="Times New Roman" w:asciiTheme="minorEastAsia" w:hAnsiTheme="minorEastAsia"/>
          <w:color w:val="000000" w:themeColor="text1"/>
          <w:sz w:val="28"/>
          <w:szCs w:val="28"/>
          <w14:textFill>
            <w14:solidFill>
              <w14:schemeClr w14:val="tx1"/>
            </w14:solidFill>
          </w14:textFill>
        </w:rPr>
        <w:t>项目</w:t>
      </w:r>
      <w:r>
        <w:rPr>
          <w:rFonts w:hint="eastAsia" w:cs="Times New Roman" w:asciiTheme="minorEastAsia" w:hAnsiTheme="minorEastAsia"/>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个，金额合计</w:t>
      </w:r>
      <w:r>
        <w:rPr>
          <w:rFonts w:hint="eastAsia" w:cs="Times New Roman" w:asciiTheme="minorEastAsia" w:hAnsiTheme="minorEastAsia"/>
          <w:color w:val="000000" w:themeColor="text1"/>
          <w:sz w:val="28"/>
          <w:szCs w:val="28"/>
          <w14:textFill>
            <w14:solidFill>
              <w14:schemeClr w14:val="tx1"/>
            </w14:solidFill>
          </w14:textFill>
        </w:rPr>
        <w:t>275.4</w:t>
      </w:r>
      <w:r>
        <w:rPr>
          <w:rFonts w:cs="Times New Roman" w:asciiTheme="minorEastAsia" w:hAnsiTheme="minorEastAsia"/>
          <w:color w:val="000000" w:themeColor="text1"/>
          <w:sz w:val="28"/>
          <w:szCs w:val="28"/>
          <w14:textFill>
            <w14:solidFill>
              <w14:schemeClr w14:val="tx1"/>
            </w14:solidFill>
          </w14:textFill>
        </w:rPr>
        <w:t>万元，实际</w:t>
      </w:r>
      <w:r>
        <w:rPr>
          <w:rFonts w:hint="eastAsia" w:cs="Times New Roman" w:asciiTheme="minorEastAsia" w:hAnsiTheme="minorEastAsia"/>
          <w:color w:val="000000" w:themeColor="text1"/>
          <w:sz w:val="28"/>
          <w:szCs w:val="28"/>
          <w14:textFill>
            <w14:solidFill>
              <w14:schemeClr w14:val="tx1"/>
            </w14:solidFill>
          </w14:textFill>
        </w:rPr>
        <w:t>支出275.4</w:t>
      </w:r>
      <w:r>
        <w:rPr>
          <w:rFonts w:cs="Times New Roman" w:asciiTheme="minorEastAsia" w:hAnsiTheme="minorEastAsia"/>
          <w:color w:val="000000" w:themeColor="text1"/>
          <w:sz w:val="28"/>
          <w:szCs w:val="28"/>
          <w14:textFill>
            <w14:solidFill>
              <w14:schemeClr w14:val="tx1"/>
            </w14:solidFill>
          </w14:textFill>
        </w:rPr>
        <w:t>万元，执行率为</w:t>
      </w:r>
      <w:r>
        <w:rPr>
          <w:rFonts w:hint="eastAsia" w:cs="Times New Roman" w:asciiTheme="minorEastAsia" w:hAnsiTheme="minorEastAsia"/>
          <w:color w:val="000000" w:themeColor="text1"/>
          <w:sz w:val="28"/>
          <w:szCs w:val="28"/>
          <w14:textFill>
            <w14:solidFill>
              <w14:schemeClr w14:val="tx1"/>
            </w14:solidFill>
          </w14:textFill>
        </w:rPr>
        <w:t>100</w:t>
      </w:r>
      <w:r>
        <w:rPr>
          <w:rFonts w:cs="Times New Roman" w:asciiTheme="minorEastAsia" w:hAnsiTheme="minorEastAsia"/>
          <w:color w:val="000000" w:themeColor="text1"/>
          <w:sz w:val="28"/>
          <w:szCs w:val="28"/>
          <w14:textFill>
            <w14:solidFill>
              <w14:schemeClr w14:val="tx1"/>
            </w14:solidFill>
          </w14:textFill>
        </w:rPr>
        <w:t>%。</w:t>
      </w:r>
    </w:p>
    <w:p>
      <w:pPr>
        <w:pStyle w:val="4"/>
        <w:widowControl/>
        <w:spacing w:after="226" w:line="405" w:lineRule="atLeast"/>
        <w:ind w:left="0" w:firstLine="560"/>
        <w:rPr>
          <w:rFonts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(一)主要职责</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1、贯彻落实党和国家在农村的各项方针政策和法律法规，做好农村、农业、农民工作。</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2、协调促进农村经济发展，维护农村稳定，增加农民收入，强化公共服务，改善民生，推进基层民主，促进农村和谐。</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3、加强农村基础设施建设和新型农村服务体系建设，落实强农惠农措施，着力解决群众生产生活中的突出问题，切实维护农民合法权益。</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4、增强社会管理和公共服务职能。</w:t>
      </w:r>
    </w:p>
    <w:p>
      <w:pPr>
        <w:pStyle w:val="4"/>
        <w:widowControl/>
        <w:spacing w:after="226" w:line="405" w:lineRule="atLeast"/>
        <w:ind w:firstLine="56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5、承办县委县政府的其他事项。</w:t>
      </w:r>
    </w:p>
    <w:p>
      <w:pPr>
        <w:pStyle w:val="4"/>
        <w:widowControl/>
        <w:spacing w:after="226" w:line="405" w:lineRule="atLeast"/>
        <w:ind w:left="0" w:firstLine="56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(二)部门预算单位构成</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1、机构及组成单位情况及单位性质</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汀流河镇人民政府是独立编制预算行政机构。下设党政综合办公室，经济发展办公室，社会事务办公室，财政所，文化综合服务中心，劳动保障事务站，人口和计划生育服务中心。</w:t>
      </w:r>
    </w:p>
    <w:p>
      <w:pPr>
        <w:pStyle w:val="4"/>
        <w:widowControl/>
        <w:spacing w:after="226" w:line="405" w:lineRule="atLeast"/>
        <w:ind w:left="0" w:firstLine="560"/>
        <w:rPr>
          <w:rFonts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2、人员构成情况</w:t>
      </w:r>
    </w:p>
    <w:p>
      <w:pPr>
        <w:pStyle w:val="4"/>
        <w:widowControl/>
        <w:spacing w:after="226" w:line="405" w:lineRule="atLeast"/>
        <w:ind w:left="0" w:firstLine="560"/>
        <w:rPr>
          <w:rFonts w:cs="宋体"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汀流河镇人民政府共计111 人，其中：在职人员 71 人，离退休人员 40人。</w:t>
      </w:r>
    </w:p>
    <w:p>
      <w:pPr>
        <w:ind w:left="0" w:firstLine="0" w:firstLineChars="0"/>
        <w:rPr>
          <w:rFonts w:cs="Times New Roman" w:asciiTheme="minorEastAsia" w:hAnsiTheme="minorEastAsia"/>
          <w:b/>
          <w:sz w:val="28"/>
          <w:szCs w:val="28"/>
        </w:rPr>
      </w:pPr>
      <w:r>
        <w:rPr>
          <w:rFonts w:cs="Times New Roman" w:asciiTheme="minorEastAsia" w:hAnsiTheme="minorEastAsia"/>
          <w:b/>
          <w:sz w:val="28"/>
          <w:szCs w:val="28"/>
        </w:rPr>
        <w:t>二、部门总体绩效目标和绩效指标设定情况</w:t>
      </w:r>
    </w:p>
    <w:p>
      <w:pPr>
        <w:pStyle w:val="4"/>
        <w:widowControl/>
        <w:spacing w:after="226" w:line="405" w:lineRule="atLeast"/>
        <w:ind w:left="0" w:firstLine="560"/>
        <w:rPr>
          <w:rFonts w:cs="宋体"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8"/>
          <w:szCs w:val="28"/>
          <w:shd w:val="clear" w:color="auto" w:fill="FFFFFF"/>
          <w14:textFill>
            <w14:solidFill>
              <w14:schemeClr w14:val="tx1"/>
            </w14:solidFill>
          </w14:textFill>
        </w:rPr>
        <w:t>本年收入2007.43万元，比上年决算少1171.37万元，主要是因为村干部工资发放形式改变，涉农项目增加，其中：财政拨款收入2007.43万元。本年支出：2394.85万元，比上年支出少457.45万元，主要原因预算项目增加，其中，人员经费773.85万元，比上年减少68万元，原因是人员交替，新入职人员工资暂未发放。</w:t>
      </w:r>
    </w:p>
    <w:p>
      <w:pPr>
        <w:snapToGrid w:val="0"/>
        <w:spacing w:line="560" w:lineRule="exact"/>
        <w:ind w:left="0" w:firstLine="420" w:firstLineChars="150"/>
        <w:jc w:val="left"/>
        <w:rPr>
          <w:rFonts w:cs="仿宋_GB2312" w:asciiTheme="minorEastAsia" w:hAnsiTheme="minorEastAsia"/>
          <w:sz w:val="28"/>
          <w:szCs w:val="28"/>
        </w:rPr>
      </w:pPr>
      <w:r>
        <w:rPr>
          <w:rFonts w:hint="eastAsia" w:cs="宋体" w:asciiTheme="minorEastAsia" w:hAnsiTheme="minorEastAsia"/>
          <w:color w:val="333333"/>
          <w:sz w:val="28"/>
          <w:szCs w:val="28"/>
          <w:shd w:val="clear" w:color="auto" w:fill="FFFFFF"/>
        </w:rPr>
        <w:t>我单位从以下四方面对预算资金进行绩效管理。</w:t>
      </w:r>
    </w:p>
    <w:p>
      <w:pPr>
        <w:pStyle w:val="4"/>
        <w:shd w:val="clear" w:color="auto" w:fill="FFFFFF"/>
        <w:spacing w:after="0" w:line="480" w:lineRule="auto"/>
        <w:ind w:left="0" w:firstLine="420" w:firstLineChars="15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执行了预算政策要求。我单位工作经费安排严格按照年初预算来执行，有效防止了超预算；认真学习财经法规，严格执行财经纪律，防止了违法违纪行为的发生；认真落实了有关资金要求，主动及时上缴了年度结转结余资金。</w:t>
      </w:r>
    </w:p>
    <w:p>
      <w:pPr>
        <w:pStyle w:val="4"/>
        <w:shd w:val="clear" w:color="auto" w:fill="FFFFFF"/>
        <w:spacing w:after="0" w:line="480" w:lineRule="auto"/>
        <w:ind w:firstLine="0" w:firstLineChars="0"/>
        <w:jc w:val="both"/>
        <w:rPr>
          <w:rFonts w:asciiTheme="minorEastAsia" w:hAnsiTheme="minorEastAsia" w:eastAsiaTheme="minorEastAsia"/>
          <w:color w:val="000000"/>
          <w:sz w:val="28"/>
          <w:szCs w:val="28"/>
        </w:rPr>
      </w:pPr>
    </w:p>
    <w:p>
      <w:pPr>
        <w:pStyle w:val="4"/>
        <w:shd w:val="clear" w:color="auto" w:fill="FFFFFF"/>
        <w:spacing w:after="0" w:line="480" w:lineRule="auto"/>
        <w:ind w:left="640" w:leftChars="305" w:firstLine="420" w:firstLineChars="15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2、保障了机关有效运转。严格按照厉行节约的要求，精打细算，规范机关事务管理工作，提高服务质量，降低运行成本，合理配置，提高保障能力。保障了干部待遇按政策发放落实。</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3、加强了干部队伍建设。我镇党委认真贯彻</w:t>
      </w:r>
      <w:bookmarkStart w:id="0" w:name="_GoBack"/>
      <w:bookmarkEnd w:id="0"/>
      <w:r>
        <w:rPr>
          <w:rFonts w:hint="eastAsia" w:asciiTheme="minorEastAsia" w:hAnsiTheme="minorEastAsia" w:eastAsiaTheme="minorEastAsia"/>
          <w:color w:val="000000"/>
          <w:sz w:val="28"/>
          <w:szCs w:val="28"/>
        </w:rPr>
        <w:t>落实</w:t>
      </w:r>
      <w:r>
        <w:rPr>
          <w:rFonts w:hint="eastAsia" w:asciiTheme="minorEastAsia" w:hAnsiTheme="minorEastAsia" w:eastAsiaTheme="minorEastAsia"/>
          <w:color w:val="000000"/>
          <w:sz w:val="28"/>
          <w:szCs w:val="28"/>
          <w:lang w:eastAsia="zh-CN"/>
        </w:rPr>
        <w:t>全面</w:t>
      </w:r>
      <w:r>
        <w:rPr>
          <w:rFonts w:hint="eastAsia" w:asciiTheme="minorEastAsia" w:hAnsiTheme="minorEastAsia" w:eastAsiaTheme="minorEastAsia"/>
          <w:color w:val="000000"/>
          <w:sz w:val="28"/>
          <w:szCs w:val="28"/>
        </w:rPr>
        <w:t>从严治党各项要求，始终坚持把纪律规矩挺在最前面。不定期开展党风廉政建设专题党课活动，全面贯彻落实习近平新时代中国特色社会主义思想和党的十九大精神，深化推进党风廉政建设和反腐败工作纵深发展。</w:t>
      </w:r>
    </w:p>
    <w:p>
      <w:pPr>
        <w:pStyle w:val="4"/>
        <w:shd w:val="clear" w:color="auto" w:fill="FFFFFF"/>
        <w:spacing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4、强化了财政职能工作。顺利推进了预算改革、政府购买服务等。积极化解了财政风险，强化了债务风险规范了政府债务管理，积极强化了财政监管，提升了管理水平。</w:t>
      </w:r>
    </w:p>
    <w:p>
      <w:pPr>
        <w:pStyle w:val="4"/>
        <w:widowControl/>
        <w:spacing w:after="226" w:line="405" w:lineRule="atLeast"/>
        <w:ind w:left="0" w:firstLine="0" w:firstLineChars="0"/>
        <w:rPr>
          <w:rFonts w:asciiTheme="minorEastAsia" w:hAnsiTheme="minorEastAsia" w:eastAsiaTheme="minorEastAsia"/>
          <w:color w:val="333333"/>
          <w:sz w:val="28"/>
          <w:szCs w:val="28"/>
        </w:rPr>
      </w:pPr>
      <w:r>
        <w:rPr>
          <w:rFonts w:asciiTheme="minorEastAsia" w:hAnsiTheme="minorEastAsia"/>
          <w:b/>
          <w:sz w:val="28"/>
          <w:szCs w:val="28"/>
        </w:rPr>
        <w:t>三、绩效评价组织情况</w:t>
      </w:r>
    </w:p>
    <w:p>
      <w:pPr>
        <w:ind w:firstLine="56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本次绩效评价项目</w:t>
      </w:r>
      <w:r>
        <w:rPr>
          <w:rFonts w:hint="eastAsia" w:cs="Times New Roman" w:asciiTheme="minorEastAsia" w:hAnsiTheme="minorEastAsia"/>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个，</w:t>
      </w:r>
      <w:r>
        <w:rPr>
          <w:rFonts w:hint="eastAsia" w:cs="Times New Roman" w:asciiTheme="minorEastAsia" w:hAnsiTheme="minorEastAsia"/>
          <w:color w:val="000000" w:themeColor="text1"/>
          <w:sz w:val="28"/>
          <w:szCs w:val="28"/>
          <w14:textFill>
            <w14:solidFill>
              <w14:schemeClr w14:val="tx1"/>
            </w14:solidFill>
          </w14:textFill>
        </w:rPr>
        <w:t>占</w:t>
      </w:r>
      <w:r>
        <w:rPr>
          <w:rFonts w:cs="Times New Roman" w:asciiTheme="minorEastAsia" w:hAnsiTheme="minorEastAsia"/>
          <w:color w:val="000000" w:themeColor="text1"/>
          <w:sz w:val="28"/>
          <w:szCs w:val="28"/>
          <w14:textFill>
            <w14:solidFill>
              <w14:schemeClr w14:val="tx1"/>
            </w14:solidFill>
          </w14:textFill>
        </w:rPr>
        <w:t>部门</w:t>
      </w:r>
      <w:r>
        <w:rPr>
          <w:rFonts w:hint="eastAsia" w:cs="Times New Roman" w:asciiTheme="minorEastAsia" w:hAnsiTheme="minorEastAsia"/>
          <w:color w:val="000000" w:themeColor="text1"/>
          <w:sz w:val="28"/>
          <w:szCs w:val="28"/>
          <w14:textFill>
            <w14:solidFill>
              <w14:schemeClr w14:val="tx1"/>
            </w14:solidFill>
          </w14:textFill>
        </w:rPr>
        <w:t>年初预算</w:t>
      </w:r>
      <w:r>
        <w:rPr>
          <w:rFonts w:cs="Times New Roman" w:asciiTheme="minorEastAsia" w:hAnsiTheme="minorEastAsia"/>
          <w:color w:val="000000" w:themeColor="text1"/>
          <w:sz w:val="28"/>
          <w:szCs w:val="28"/>
          <w14:textFill>
            <w14:solidFill>
              <w14:schemeClr w14:val="tx1"/>
            </w14:solidFill>
          </w14:textFill>
        </w:rPr>
        <w:t>项目总数的</w:t>
      </w:r>
      <w:r>
        <w:rPr>
          <w:rFonts w:hint="eastAsia" w:cs="Times New Roman" w:asciiTheme="minorEastAsia" w:hAnsiTheme="minorEastAsia"/>
          <w:color w:val="000000" w:themeColor="text1"/>
          <w:sz w:val="28"/>
          <w:szCs w:val="28"/>
          <w14:textFill>
            <w14:solidFill>
              <w14:schemeClr w14:val="tx1"/>
            </w14:solidFill>
          </w14:textFill>
        </w:rPr>
        <w:t>100%</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14:textFill>
            <w14:solidFill>
              <w14:schemeClr w14:val="tx1"/>
            </w14:solidFill>
          </w14:textFill>
        </w:rPr>
        <w:t>全部项目金额275.4</w:t>
      </w:r>
      <w:r>
        <w:rPr>
          <w:rFonts w:cs="Times New Roman" w:asciiTheme="minorEastAsia" w:hAnsiTheme="minorEastAsia"/>
          <w:color w:val="000000" w:themeColor="text1"/>
          <w:sz w:val="28"/>
          <w:szCs w:val="28"/>
          <w14:textFill>
            <w14:solidFill>
              <w14:schemeClr w14:val="tx1"/>
            </w14:solidFill>
          </w14:textFill>
        </w:rPr>
        <w:t>万元。采取成立本部门绩效自评工作组</w:t>
      </w:r>
      <w:r>
        <w:rPr>
          <w:rFonts w:hint="eastAsia" w:cs="Times New Roman" w:asciiTheme="minorEastAsia" w:hAnsiTheme="minorEastAsia"/>
          <w:color w:val="000000" w:themeColor="text1"/>
          <w:sz w:val="28"/>
          <w:szCs w:val="28"/>
          <w14:textFill>
            <w14:solidFill>
              <w14:schemeClr w14:val="tx1"/>
            </w14:solidFill>
          </w14:textFill>
        </w:rPr>
        <w:t>的</w:t>
      </w:r>
      <w:r>
        <w:rPr>
          <w:rFonts w:cs="Times New Roman" w:asciiTheme="minorEastAsia" w:hAnsiTheme="minorEastAsia"/>
          <w:color w:val="000000" w:themeColor="text1"/>
          <w:sz w:val="28"/>
          <w:szCs w:val="28"/>
          <w14:textFill>
            <w14:solidFill>
              <w14:schemeClr w14:val="tx1"/>
            </w14:solidFill>
          </w14:textFill>
        </w:rPr>
        <w:t>形式，本着客观、公正、公开的原则开展自评工作，所有项目的绩效自评均设计了合理、明晰、可考核的、关键性产出指标和效果指标。自评结果真实可靠。</w:t>
      </w:r>
    </w:p>
    <w:p>
      <w:pPr>
        <w:ind w:firstLine="562"/>
        <w:rPr>
          <w:rFonts w:cs="Times New Roman" w:asciiTheme="minorEastAsia" w:hAnsiTheme="minorEastAsia"/>
          <w:b/>
          <w:sz w:val="28"/>
          <w:szCs w:val="28"/>
        </w:rPr>
      </w:pPr>
      <w:r>
        <w:rPr>
          <w:rFonts w:cs="Times New Roman" w:asciiTheme="minorEastAsia" w:hAnsiTheme="minorEastAsia"/>
          <w:b/>
          <w:sz w:val="28"/>
          <w:szCs w:val="28"/>
        </w:rPr>
        <w:t>四、绩效实现情况分析</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1、乡镇维稳专项资金40万元。</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资金投入支出情况分析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项目资金于2020年全部到位，主要用于处置、化解信访案件，减少越级上访事件的发生，将信访人稳定在基层，级护社会和谐稳定。项目于2020年用于支付乡镇信访维稳支出。</w:t>
      </w:r>
    </w:p>
    <w:p>
      <w:pPr>
        <w:spacing w:line="560" w:lineRule="exact"/>
        <w:ind w:left="640" w:leftChars="305" w:firstLine="613" w:firstLineChars="218"/>
        <w:rPr>
          <w:rFonts w:asciiTheme="minorEastAsia" w:hAnsiTheme="minorEastAsia"/>
          <w:b/>
          <w:color w:val="000000"/>
          <w:sz w:val="28"/>
          <w:szCs w:val="28"/>
        </w:rPr>
      </w:pPr>
      <w:r>
        <w:rPr>
          <w:rFonts w:hint="eastAsia" w:asciiTheme="minorEastAsia" w:hAnsiTheme="minorEastAsia"/>
          <w:b/>
          <w:color w:val="000000"/>
          <w:sz w:val="28"/>
          <w:szCs w:val="28"/>
        </w:rPr>
        <w:t>总体绩效目标完成情况分析</w:t>
      </w:r>
    </w:p>
    <w:p>
      <w:pPr>
        <w:spacing w:line="560" w:lineRule="exact"/>
        <w:ind w:firstLine="560"/>
        <w:rPr>
          <w:rFonts w:asciiTheme="minorEastAsia" w:hAnsiTheme="minorEastAsia"/>
          <w:sz w:val="28"/>
          <w:szCs w:val="28"/>
        </w:rPr>
      </w:pPr>
      <w:r>
        <w:rPr>
          <w:rFonts w:hint="eastAsia" w:asciiTheme="minorEastAsia" w:hAnsiTheme="minorEastAsia"/>
          <w:color w:val="000000"/>
          <w:sz w:val="28"/>
          <w:szCs w:val="28"/>
        </w:rPr>
        <w:t>全年</w:t>
      </w:r>
      <w:r>
        <w:rPr>
          <w:rFonts w:hint="eastAsia" w:asciiTheme="minorEastAsia" w:hAnsiTheme="minorEastAsia"/>
          <w:sz w:val="28"/>
          <w:szCs w:val="28"/>
        </w:rPr>
        <w:t>化解矛盾纠纷45余件，全年没发生进京访行为，在重大活动及特殊时期未出现出县访，积极</w:t>
      </w:r>
      <w:r>
        <w:rPr>
          <w:rFonts w:hint="eastAsia" w:asciiTheme="minorEastAsia" w:hAnsiTheme="minorEastAsia"/>
          <w:sz w:val="28"/>
          <w:szCs w:val="28"/>
          <w:shd w:val="clear" w:color="auto" w:fill="FFFFFF"/>
        </w:rPr>
        <w:t>推进民主法治示范村创建活动，</w:t>
      </w:r>
      <w:r>
        <w:rPr>
          <w:rFonts w:hint="eastAsia" w:asciiTheme="minorEastAsia" w:hAnsiTheme="minorEastAsia"/>
          <w:sz w:val="28"/>
          <w:szCs w:val="28"/>
        </w:rPr>
        <w:t xml:space="preserve">多层次构建社会法治体系。 </w:t>
      </w:r>
    </w:p>
    <w:p>
      <w:pPr>
        <w:spacing w:line="560" w:lineRule="exact"/>
        <w:ind w:left="640" w:leftChars="305" w:firstLine="475" w:firstLineChars="169"/>
        <w:rPr>
          <w:rFonts w:asciiTheme="minorEastAsia" w:hAnsiTheme="minorEastAsia"/>
          <w:b/>
          <w:color w:val="000000"/>
          <w:sz w:val="28"/>
          <w:szCs w:val="28"/>
        </w:rPr>
      </w:pPr>
      <w:r>
        <w:rPr>
          <w:rFonts w:hint="eastAsia" w:asciiTheme="minorEastAsia" w:hAnsiTheme="minorEastAsia"/>
          <w:b/>
          <w:color w:val="000000"/>
          <w:sz w:val="28"/>
          <w:szCs w:val="28"/>
        </w:rPr>
        <w:t>绩效指标完成情况分析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1．产出指标完成情况分析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（1）数量指标：协调督导事项50余件，化解率达100%，确保我单位无进京上访事件；</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（2）质量指标：涉稳舆情处置率100%，确保基层稳定；</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2.服务满意度指标分析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涉访人员的满意程度达90%以上，做到耐心解释，尽量使涉访人员满意。</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2、定期定量补助2.8万元</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项目绩效目标：</w:t>
      </w:r>
      <w:r>
        <w:rPr>
          <w:rFonts w:hint="eastAsia" w:asciiTheme="minorEastAsia" w:hAnsiTheme="minorEastAsia"/>
          <w:color w:val="000000"/>
          <w:sz w:val="28"/>
          <w:szCs w:val="28"/>
        </w:rPr>
        <w:t>为切实解决农村困难群众生活，对符合政策的精减老弱残职工、职业警察和农村特困人员发放生活补助。</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产出指标—数量指标：发放补助人数57人</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产出指标—质量指标：补贴发放及时率100%</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效益指标—社会效益指标：补贴人员生活水平保持稳定</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满意度指标：受补贴人员满意度达95%以上</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3、企业发展资金30万元。</w:t>
      </w:r>
    </w:p>
    <w:p>
      <w:pPr>
        <w:spacing w:line="560" w:lineRule="exact"/>
        <w:ind w:firstLine="562"/>
        <w:rPr>
          <w:rFonts w:asciiTheme="minorEastAsia" w:hAnsiTheme="minorEastAsia"/>
          <w:color w:val="000000"/>
          <w:sz w:val="28"/>
          <w:szCs w:val="28"/>
        </w:rPr>
      </w:pPr>
      <w:r>
        <w:rPr>
          <w:rFonts w:hint="eastAsia" w:asciiTheme="minorEastAsia" w:hAnsiTheme="minorEastAsia"/>
          <w:b/>
          <w:color w:val="000000"/>
          <w:sz w:val="28"/>
          <w:szCs w:val="28"/>
        </w:rPr>
        <w:t>项目绩效目标：</w:t>
      </w:r>
      <w:r>
        <w:rPr>
          <w:rFonts w:hint="eastAsia" w:asciiTheme="minorEastAsia" w:hAnsiTheme="minorEastAsia"/>
          <w:color w:val="000000"/>
          <w:sz w:val="28"/>
          <w:szCs w:val="28"/>
        </w:rPr>
        <w:t>为增强县城经济实力，壮大辖区内企业经营活力对生产经营状况良好、有发展前景的商贸流通企业给予生产经营补贴。</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绩效指标分析：</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产出指标完成情况—数量指标：支持企业数量1个</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效益指标—可持续影响指标：进一步壮大企业生产经营能力</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效益指标—经济效益指标：稳步提升企业利税水平</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服务对象满意度指标：企业满意度达100%</w:t>
      </w:r>
    </w:p>
    <w:p>
      <w:pPr>
        <w:spacing w:line="560" w:lineRule="exact"/>
        <w:ind w:firstLine="562"/>
        <w:rPr>
          <w:rFonts w:asciiTheme="minorEastAsia" w:hAnsiTheme="minorEastAsia"/>
          <w:color w:val="000000"/>
          <w:sz w:val="28"/>
          <w:szCs w:val="28"/>
        </w:rPr>
      </w:pPr>
      <w:r>
        <w:rPr>
          <w:rFonts w:hint="eastAsia" w:ascii="宋体" w:hAnsi="宋体" w:cs="宋体"/>
          <w:b/>
          <w:bCs/>
          <w:sz w:val="28"/>
          <w:szCs w:val="28"/>
        </w:rPr>
        <w:t>4、村级经费资金202.6万元</w:t>
      </w:r>
      <w:r>
        <w:rPr>
          <w:rFonts w:hint="eastAsia" w:ascii="宋体" w:hAnsi="宋体" w:cs="宋体"/>
          <w:b/>
          <w:color w:val="000000"/>
          <w:sz w:val="28"/>
          <w:szCs w:val="28"/>
        </w:rPr>
        <w:t>资金投入支出情况分析：</w:t>
      </w:r>
      <w:r>
        <w:rPr>
          <w:rFonts w:hint="eastAsia" w:asciiTheme="minorEastAsia" w:hAnsiTheme="minorEastAsia"/>
          <w:color w:val="000000"/>
          <w:sz w:val="28"/>
          <w:szCs w:val="28"/>
        </w:rPr>
        <w:t>项目资金于</w:t>
      </w:r>
      <w:r>
        <w:rPr>
          <w:rFonts w:asciiTheme="minorEastAsia" w:hAnsiTheme="minorEastAsia"/>
          <w:color w:val="000000"/>
          <w:sz w:val="28"/>
          <w:szCs w:val="28"/>
        </w:rPr>
        <w:t>2020</w:t>
      </w:r>
      <w:r>
        <w:rPr>
          <w:rFonts w:hint="eastAsia" w:asciiTheme="minorEastAsia" w:hAnsiTheme="minorEastAsia"/>
          <w:color w:val="000000"/>
          <w:sz w:val="28"/>
          <w:szCs w:val="28"/>
        </w:rPr>
        <w:t>全部到位，主要用于村民委员会办公支出、服务群众专项事务支出、村级党组织活动支出、村干部养老保险和离任村干部补贴支出，维持村民委</w:t>
      </w:r>
      <w:r>
        <w:rPr>
          <w:rFonts w:hint="eastAsia" w:asciiTheme="minorEastAsia" w:hAnsiTheme="minorEastAsia"/>
          <w:color w:val="000000"/>
          <w:sz w:val="28"/>
          <w:szCs w:val="28"/>
          <w:lang w:eastAsia="zh-CN"/>
        </w:rPr>
        <w:t>员</w:t>
      </w:r>
      <w:r>
        <w:rPr>
          <w:rFonts w:hint="eastAsia" w:asciiTheme="minorEastAsia" w:hAnsiTheme="minorEastAsia"/>
          <w:color w:val="000000"/>
          <w:sz w:val="28"/>
          <w:szCs w:val="28"/>
        </w:rPr>
        <w:t>会、党支部的正常工作运转，更好的服务村民。</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产出指标：维持村民委</w:t>
      </w:r>
      <w:r>
        <w:rPr>
          <w:rFonts w:hint="eastAsia" w:asciiTheme="minorEastAsia" w:hAnsiTheme="minorEastAsia"/>
          <w:color w:val="000000"/>
          <w:sz w:val="28"/>
          <w:szCs w:val="28"/>
          <w:lang w:eastAsia="zh-CN"/>
        </w:rPr>
        <w:t>员</w:t>
      </w:r>
      <w:r>
        <w:rPr>
          <w:rFonts w:hint="eastAsia" w:asciiTheme="minorEastAsia" w:hAnsiTheme="minorEastAsia"/>
          <w:color w:val="000000"/>
          <w:sz w:val="28"/>
          <w:szCs w:val="28"/>
        </w:rPr>
        <w:t>会、党支部的正常工作运转</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效益指标：更好的服务村民</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满意度指标：群众满意度达到</w:t>
      </w:r>
      <w:r>
        <w:rPr>
          <w:rFonts w:asciiTheme="minorEastAsia" w:hAnsiTheme="minorEastAsia"/>
          <w:color w:val="000000"/>
          <w:sz w:val="28"/>
          <w:szCs w:val="28"/>
        </w:rPr>
        <w:t>95</w:t>
      </w:r>
      <w:r>
        <w:rPr>
          <w:rFonts w:hint="eastAsia" w:asciiTheme="minorEastAsia" w:hAnsiTheme="minorEastAsia"/>
          <w:color w:val="000000"/>
          <w:sz w:val="28"/>
          <w:szCs w:val="28"/>
        </w:rPr>
        <w:t>％</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我单位项目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我单位定期采集绩效运行的信息，督促各单位科室按时完成预算执行目标，杜绝发生偏离绩效目标和逾期无效目标的情况。依托严格的管理制度，我单位注重落实，全镇上下真抓实干，担当作为，全镇各项工作取得普遍提升。</w:t>
      </w:r>
    </w:p>
    <w:p>
      <w:pPr>
        <w:spacing w:line="560" w:lineRule="exact"/>
        <w:ind w:firstLine="562"/>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经济工作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截至11月底，完成工商税收175.23万元，占全年任务129.8%，完成物流税收222.67万元，占全年任务44.53%。完成固定资产投入10.1亿元，占全年任务72.14%，完成土地使用税99.8万元，占全年任务75.81%。规模以上工业总产值128.15亿元，同比增长5.11%；规模以上工业增加值36.01亿元，同比增长7.42%；规模以上工业利润8.92亿元，同比增长62.18%。</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续建项目1个，新开工项目3个，签约项目2个，储备项目13个。唐山市国顿环保设备制造有限公司、乐亭县铸升金属制品厂等13家公司被评为“河北省科技型中小企业”。</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农业工作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汀流河现代农业园区被评为“河北省精品园区”；新申请“东风青鸟”一个注册商标，新办理“乐亭甜瓜”商标使用许可一家；完成“乐亭县汀流河镇甜瓜协会网络平台”搭建，我镇农业规模化、产业化、标准化、品牌化建设水平不断提高。</w:t>
      </w:r>
    </w:p>
    <w:p>
      <w:pPr>
        <w:spacing w:line="560" w:lineRule="exact"/>
        <w:ind w:firstLine="562"/>
        <w:rPr>
          <w:rFonts w:hint="eastAsia" w:asciiTheme="minorEastAsia" w:hAnsiTheme="minorEastAsia"/>
          <w:b/>
          <w:color w:val="000000"/>
          <w:sz w:val="28"/>
          <w:szCs w:val="28"/>
        </w:rPr>
      </w:pPr>
      <w:r>
        <w:rPr>
          <w:rFonts w:hint="eastAsia" w:asciiTheme="minorEastAsia" w:hAnsiTheme="minorEastAsia"/>
          <w:b/>
          <w:color w:val="000000"/>
          <w:sz w:val="28"/>
          <w:szCs w:val="28"/>
        </w:rPr>
        <w:t>疫情防控</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面对疫情防控这个大战大考，汀流河镇党委坚持把党建引领作为重要抓手，切实发挥基层党组织和党员干部“三个作用”，让党旗在防疫一线高高飘扬。全镇31个村党支部组织成立73个防疫卡点，70余名机关党员干部深入疫情防控一线，928名党员参加疫情防控，1470名党员缴纳疫情特殊党费172580元。</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信访工作</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续加大扫黑除恶专项斗争宣传力度，维护良好社会风气。依法开展信访维稳工作，在重要时间节点我镇未出现一例出县访。对历史积案做到了“三重新、三到位、一处理”，我镇5件历史积案全部化解，7名信访老户全部签订了息诉罢访保证书。</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环境整治</w:t>
      </w:r>
    </w:p>
    <w:p>
      <w:pPr>
        <w:spacing w:line="560" w:lineRule="exact"/>
        <w:ind w:firstLine="560"/>
        <w:rPr>
          <w:rFonts w:hint="eastAsia" w:asciiTheme="minorEastAsia" w:hAnsiTheme="minorEastAsia"/>
          <w:color w:val="000000"/>
          <w:sz w:val="28"/>
          <w:szCs w:val="28"/>
        </w:rPr>
      </w:pPr>
      <w:r>
        <w:rPr>
          <w:rFonts w:hint="eastAsia" w:asciiTheme="minorEastAsia" w:hAnsiTheme="minorEastAsia"/>
          <w:color w:val="000000"/>
          <w:sz w:val="28"/>
          <w:szCs w:val="28"/>
        </w:rPr>
        <w:t>严格落实河长制，镇域内9条河道共清理垃圾10300立方米；完成新河东支全长6580米地下水超采综合治理农村灌溉水源置换项目；对20家“散乱污”企业进行整治，改造提升3家，“两断三清”17家；对10家粉尘污染企业进行改造提升达到环保要求；污水处理厂如期建成，对改善镇域生态环境发挥重要作用，为镇域发展和园区项目建设提供了有力支撑。</w:t>
      </w:r>
    </w:p>
    <w:p>
      <w:pPr>
        <w:spacing w:line="560" w:lineRule="exact"/>
        <w:ind w:firstLine="562"/>
        <w:rPr>
          <w:rFonts w:asciiTheme="minorEastAsia" w:hAnsiTheme="minorEastAsia"/>
          <w:b/>
          <w:color w:val="000000"/>
          <w:sz w:val="28"/>
          <w:szCs w:val="28"/>
        </w:rPr>
      </w:pPr>
      <w:r>
        <w:rPr>
          <w:rFonts w:hint="eastAsia" w:asciiTheme="minorEastAsia" w:hAnsiTheme="minorEastAsia"/>
          <w:b/>
          <w:color w:val="000000"/>
          <w:sz w:val="28"/>
          <w:szCs w:val="28"/>
        </w:rPr>
        <w:t>其他工作</w:t>
      </w:r>
    </w:p>
    <w:p>
      <w:pPr>
        <w:spacing w:line="560" w:lineRule="exact"/>
        <w:ind w:firstLine="560"/>
        <w:rPr>
          <w:rFonts w:asciiTheme="minorEastAsia" w:hAnsiTheme="minorEastAsia"/>
          <w:color w:val="000000"/>
          <w:sz w:val="28"/>
          <w:szCs w:val="28"/>
        </w:rPr>
      </w:pPr>
      <w:r>
        <w:rPr>
          <w:rFonts w:hint="eastAsia" w:asciiTheme="minorEastAsia" w:hAnsiTheme="minorEastAsia"/>
          <w:color w:val="000000"/>
          <w:sz w:val="28"/>
          <w:szCs w:val="28"/>
        </w:rPr>
        <w:t>投资43万元硬化东徐至丰庄村道路；通过广泛宣传，全面清查，圆满完成禁毒铲毒工作；完成散煤收缴工作，收缴散煤591.66吨；汀流河镇气代煤取暖炉安装9945户；广泛开展型煤推广、散煤治理及一氧化碳报警器发放安装工作。</w:t>
      </w:r>
    </w:p>
    <w:p>
      <w:pPr>
        <w:ind w:firstLine="562"/>
        <w:rPr>
          <w:rFonts w:cs="Times New Roman" w:asciiTheme="minorEastAsia" w:hAnsiTheme="minorEastAsia"/>
          <w:b/>
          <w:sz w:val="28"/>
          <w:szCs w:val="28"/>
        </w:rPr>
      </w:pPr>
      <w:r>
        <w:rPr>
          <w:rFonts w:cs="Times New Roman" w:asciiTheme="minorEastAsia" w:hAnsiTheme="minorEastAsia"/>
          <w:b/>
          <w:sz w:val="28"/>
          <w:szCs w:val="28"/>
        </w:rPr>
        <w:t>五、存在的问题和建议</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一是观念思想还需进一步转变。存在惯性思维和路径依赖，干部的能力素质水平与新时代、新要求不相适应。</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二是能力担当还需进一步强化。部分人员大局观不强，政策掌握不牢固，沟通协调能力不强。人员层次结构不优，积极性调动不充分，培养教育有差距。</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三是财政管理还需进一步提升。进一步优化支出结构，加强财政管理要做的工作还很多。</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四是纪律作风还需进一步严格。机关各项制度执行不够到位，一些作风建设要求没有彻底落地。</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五是创先争优意识还需进一步加强。要进行横向对比，努力提高业务水平。</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六、改进措施和有关建议</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一是提高政治站位，坚持从全方面来谋划和推动财政工作。</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二是贯彻新发展理念，积极学习财政政策，抓重点、补短板、强弱项，更好地适应新时代发展要求。</w:t>
      </w:r>
    </w:p>
    <w:p>
      <w:pPr>
        <w:pStyle w:val="4"/>
        <w:shd w:val="clear" w:color="auto" w:fill="FFFFFF"/>
        <w:spacing w:after="0" w:line="240" w:lineRule="auto"/>
        <w:ind w:firstLine="560"/>
        <w:jc w:val="both"/>
        <w:rPr>
          <w:rFonts w:ascii="宋体" w:hAnsi="宋体"/>
          <w:color w:val="000000"/>
          <w:sz w:val="28"/>
          <w:szCs w:val="28"/>
        </w:rPr>
      </w:pPr>
      <w:r>
        <w:rPr>
          <w:rFonts w:hint="eastAsia" w:asciiTheme="minorEastAsia" w:hAnsiTheme="minorEastAsia" w:eastAsiaTheme="minorEastAsia"/>
          <w:color w:val="000000"/>
          <w:sz w:val="28"/>
          <w:szCs w:val="28"/>
        </w:rPr>
        <w:t>三是把握稳中求进工作总基调，在财政工作中，</w:t>
      </w:r>
      <w:r>
        <w:rPr>
          <w:rFonts w:hint="eastAsia" w:ascii="宋体" w:hAnsi="宋体"/>
          <w:color w:val="000000"/>
          <w:sz w:val="28"/>
          <w:szCs w:val="28"/>
        </w:rPr>
        <w:t xml:space="preserve">建立健全部门预算绩效管理的法律法规体系，完善预算绩效管理体系与指标评估体系，提升绩效管理从业人员的专业素质和思想水平。 </w:t>
      </w:r>
    </w:p>
    <w:p>
      <w:pPr>
        <w:pStyle w:val="4"/>
        <w:shd w:val="clear" w:color="auto" w:fill="FFFFFF"/>
        <w:spacing w:after="0" w:line="48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四是落实高质量发展要求，各部门严格执行内控制度，将预算绩效管理制度落到实处，确保财政资金的有效使用。</w:t>
      </w:r>
      <w:r>
        <w:rPr>
          <w:rFonts w:asciiTheme="minorEastAsia" w:hAnsiTheme="minorEastAsia" w:eastAsiaTheme="minorEastAsia"/>
          <w:color w:val="000000"/>
          <w:sz w:val="28"/>
          <w:szCs w:val="28"/>
        </w:rPr>
        <w:t xml:space="preserve"> </w:t>
      </w:r>
    </w:p>
    <w:p>
      <w:pPr>
        <w:pStyle w:val="4"/>
        <w:shd w:val="clear" w:color="auto" w:fill="FFFFFF"/>
        <w:spacing w:after="0" w:line="240" w:lineRule="auto"/>
        <w:ind w:firstLine="560"/>
        <w:jc w:val="both"/>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五是进一步加强单位财务管理，严格财政财务制度执行。</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3163E"/>
    <w:multiLevelType w:val="multilevel"/>
    <w:tmpl w:val="1B93163E"/>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96493D"/>
    <w:rsid w:val="00005328"/>
    <w:rsid w:val="00010B23"/>
    <w:rsid w:val="00075FA4"/>
    <w:rsid w:val="0008093C"/>
    <w:rsid w:val="000862E6"/>
    <w:rsid w:val="000A1E7E"/>
    <w:rsid w:val="000A740A"/>
    <w:rsid w:val="000B10D7"/>
    <w:rsid w:val="000C049D"/>
    <w:rsid w:val="000E5906"/>
    <w:rsid w:val="000E7104"/>
    <w:rsid w:val="000F2758"/>
    <w:rsid w:val="00107A98"/>
    <w:rsid w:val="00110F03"/>
    <w:rsid w:val="00112E11"/>
    <w:rsid w:val="00116C9D"/>
    <w:rsid w:val="001176CE"/>
    <w:rsid w:val="00121CE0"/>
    <w:rsid w:val="00126BA4"/>
    <w:rsid w:val="00132C4A"/>
    <w:rsid w:val="001375E4"/>
    <w:rsid w:val="00140A89"/>
    <w:rsid w:val="0014271C"/>
    <w:rsid w:val="001575F5"/>
    <w:rsid w:val="00164E16"/>
    <w:rsid w:val="00166914"/>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24705"/>
    <w:rsid w:val="00230589"/>
    <w:rsid w:val="002319C7"/>
    <w:rsid w:val="0024508D"/>
    <w:rsid w:val="002464E9"/>
    <w:rsid w:val="002478E8"/>
    <w:rsid w:val="00247DDE"/>
    <w:rsid w:val="002541FD"/>
    <w:rsid w:val="002633F7"/>
    <w:rsid w:val="0027171A"/>
    <w:rsid w:val="00271D38"/>
    <w:rsid w:val="0027275E"/>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141D5"/>
    <w:rsid w:val="00325602"/>
    <w:rsid w:val="00327511"/>
    <w:rsid w:val="00337974"/>
    <w:rsid w:val="003446E0"/>
    <w:rsid w:val="00346699"/>
    <w:rsid w:val="003552A2"/>
    <w:rsid w:val="0036652D"/>
    <w:rsid w:val="00366F10"/>
    <w:rsid w:val="00384029"/>
    <w:rsid w:val="0038556F"/>
    <w:rsid w:val="00386BB8"/>
    <w:rsid w:val="00387278"/>
    <w:rsid w:val="003A7E16"/>
    <w:rsid w:val="003C477D"/>
    <w:rsid w:val="003D0975"/>
    <w:rsid w:val="003E1D58"/>
    <w:rsid w:val="003E5E52"/>
    <w:rsid w:val="003F17CD"/>
    <w:rsid w:val="003F7251"/>
    <w:rsid w:val="00406567"/>
    <w:rsid w:val="004116D1"/>
    <w:rsid w:val="00411AFC"/>
    <w:rsid w:val="00414EC2"/>
    <w:rsid w:val="00416E93"/>
    <w:rsid w:val="00417732"/>
    <w:rsid w:val="00424B31"/>
    <w:rsid w:val="00436413"/>
    <w:rsid w:val="00436708"/>
    <w:rsid w:val="0044389B"/>
    <w:rsid w:val="00451D8B"/>
    <w:rsid w:val="00474EFA"/>
    <w:rsid w:val="0047729E"/>
    <w:rsid w:val="00480A62"/>
    <w:rsid w:val="00487E62"/>
    <w:rsid w:val="004A59A6"/>
    <w:rsid w:val="004A768C"/>
    <w:rsid w:val="004B53BA"/>
    <w:rsid w:val="004B673C"/>
    <w:rsid w:val="004C1538"/>
    <w:rsid w:val="004E10F6"/>
    <w:rsid w:val="004E2006"/>
    <w:rsid w:val="004F032F"/>
    <w:rsid w:val="004F206A"/>
    <w:rsid w:val="004F4B37"/>
    <w:rsid w:val="00502314"/>
    <w:rsid w:val="00516224"/>
    <w:rsid w:val="005265F1"/>
    <w:rsid w:val="0054486C"/>
    <w:rsid w:val="00552456"/>
    <w:rsid w:val="00554743"/>
    <w:rsid w:val="005663EF"/>
    <w:rsid w:val="00571418"/>
    <w:rsid w:val="0058244F"/>
    <w:rsid w:val="00591B54"/>
    <w:rsid w:val="00592053"/>
    <w:rsid w:val="00592587"/>
    <w:rsid w:val="005A6564"/>
    <w:rsid w:val="005B23F5"/>
    <w:rsid w:val="005B2A6B"/>
    <w:rsid w:val="005C2D92"/>
    <w:rsid w:val="005E0261"/>
    <w:rsid w:val="005E054D"/>
    <w:rsid w:val="005F30D6"/>
    <w:rsid w:val="005F77E7"/>
    <w:rsid w:val="00605FE4"/>
    <w:rsid w:val="0061143B"/>
    <w:rsid w:val="00642933"/>
    <w:rsid w:val="00645CC4"/>
    <w:rsid w:val="00662591"/>
    <w:rsid w:val="00663FCE"/>
    <w:rsid w:val="006772FC"/>
    <w:rsid w:val="00683D14"/>
    <w:rsid w:val="0069325D"/>
    <w:rsid w:val="006B32FD"/>
    <w:rsid w:val="006B4C63"/>
    <w:rsid w:val="006C0DB9"/>
    <w:rsid w:val="006D0808"/>
    <w:rsid w:val="006D0871"/>
    <w:rsid w:val="006D7962"/>
    <w:rsid w:val="006E2A46"/>
    <w:rsid w:val="006E3DCC"/>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56F88"/>
    <w:rsid w:val="00763E27"/>
    <w:rsid w:val="00772209"/>
    <w:rsid w:val="00790756"/>
    <w:rsid w:val="0079296F"/>
    <w:rsid w:val="00796528"/>
    <w:rsid w:val="007A4ADC"/>
    <w:rsid w:val="007B4A7A"/>
    <w:rsid w:val="007C4D9C"/>
    <w:rsid w:val="007C7290"/>
    <w:rsid w:val="007D0DAC"/>
    <w:rsid w:val="007D0DE9"/>
    <w:rsid w:val="007D479D"/>
    <w:rsid w:val="007F343B"/>
    <w:rsid w:val="0081101D"/>
    <w:rsid w:val="00817274"/>
    <w:rsid w:val="00817683"/>
    <w:rsid w:val="00820D53"/>
    <w:rsid w:val="0082380C"/>
    <w:rsid w:val="008245DD"/>
    <w:rsid w:val="008334A7"/>
    <w:rsid w:val="008516D5"/>
    <w:rsid w:val="00861DA1"/>
    <w:rsid w:val="00891075"/>
    <w:rsid w:val="00892AA3"/>
    <w:rsid w:val="00892DEC"/>
    <w:rsid w:val="008966D9"/>
    <w:rsid w:val="008A523D"/>
    <w:rsid w:val="008A612B"/>
    <w:rsid w:val="008A6ED1"/>
    <w:rsid w:val="008B632A"/>
    <w:rsid w:val="008C3D07"/>
    <w:rsid w:val="008D26CD"/>
    <w:rsid w:val="008D3E40"/>
    <w:rsid w:val="008D5B31"/>
    <w:rsid w:val="008D7F1E"/>
    <w:rsid w:val="008F0494"/>
    <w:rsid w:val="008F0DB4"/>
    <w:rsid w:val="008F3565"/>
    <w:rsid w:val="008F5E35"/>
    <w:rsid w:val="00905FEB"/>
    <w:rsid w:val="00921D11"/>
    <w:rsid w:val="00922F47"/>
    <w:rsid w:val="00936261"/>
    <w:rsid w:val="00951AF6"/>
    <w:rsid w:val="00962D51"/>
    <w:rsid w:val="0096493D"/>
    <w:rsid w:val="00967B1D"/>
    <w:rsid w:val="00971E03"/>
    <w:rsid w:val="00983E22"/>
    <w:rsid w:val="00987590"/>
    <w:rsid w:val="009A67D8"/>
    <w:rsid w:val="009B4F7E"/>
    <w:rsid w:val="009D0FDC"/>
    <w:rsid w:val="009E18A5"/>
    <w:rsid w:val="009E7258"/>
    <w:rsid w:val="009E79D4"/>
    <w:rsid w:val="00A05212"/>
    <w:rsid w:val="00A116E8"/>
    <w:rsid w:val="00A155ED"/>
    <w:rsid w:val="00A15DFD"/>
    <w:rsid w:val="00A33401"/>
    <w:rsid w:val="00A561DC"/>
    <w:rsid w:val="00A62435"/>
    <w:rsid w:val="00A675D2"/>
    <w:rsid w:val="00A72D74"/>
    <w:rsid w:val="00A75973"/>
    <w:rsid w:val="00A849CC"/>
    <w:rsid w:val="00A91703"/>
    <w:rsid w:val="00AA1287"/>
    <w:rsid w:val="00AA6884"/>
    <w:rsid w:val="00AB19F5"/>
    <w:rsid w:val="00AB2978"/>
    <w:rsid w:val="00AB36F7"/>
    <w:rsid w:val="00AB66B4"/>
    <w:rsid w:val="00AC0762"/>
    <w:rsid w:val="00AE01FF"/>
    <w:rsid w:val="00AE5B06"/>
    <w:rsid w:val="00AE7C6C"/>
    <w:rsid w:val="00AF36F2"/>
    <w:rsid w:val="00AF7631"/>
    <w:rsid w:val="00B06FC9"/>
    <w:rsid w:val="00B10C63"/>
    <w:rsid w:val="00B16FA2"/>
    <w:rsid w:val="00B17405"/>
    <w:rsid w:val="00B23BE6"/>
    <w:rsid w:val="00B27DDB"/>
    <w:rsid w:val="00B427F5"/>
    <w:rsid w:val="00B54F37"/>
    <w:rsid w:val="00B92159"/>
    <w:rsid w:val="00B96AA7"/>
    <w:rsid w:val="00BB4B7B"/>
    <w:rsid w:val="00BB53DC"/>
    <w:rsid w:val="00BC7129"/>
    <w:rsid w:val="00BD031B"/>
    <w:rsid w:val="00BD0897"/>
    <w:rsid w:val="00BD47B5"/>
    <w:rsid w:val="00BD73D6"/>
    <w:rsid w:val="00BE21C9"/>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72601"/>
    <w:rsid w:val="00C80532"/>
    <w:rsid w:val="00C86668"/>
    <w:rsid w:val="00C962DC"/>
    <w:rsid w:val="00C96B09"/>
    <w:rsid w:val="00CB68B9"/>
    <w:rsid w:val="00CC0354"/>
    <w:rsid w:val="00CC0871"/>
    <w:rsid w:val="00CD473F"/>
    <w:rsid w:val="00D0106E"/>
    <w:rsid w:val="00D04CF2"/>
    <w:rsid w:val="00D11089"/>
    <w:rsid w:val="00D15F50"/>
    <w:rsid w:val="00D20515"/>
    <w:rsid w:val="00D24077"/>
    <w:rsid w:val="00D27FFE"/>
    <w:rsid w:val="00D30A65"/>
    <w:rsid w:val="00D45AED"/>
    <w:rsid w:val="00D5376D"/>
    <w:rsid w:val="00D57B08"/>
    <w:rsid w:val="00D62B4A"/>
    <w:rsid w:val="00D72D4F"/>
    <w:rsid w:val="00D743C2"/>
    <w:rsid w:val="00D846C4"/>
    <w:rsid w:val="00D87767"/>
    <w:rsid w:val="00D936E7"/>
    <w:rsid w:val="00D94E81"/>
    <w:rsid w:val="00DC584E"/>
    <w:rsid w:val="00DD1E85"/>
    <w:rsid w:val="00DD38AB"/>
    <w:rsid w:val="00DD6D93"/>
    <w:rsid w:val="00DE26B2"/>
    <w:rsid w:val="00DF240D"/>
    <w:rsid w:val="00E03DF9"/>
    <w:rsid w:val="00E10D5F"/>
    <w:rsid w:val="00E15156"/>
    <w:rsid w:val="00E235EF"/>
    <w:rsid w:val="00E26DC6"/>
    <w:rsid w:val="00E52989"/>
    <w:rsid w:val="00E61311"/>
    <w:rsid w:val="00E71BB8"/>
    <w:rsid w:val="00E820CE"/>
    <w:rsid w:val="00E82CCD"/>
    <w:rsid w:val="00E8697C"/>
    <w:rsid w:val="00E91EC5"/>
    <w:rsid w:val="00EB202F"/>
    <w:rsid w:val="00EC698E"/>
    <w:rsid w:val="00EC7103"/>
    <w:rsid w:val="00ED618B"/>
    <w:rsid w:val="00EE26ED"/>
    <w:rsid w:val="00EE5475"/>
    <w:rsid w:val="00EF1C74"/>
    <w:rsid w:val="00EF1EFB"/>
    <w:rsid w:val="00F03904"/>
    <w:rsid w:val="00F071C2"/>
    <w:rsid w:val="00F147B0"/>
    <w:rsid w:val="00F147CF"/>
    <w:rsid w:val="00F22399"/>
    <w:rsid w:val="00F32DBB"/>
    <w:rsid w:val="00F347C6"/>
    <w:rsid w:val="00F52C51"/>
    <w:rsid w:val="00F537D1"/>
    <w:rsid w:val="00F541A1"/>
    <w:rsid w:val="00F72937"/>
    <w:rsid w:val="00F807BE"/>
    <w:rsid w:val="00F87E5E"/>
    <w:rsid w:val="00F94B3E"/>
    <w:rsid w:val="00F96EA6"/>
    <w:rsid w:val="00FD1769"/>
    <w:rsid w:val="00FD665A"/>
    <w:rsid w:val="00FF6055"/>
    <w:rsid w:val="00FF7EF0"/>
    <w:rsid w:val="12666005"/>
    <w:rsid w:val="280F1469"/>
    <w:rsid w:val="3210344F"/>
    <w:rsid w:val="3D2E1997"/>
    <w:rsid w:val="465605FB"/>
    <w:rsid w:val="475710ED"/>
    <w:rsid w:val="79C91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40" w:line="240" w:lineRule="atLeast"/>
      <w:ind w:left="641"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33C4-9A3D-4E28-9479-36FF6EADC44F}">
  <ds:schemaRefs/>
</ds:datastoreItem>
</file>

<file path=docProps/app.xml><?xml version="1.0" encoding="utf-8"?>
<Properties xmlns="http://schemas.openxmlformats.org/officeDocument/2006/extended-properties" xmlns:vt="http://schemas.openxmlformats.org/officeDocument/2006/docPropsVTypes">
  <Template>Normal</Template>
  <Pages>10</Pages>
  <Words>3516</Words>
  <Characters>3738</Characters>
  <Lines>27</Lines>
  <Paragraphs>7</Paragraphs>
  <TotalTime>456</TotalTime>
  <ScaleCrop>false</ScaleCrop>
  <LinksUpToDate>false</LinksUpToDate>
  <CharactersWithSpaces>3782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闫春涛</cp:lastModifiedBy>
  <dcterms:modified xsi:type="dcterms:W3CDTF">2024-05-22T07:39:45Z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A55C7E6BA2BF4397BBF501E756FC8339_13</vt:lpwstr>
  </property>
</Properties>
</file>