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ind w:firstLine="2640" w:firstLineChars="600"/>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项目支出绩效评价报告</w:t>
      </w:r>
    </w:p>
    <w:p>
      <w:pPr>
        <w:pStyle w:val="7"/>
        <w:spacing w:line="560" w:lineRule="exact"/>
        <w:ind w:firstLine="640" w:firstLineChars="200"/>
        <w:rPr>
          <w:rFonts w:ascii="黑体" w:hAnsi="黑体" w:eastAsia="黑体" w:cs="黑体"/>
          <w:sz w:val="32"/>
          <w:szCs w:val="32"/>
          <w:lang w:val="en-US" w:eastAsia="zh-CN"/>
        </w:rPr>
      </w:pP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一、基本情况</w:t>
      </w:r>
    </w:p>
    <w:p>
      <w:pPr>
        <w:spacing w:line="579" w:lineRule="exact"/>
        <w:ind w:firstLine="643" w:firstLineChars="200"/>
        <w:outlineLvl w:val="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（一）项目概况。</w:t>
      </w:r>
    </w:p>
    <w:p>
      <w:pPr>
        <w:pStyle w:val="7"/>
        <w:spacing w:line="640" w:lineRule="exact"/>
        <w:ind w:firstLine="640" w:firstLineChars="200"/>
        <w:rPr>
          <w:rFonts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sz w:val="32"/>
          <w:szCs w:val="32"/>
          <w:lang w:eastAsia="zh-CN"/>
        </w:rPr>
        <w:t>项目名称：</w:t>
      </w:r>
      <w:r>
        <w:rPr>
          <w:rFonts w:hint="eastAsia" w:ascii="仿宋_GB2312" w:hAnsi="Times New Roman" w:eastAsia="仿宋_GB2312" w:cs="Times New Roman"/>
          <w:color w:val="auto"/>
          <w:kern w:val="2"/>
          <w:sz w:val="32"/>
          <w:szCs w:val="32"/>
          <w:lang w:val="en-US" w:eastAsia="zh-CN" w:bidi="ar-SA"/>
        </w:rPr>
        <w:t>企业养老保险金</w:t>
      </w:r>
    </w:p>
    <w:p>
      <w:pPr>
        <w:adjustRightInd w:val="0"/>
        <w:snapToGrid w:val="0"/>
        <w:spacing w:line="6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资金使用情况：企业养老基金省级统收统支后，我县当年基金征缴收入、转移收入、利息收入和其他收入不足以支付基本养老金、丧葬费抚恤金、转移支出和其他支出产生的收支缺口，由省级统筹基金与市、县财政补助共同负担。为确保企业离退休人员基本养老金按时足额发放，2021年财政预算企业养老金缺口623万元，根据实际收支缺口，我县实际支付企业养老金缺口103万元。</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rPr>
        <w:t>（二）项目绩效目标。</w:t>
      </w:r>
      <w:r>
        <w:rPr>
          <w:rFonts w:hint="eastAsia" w:ascii="仿宋_GB2312" w:hAnsi="仿宋_GB2312" w:eastAsia="仿宋_GB2312" w:cs="仿宋_GB2312"/>
          <w:sz w:val="32"/>
          <w:szCs w:val="32"/>
          <w:lang w:val="en-US" w:eastAsia="zh-CN"/>
        </w:rPr>
        <w:t>确保企业养老保险待遇按时全额发放，巩固企业基本养老保险参保率。</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3" w:firstLineChars="200"/>
        <w:rPr>
          <w:rFonts w:ascii="方正楷体简体" w:hAnsi="方正楷体简体" w:eastAsia="方正楷体简体" w:cs="方正楷体简体"/>
          <w:b/>
          <w:bCs/>
          <w:sz w:val="32"/>
          <w:szCs w:val="32"/>
        </w:rPr>
      </w:pPr>
      <w:r>
        <w:rPr>
          <w:rFonts w:hint="eastAsia" w:ascii="楷体_GB2312" w:hAnsi="楷体_GB2312" w:eastAsia="楷体_GB2312" w:cs="楷体_GB2312"/>
          <w:b/>
          <w:bCs/>
          <w:sz w:val="32"/>
          <w:szCs w:val="32"/>
        </w:rPr>
        <w:t>（一）绩效评价目的、对象和范围。</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eastAsia="仿宋_GB2312"/>
          <w:b/>
          <w:bCs/>
          <w:sz w:val="32"/>
          <w:szCs w:val="32"/>
          <w:lang w:val="en-US" w:eastAsia="zh-CN"/>
        </w:rPr>
        <w:t>1.绩效评价</w:t>
      </w:r>
      <w:r>
        <w:rPr>
          <w:rFonts w:hint="eastAsia" w:ascii="仿宋_GB2312" w:eastAsia="仿宋_GB2312"/>
          <w:b/>
          <w:bCs/>
          <w:sz w:val="32"/>
          <w:szCs w:val="32"/>
          <w:lang w:eastAsia="zh-CN"/>
        </w:rPr>
        <w:t>目的：</w:t>
      </w:r>
      <w:r>
        <w:rPr>
          <w:rFonts w:hint="eastAsia" w:ascii="仿宋_GB2312" w:hAnsi="仿宋_GB2312" w:eastAsia="仿宋_GB2312" w:cs="仿宋_GB2312"/>
          <w:sz w:val="32"/>
          <w:szCs w:val="32"/>
          <w:lang w:val="en-US" w:eastAsia="zh-CN"/>
        </w:rPr>
        <w:t>进一步推进我单位预算绩</w:t>
      </w:r>
      <w:bookmarkStart w:id="0" w:name="_GoBack"/>
      <w:bookmarkEnd w:id="0"/>
      <w:r>
        <w:rPr>
          <w:rFonts w:hint="eastAsia" w:ascii="仿宋_GB2312" w:hAnsi="仿宋_GB2312" w:eastAsia="仿宋_GB2312" w:cs="仿宋_GB2312"/>
          <w:sz w:val="32"/>
          <w:szCs w:val="32"/>
          <w:lang w:val="en-US" w:eastAsia="zh-CN"/>
        </w:rPr>
        <w:t>效管理工作，提升项目预算资金使用效益和资金管理科学化、精细化水平。</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2.绩效评价对象：</w:t>
      </w:r>
      <w:r>
        <w:rPr>
          <w:rFonts w:hint="eastAsia" w:ascii="仿宋_GB2312" w:hAnsi="Times New Roman" w:eastAsia="仿宋_GB2312"/>
          <w:sz w:val="32"/>
          <w:szCs w:val="32"/>
        </w:rPr>
        <w:t>企业养老保险金</w:t>
      </w:r>
      <w:r>
        <w:rPr>
          <w:rFonts w:hint="eastAsia" w:ascii="仿宋_GB2312" w:eastAsia="仿宋_GB2312"/>
          <w:sz w:val="32"/>
          <w:szCs w:val="32"/>
        </w:rPr>
        <w:t>项目。</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3.绩效评价范围：</w:t>
      </w:r>
      <w:r>
        <w:rPr>
          <w:rFonts w:hint="eastAsia" w:ascii="仿宋_GB2312" w:eastAsia="仿宋_GB2312"/>
          <w:sz w:val="32"/>
          <w:szCs w:val="32"/>
        </w:rPr>
        <w:t>2021年</w:t>
      </w:r>
      <w:r>
        <w:rPr>
          <w:rFonts w:hint="eastAsia" w:ascii="仿宋_GB2312" w:hAnsi="Times New Roman" w:eastAsia="仿宋_GB2312"/>
          <w:sz w:val="32"/>
          <w:szCs w:val="32"/>
        </w:rPr>
        <w:t>企业养老保险金</w:t>
      </w:r>
      <w:r>
        <w:rPr>
          <w:rFonts w:hint="eastAsia" w:ascii="仿宋_GB2312" w:eastAsia="仿宋_GB2312"/>
          <w:sz w:val="32"/>
          <w:szCs w:val="32"/>
        </w:rPr>
        <w:t>项目的资金投入使用情况、项目产出情况、效益情况、群众满意度情况。</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（二）绩效评价原则、评价指标体系（附表说明）、评价方法、评价标准等。</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color w:val="auto"/>
          <w:kern w:val="2"/>
          <w:sz w:val="32"/>
          <w:szCs w:val="32"/>
          <w:lang w:val="en-US" w:eastAsia="zh-CN" w:bidi="ar-SA"/>
        </w:rPr>
        <w:t>评价原则</w:t>
      </w:r>
      <w:r>
        <w:rPr>
          <w:rFonts w:hint="eastAsia" w:ascii="仿宋_GB2312" w:hAnsi="仿宋_GB2312" w:eastAsia="仿宋_GB2312" w:cs="仿宋_GB2312"/>
          <w:sz w:val="32"/>
          <w:szCs w:val="32"/>
          <w:lang w:val="en-US" w:eastAsia="zh-CN"/>
        </w:rPr>
        <w:t>：</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1.科学公正。</w:t>
      </w:r>
      <w:r>
        <w:rPr>
          <w:rFonts w:hint="eastAsia" w:ascii="仿宋_GB2312" w:hAnsi="仿宋_GB2312" w:eastAsia="仿宋_GB2312" w:cs="仿宋_GB2312"/>
          <w:sz w:val="32"/>
          <w:szCs w:val="32"/>
          <w:lang w:val="en-US" w:eastAsia="zh-CN"/>
        </w:rPr>
        <w:t>绩效评价应当运用科学合理的方法，按照规范的程序，对项目绩效进行客观、公正的反映。</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2.统筹兼顾。</w:t>
      </w:r>
      <w:r>
        <w:rPr>
          <w:rFonts w:hint="eastAsia" w:ascii="仿宋_GB2312" w:hAnsi="仿宋_GB2312" w:eastAsia="仿宋_GB2312" w:cs="仿宋_GB2312"/>
          <w:sz w:val="32"/>
          <w:szCs w:val="32"/>
          <w:lang w:val="en-US" w:eastAsia="zh-CN"/>
        </w:rPr>
        <w:t>单位自评、部门评价和财政评价应职责明确，各有侧重，相互衔接。单位自评应由项目单位自主实施，即“谁支出、谁自评”。部门评价和财政评价应在单位自评的基础上开展，必要时可委托第三方机构实施。</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3.激励约束。</w:t>
      </w:r>
      <w:r>
        <w:rPr>
          <w:rFonts w:hint="eastAsia" w:ascii="仿宋_GB2312" w:hAnsi="仿宋_GB2312" w:eastAsia="仿宋_GB2312" w:cs="仿宋_GB2312"/>
          <w:sz w:val="32"/>
          <w:szCs w:val="32"/>
          <w:lang w:val="en-US" w:eastAsia="zh-CN"/>
        </w:rPr>
        <w:t>绩效评价结果应与预算安排、政策调整、改进管理实质性挂钩，体现奖优罚劣和激励相容导向，有效要安排、低效要压减、无效要问责。</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4.公开透明。</w:t>
      </w:r>
      <w:r>
        <w:rPr>
          <w:rFonts w:hint="eastAsia" w:ascii="仿宋_GB2312" w:hAnsi="仿宋_GB2312" w:eastAsia="仿宋_GB2312" w:cs="仿宋_GB2312"/>
          <w:sz w:val="32"/>
          <w:szCs w:val="32"/>
          <w:lang w:val="en-US" w:eastAsia="zh-CN"/>
        </w:rPr>
        <w:t>绩效评价结果应依法依规公开，并自觉接受社会监督。</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评价方法：</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1.比较法。</w:t>
      </w:r>
      <w:r>
        <w:rPr>
          <w:rFonts w:hint="eastAsia" w:ascii="仿宋_GB2312" w:eastAsia="仿宋_GB2312"/>
          <w:sz w:val="32"/>
          <w:szCs w:val="32"/>
        </w:rPr>
        <w:t>通过对</w:t>
      </w:r>
      <w:r>
        <w:rPr>
          <w:rFonts w:hint="eastAsia" w:ascii="仿宋_GB2312" w:hAnsi="Times New Roman" w:eastAsia="仿宋_GB2312"/>
          <w:sz w:val="32"/>
          <w:szCs w:val="32"/>
        </w:rPr>
        <w:t>企业养老保险金</w:t>
      </w:r>
      <w:r>
        <w:rPr>
          <w:rFonts w:hint="eastAsia" w:ascii="仿宋_GB2312" w:eastAsia="仿宋_GB2312"/>
          <w:sz w:val="32"/>
          <w:szCs w:val="32"/>
        </w:rPr>
        <w:t>项目年初绩效目标与实施效果与当期情况做比较，综合分析该项目绩效目标实现程度。</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2.因素分析法。</w:t>
      </w:r>
      <w:r>
        <w:rPr>
          <w:rFonts w:hint="eastAsia" w:ascii="仿宋_GB2312" w:eastAsia="仿宋_GB2312"/>
          <w:sz w:val="32"/>
          <w:szCs w:val="32"/>
        </w:rPr>
        <w:t>通过综合分析影响绩效目标实现、实施效果的因素，评价该项目绩效目标实现程度。</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评价标准：</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采用计划标准，以预先制定的目标、计划、预算、定额等作为评价标准。</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（三）绩效评价工作过程。</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1.前期准备。按照乐亭县财政局《关于开展2021年财政支出项目绩效部门自评工作的通知》（乐财预〔2022〕2号）要求，我中心高度重视，迅速安排部署，成立评价工作小组对该项工作进行督导检查。</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2.组织实施。2月末，我中心安排部署评价工作，要求各相关业务科室对分管的项目认真组织、开展绩效自评工作。要求本着实事求是的原则，客观评价，认真填写。</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3.分析评价。一是合理设置评价指标体系。从决策、过程、产出、效益四个方面对项目支出总体实施成效情况进行评价。二是采取定性描述和定量分析的方法，对各项规划编制进行单一评价，评价组对自评表相关数据进行分析，对资金的投入与产出的效果进行对比，得出项目实施绩效结论。</w:t>
      </w:r>
    </w:p>
    <w:p>
      <w:pPr>
        <w:pStyle w:val="7"/>
        <w:spacing w:line="560" w:lineRule="exact"/>
        <w:ind w:firstLine="640" w:firstLineChars="200"/>
        <w:rPr>
          <w:rFonts w:ascii="黑体" w:hAnsi="黑体" w:eastAsia="黑体" w:cs="黑体"/>
          <w:sz w:val="32"/>
          <w:szCs w:val="32"/>
          <w:lang w:eastAsia="zh-CN"/>
        </w:rPr>
      </w:pPr>
      <w:r>
        <w:rPr>
          <w:rFonts w:hint="eastAsia" w:ascii="黑体" w:hAnsi="黑体" w:eastAsia="黑体" w:cs="黑体"/>
          <w:sz w:val="32"/>
          <w:szCs w:val="32"/>
          <w:lang w:eastAsia="zh-CN"/>
        </w:rPr>
        <w:t>三</w:t>
      </w:r>
      <w:r>
        <w:rPr>
          <w:rFonts w:hint="eastAsia" w:ascii="黑体" w:hAnsi="黑体" w:eastAsia="黑体" w:cs="黑体"/>
          <w:sz w:val="32"/>
          <w:szCs w:val="32"/>
        </w:rPr>
        <w:t>、</w:t>
      </w:r>
      <w:r>
        <w:rPr>
          <w:rFonts w:hint="eastAsia" w:ascii="黑体" w:hAnsi="黑体" w:eastAsia="黑体" w:cs="黑体"/>
          <w:sz w:val="32"/>
          <w:szCs w:val="32"/>
          <w:lang w:eastAsia="zh-CN"/>
        </w:rPr>
        <w:t>综合评价情况及评价结论</w:t>
      </w:r>
    </w:p>
    <w:p>
      <w:pPr>
        <w:pStyle w:val="7"/>
        <w:spacing w:line="56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我中心本着实事求是的原则，按照既定的评价指标和评级方法，从决策、过程、产出、效益四方面对企业养老保险资金项目进行绩效评价，最终确定绩效评价评价得分97分。</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四、绩效评价指标分析</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（一）项目决策情况。</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1.项目立项</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项目立项依据充分，符合国家法律法规、政策要求，项目立项与部门职责范围相符，属于部门履职所需，项目与相关部门同类项目或部门内部相关项目不重复。项目申请、设立过程符合要求，事前经过了可行性研究和绩效评估。</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2.绩效目标</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项目设置了绩效目标，绩效目标与实际工作内容相关，预期产出效益和效果符合正常的业绩水平，绩效目标与预算确定的项目资金量相匹配。</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（二）项目过程情况。</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1.资金管理</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预算安排623万元，实际到位103万元，资金到位率16.53%，截至2021年末，项目资金支出103万元，预算执行率16.53%。项目资金使用严格执行财务制度，资金的拨付有完整的审批程序和手续，资金支付符合项目预算批复规定的用途，不存在截留、挤占、挪用、虚列支出等情况。</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2.组织实施</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项目有相应财务和业务管理制度，制度合法、合规、完整。项目实施遵守法律法规和相关管理规定，项目支付资料齐全并及时归档。</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（三）项目产出情况。</w:t>
      </w:r>
    </w:p>
    <w:p>
      <w:pPr>
        <w:pStyle w:val="7"/>
        <w:spacing w:line="560" w:lineRule="exact"/>
        <w:ind w:firstLine="643" w:firstLineChars="200"/>
        <w:rPr>
          <w:rFonts w:ascii="仿宋_GB2312" w:hAnsi="仿宋_GB2312" w:eastAsia="仿宋_GB2312" w:cs="仿宋_GB2312"/>
          <w:sz w:val="32"/>
          <w:szCs w:val="32"/>
          <w:lang w:eastAsia="zh-CN"/>
        </w:rPr>
      </w:pPr>
      <w:r>
        <w:rPr>
          <w:rFonts w:hint="eastAsia" w:ascii="仿宋_GB2312" w:eastAsia="仿宋_GB2312"/>
          <w:b/>
          <w:bCs/>
          <w:sz w:val="32"/>
          <w:szCs w:val="32"/>
          <w:lang w:val="en-US" w:eastAsia="zh-CN"/>
        </w:rPr>
        <w:t>1.数量指标</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lang w:eastAsia="zh-CN"/>
        </w:rPr>
        <w:t>截止到2021年12月底，上划企业养老保险风险储备金103万元。</w:t>
      </w:r>
    </w:p>
    <w:p>
      <w:pPr>
        <w:pStyle w:val="7"/>
        <w:spacing w:line="560" w:lineRule="exact"/>
        <w:ind w:firstLine="643" w:firstLineChars="200"/>
        <w:rPr>
          <w:rFonts w:ascii="仿宋_GB2312" w:hAnsi="仿宋_GB2312" w:eastAsia="仿宋_GB2312" w:cs="仿宋_GB2312"/>
          <w:sz w:val="32"/>
          <w:szCs w:val="32"/>
          <w:lang w:eastAsia="zh-CN"/>
        </w:rPr>
      </w:pPr>
      <w:r>
        <w:rPr>
          <w:rFonts w:hint="eastAsia" w:ascii="仿宋_GB2312" w:eastAsia="仿宋_GB2312"/>
          <w:b/>
          <w:bCs/>
          <w:sz w:val="32"/>
          <w:szCs w:val="32"/>
          <w:lang w:val="en-US" w:eastAsia="zh-CN"/>
        </w:rPr>
        <w:t>2.质量指标</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lang w:eastAsia="zh-CN"/>
        </w:rPr>
        <w:t>成功发放率达100%。</w:t>
      </w:r>
    </w:p>
    <w:p>
      <w:pPr>
        <w:pStyle w:val="7"/>
        <w:spacing w:line="560" w:lineRule="exact"/>
        <w:ind w:firstLine="643" w:firstLineChars="200"/>
        <w:rPr>
          <w:rFonts w:ascii="仿宋_GB2312" w:hAnsi="仿宋_GB2312" w:eastAsia="仿宋_GB2312" w:cs="仿宋_GB2312"/>
          <w:sz w:val="32"/>
          <w:szCs w:val="32"/>
          <w:lang w:eastAsia="zh-CN"/>
        </w:rPr>
      </w:pPr>
      <w:r>
        <w:rPr>
          <w:rFonts w:hint="eastAsia" w:ascii="仿宋_GB2312" w:eastAsia="仿宋_GB2312"/>
          <w:b/>
          <w:bCs/>
          <w:sz w:val="32"/>
          <w:szCs w:val="32"/>
          <w:lang w:val="en-US" w:eastAsia="zh-CN"/>
        </w:rPr>
        <w:t>3.时效指标</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lang w:eastAsia="zh-CN"/>
        </w:rPr>
        <w:t>财政资金到位率达100%，养老金每月及时足额发放。</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（四）项目效益情况。</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1.社会效益：</w:t>
      </w:r>
      <w:r>
        <w:rPr>
          <w:rFonts w:hint="eastAsia" w:ascii="仿宋_GB2312" w:hAnsi="仿宋_GB2312" w:eastAsia="仿宋_GB2312" w:cs="仿宋_GB2312"/>
          <w:sz w:val="32"/>
          <w:szCs w:val="32"/>
          <w:lang w:val="en-US" w:eastAsia="zh-CN"/>
        </w:rPr>
        <w:t>广大企业退休人员对保险政策基本了解，政策知晓率在95%以上。</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sz w:val="32"/>
          <w:szCs w:val="32"/>
          <w:lang w:val="en-US" w:eastAsia="zh-CN"/>
        </w:rPr>
        <w:t>2.</w:t>
      </w:r>
      <w:r>
        <w:rPr>
          <w:rFonts w:hint="eastAsia" w:ascii="仿宋_GB2312" w:hAnsi="Times New Roman" w:eastAsia="仿宋_GB2312"/>
          <w:b/>
          <w:bCs/>
          <w:sz w:val="32"/>
          <w:szCs w:val="32"/>
        </w:rPr>
        <w:t>经济效益：</w:t>
      </w:r>
      <w:r>
        <w:rPr>
          <w:rFonts w:hint="eastAsia" w:ascii="仿宋_GB2312" w:hAnsi="仿宋_GB2312" w:eastAsia="仿宋_GB2312" w:cs="仿宋_GB2312"/>
          <w:sz w:val="32"/>
          <w:szCs w:val="32"/>
          <w:lang w:val="en-US" w:eastAsia="zh-CN"/>
        </w:rPr>
        <w:t>促进企业退休人员收入稳步提高，月均人均基础养老金不低于全省平均水平。</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3.可持续影响：</w:t>
      </w:r>
      <w:r>
        <w:rPr>
          <w:rFonts w:hint="eastAsia" w:ascii="仿宋_GB2312" w:hAnsi="仿宋_GB2312" w:eastAsia="仿宋_GB2312" w:cs="仿宋_GB2312"/>
          <w:sz w:val="32"/>
          <w:szCs w:val="32"/>
          <w:lang w:val="en-US" w:eastAsia="zh-CN"/>
        </w:rPr>
        <w:t>配套企业养老资金对健全社会保障体系的影响成效显著。</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五、主要经验及做法、存在的问题及原因分析</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2021年企业养老补助资金项目实现了年初的年度绩效目标，企业养老补助专项资金合理运用于企业养老保险待遇支付中，保障了广大群众的切身利益。</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六、有关建议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将进一步明确项目绩效目标的设置要求，统一细化标准，严格要求各项目分管科室，科学分解项目的具体绩效目标，以更全面、更完整的体现项目的预期实施成效。根据年度项目资金安排，实时把握项目进度，合理预测项目年度资金需求，将项目资金明确到具体项目，实现项目资金单一管理，精准使用。</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七、其他需要说明的问题 </w:t>
      </w:r>
    </w:p>
    <w:p>
      <w:r>
        <w:rPr>
          <w:rFonts w:hint="eastAsia" w:ascii="仿宋_GB2312" w:hAnsi="仿宋_GB2312" w:eastAsia="仿宋_GB2312" w:cs="仿宋_GB2312"/>
          <w:sz w:val="32"/>
          <w:szCs w:val="32"/>
        </w:rPr>
        <w:t>为实现绩效目标，我单位将把绩效评价结果及时反馈给各相关科室，提高对绩效管理工作的认识。进一步做好项目实施的跟踪检查工作。定期不定期地对项目实施情况和企业养老补助资金使用情况进行跟踪。</w:t>
      </w:r>
    </w:p>
    <w:sectPr>
      <w:footerReference r:id="rId3" w:type="default"/>
      <w:pgSz w:w="11906" w:h="16838"/>
      <w:pgMar w:top="1440" w:right="1800" w:bottom="1440" w:left="1800" w:header="851" w:footer="1587"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
    <w:panose1 w:val="02020509000000000000"/>
    <w:charset w:val="88"/>
    <w:family w:val="modern"/>
    <w:pitch w:val="default"/>
    <w:sig w:usb0="A00002FF" w:usb1="28CFFCFA" w:usb2="00000016" w:usb3="00000000" w:csb0="0010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楷体简体">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5</w:t>
                </w:r>
                <w:r>
                  <w:rPr>
                    <w:rFonts w:hint="eastAsia" w:asciiTheme="minorEastAsia" w:hAnsiTheme="minorEastAsia" w:eastAsiaTheme="minorEastAsia" w:cstheme="minorEastAsia"/>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93FFB"/>
    <w:rsid w:val="00293FFB"/>
    <w:rsid w:val="002A1E99"/>
    <w:rsid w:val="002C3001"/>
    <w:rsid w:val="004E4DF2"/>
    <w:rsid w:val="2D5A5FAB"/>
    <w:rsid w:val="378D75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ascii="Times New Roman" w:hAnsi="Times New Roman"/>
      <w:kern w:val="0"/>
      <w:sz w:val="24"/>
      <w:szCs w:val="24"/>
    </w:rPr>
  </w:style>
  <w:style w:type="paragraph" w:customStyle="1" w:styleId="7">
    <w:name w:val="Body text|1"/>
    <w:basedOn w:val="1"/>
    <w:qFormat/>
    <w:uiPriority w:val="0"/>
    <w:pPr>
      <w:spacing w:line="442" w:lineRule="auto"/>
      <w:ind w:firstLine="400"/>
      <w:jc w:val="left"/>
    </w:pPr>
    <w:rPr>
      <w:rFonts w:ascii="MingLiU" w:hAnsi="MingLiU" w:eastAsia="MingLiU" w:cs="MingLiU"/>
      <w:color w:val="000000"/>
      <w:kern w:val="0"/>
      <w:sz w:val="19"/>
      <w:szCs w:val="19"/>
      <w:lang w:val="zh-TW" w:eastAsia="zh-TW" w:bidi="zh-TW"/>
    </w:rPr>
  </w:style>
  <w:style w:type="paragraph" w:customStyle="1" w:styleId="8">
    <w:name w:val="Header or footer|1"/>
    <w:basedOn w:val="1"/>
    <w:qFormat/>
    <w:uiPriority w:val="0"/>
    <w:pPr>
      <w:jc w:val="left"/>
    </w:pPr>
    <w:rPr>
      <w:rFonts w:ascii="Times New Roman" w:hAnsi="Times New Roman" w:eastAsia="Times New Roman"/>
      <w:b/>
      <w:bCs/>
      <w:color w:val="000000"/>
      <w:kern w:val="0"/>
      <w:sz w:val="12"/>
      <w:szCs w:val="1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2115</Words>
  <Characters>130</Characters>
  <Lines>1</Lines>
  <Paragraphs>4</Paragraphs>
  <TotalTime>5</TotalTime>
  <ScaleCrop>false</ScaleCrop>
  <LinksUpToDate>false</LinksUpToDate>
  <CharactersWithSpaces>2241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2022-03-11T08:39:14Z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E6CFCAB6D5B74A1FAC074CABA361F37D</vt:lpwstr>
  </property>
</Properties>
</file>