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7"/>
        <w:ind w:firstLine="0"/>
        <w:jc w:val="center"/>
        <w:rPr>
          <w:rFonts w:ascii="方正小标宋简体" w:hAnsi="方正小标宋简体" w:eastAsia="方正小标宋简体" w:cs="方正小标宋简体"/>
          <w:bCs/>
          <w:sz w:val="44"/>
          <w:szCs w:val="44"/>
          <w:lang w:eastAsia="zh-CN"/>
        </w:rPr>
      </w:pPr>
      <w:r>
        <w:rPr>
          <w:rFonts w:hint="eastAsia" w:ascii="方正小标宋简体" w:hAnsi="方正小标宋简体" w:eastAsia="方正小标宋简体" w:cs="方正小标宋简体"/>
          <w:bCs/>
          <w:sz w:val="44"/>
          <w:szCs w:val="44"/>
        </w:rPr>
        <w:t>项目支出绩效评价报告</w:t>
      </w:r>
    </w:p>
    <w:p>
      <w:pPr>
        <w:spacing w:line="600" w:lineRule="exact"/>
        <w:ind w:firstLine="640" w:firstLineChars="200"/>
        <w:rPr>
          <w:rFonts w:ascii="Times New Roman" w:hAnsi="Times New Roman" w:eastAsia="黑体"/>
          <w:sz w:val="32"/>
          <w:szCs w:val="32"/>
        </w:rPr>
      </w:pPr>
      <w:r>
        <w:rPr>
          <w:rFonts w:hint="eastAsia" w:ascii="Times New Roman" w:hAnsi="Times New Roman" w:eastAsia="黑体"/>
          <w:sz w:val="32"/>
          <w:szCs w:val="32"/>
        </w:rPr>
        <w:t>一、基本情况</w:t>
      </w:r>
    </w:p>
    <w:p>
      <w:pPr>
        <w:tabs>
          <w:tab w:val="left" w:pos="3930"/>
        </w:tabs>
        <w:spacing w:line="579" w:lineRule="exact"/>
        <w:ind w:firstLine="643" w:firstLineChars="200"/>
        <w:outlineLvl w:val="0"/>
        <w:rPr>
          <w:rFonts w:ascii="楷体_GB2312" w:hAnsi="楷体_GB2312" w:eastAsia="楷体_GB2312" w:cs="楷体_GB2312"/>
          <w:b/>
          <w:bCs/>
          <w:sz w:val="32"/>
          <w:szCs w:val="32"/>
        </w:rPr>
      </w:pPr>
      <w:r>
        <w:rPr>
          <w:rFonts w:hint="eastAsia" w:ascii="楷体_GB2312" w:hAnsi="楷体_GB2312" w:eastAsia="楷体_GB2312" w:cs="楷体_GB2312"/>
          <w:b/>
          <w:bCs/>
          <w:sz w:val="32"/>
          <w:szCs w:val="32"/>
        </w:rPr>
        <w:t>（一）项目概况。</w:t>
      </w:r>
      <w:r>
        <w:rPr>
          <w:rFonts w:ascii="楷体_GB2312" w:hAnsi="楷体_GB2312" w:eastAsia="楷体_GB2312" w:cs="楷体_GB2312"/>
          <w:b/>
          <w:bCs/>
          <w:sz w:val="32"/>
          <w:szCs w:val="32"/>
        </w:rPr>
        <w:tab/>
      </w:r>
    </w:p>
    <w:p>
      <w:pPr>
        <w:spacing w:line="579" w:lineRule="exact"/>
        <w:ind w:firstLine="640" w:firstLineChars="200"/>
        <w:outlineLvl w:val="0"/>
        <w:rPr>
          <w:rFonts w:ascii="仿宋_GB2312" w:hAnsi="MingLiU" w:eastAsia="仿宋_GB2312" w:cs="宋体"/>
          <w:color w:val="000000"/>
          <w:kern w:val="0"/>
          <w:sz w:val="32"/>
          <w:szCs w:val="32"/>
          <w:lang w:val="zh-CN" w:bidi="zh-TW"/>
        </w:rPr>
      </w:pPr>
      <w:r>
        <w:rPr>
          <w:rFonts w:hint="eastAsia" w:ascii="仿宋_GB2312" w:hAnsi="Times New Roman" w:eastAsia="仿宋_GB2312"/>
          <w:sz w:val="32"/>
          <w:szCs w:val="32"/>
        </w:rPr>
        <w:t>项目名称：</w:t>
      </w:r>
      <w:r>
        <w:rPr>
          <w:rFonts w:hint="eastAsia" w:ascii="仿宋_GB2312" w:hAnsi="MingLiU" w:eastAsia="仿宋_GB2312" w:cs="宋体"/>
          <w:color w:val="000000"/>
          <w:kern w:val="0"/>
          <w:sz w:val="32"/>
          <w:szCs w:val="32"/>
          <w:lang w:val="zh-CN" w:bidi="zh-TW"/>
        </w:rPr>
        <w:t>军转干部补助资金</w:t>
      </w:r>
    </w:p>
    <w:p>
      <w:pPr>
        <w:pStyle w:val="7"/>
        <w:spacing w:line="560" w:lineRule="exact"/>
        <w:ind w:firstLine="640" w:firstLineChars="200"/>
        <w:rPr>
          <w:rFonts w:ascii="仿宋_GB2312" w:hAnsi="仿宋_GB2312" w:eastAsia="仿宋_GB2312" w:cs="仿宋_GB2312"/>
          <w:sz w:val="32"/>
          <w:szCs w:val="32"/>
        </w:rPr>
      </w:pPr>
      <w:r>
        <w:rPr>
          <w:rFonts w:hint="eastAsia" w:ascii="仿宋_GB2312" w:eastAsia="仿宋_GB2312" w:cs="宋体"/>
          <w:sz w:val="32"/>
          <w:szCs w:val="32"/>
          <w:lang w:val="zh-CN" w:eastAsia="zh-CN"/>
        </w:rPr>
        <w:t>资金使用情况：军转干部补助项目</w:t>
      </w:r>
      <w:r>
        <w:rPr>
          <w:rFonts w:hint="eastAsia" w:ascii="仿宋_GB2312" w:hAnsi="仿宋_GB2312" w:eastAsia="仿宋_GB2312" w:cs="仿宋_GB2312"/>
          <w:sz w:val="32"/>
          <w:szCs w:val="32"/>
        </w:rPr>
        <w:t>资金为财政退役士兵、军转干部困难生活补助专项资金拨款</w:t>
      </w:r>
      <w:r>
        <w:rPr>
          <w:rFonts w:hint="eastAsia" w:ascii="仿宋_GB2312" w:hAnsi="仿宋_GB2312" w:eastAsia="仿宋_GB2312" w:cs="仿宋_GB2312"/>
          <w:sz w:val="32"/>
          <w:szCs w:val="32"/>
          <w:lang w:eastAsia="zh-CN"/>
        </w:rPr>
        <w:t>，</w:t>
      </w:r>
      <w:r>
        <w:rPr>
          <w:rFonts w:hint="eastAsia" w:ascii="仿宋_GB2312" w:eastAsia="仿宋_GB2312" w:cs="宋体"/>
          <w:sz w:val="32"/>
          <w:szCs w:val="32"/>
          <w:lang w:val="zh-CN" w:eastAsia="zh-CN"/>
        </w:rPr>
        <w:t>根据</w:t>
      </w:r>
      <w:r>
        <w:rPr>
          <w:rFonts w:hint="eastAsia" w:ascii="仿宋_GB2312" w:eastAsia="仿宋_GB2312" w:cs="宋体"/>
          <w:sz w:val="32"/>
          <w:szCs w:val="32"/>
          <w:lang w:val="zh-CN"/>
        </w:rPr>
        <w:t>冀财社</w:t>
      </w:r>
      <w:r>
        <w:rPr>
          <w:rFonts w:hint="eastAsia" w:ascii="仿宋_GB2312" w:eastAsia="仿宋_GB2312" w:cs="宋体"/>
          <w:sz w:val="32"/>
          <w:szCs w:val="32"/>
          <w:lang w:val="zh-CN" w:eastAsia="zh-CN"/>
        </w:rPr>
        <w:t>[2020]191</w:t>
      </w:r>
      <w:r>
        <w:rPr>
          <w:rFonts w:hint="eastAsia" w:ascii="仿宋_GB2312" w:eastAsia="仿宋_GB2312" w:cs="宋体"/>
          <w:sz w:val="32"/>
          <w:szCs w:val="32"/>
          <w:lang w:val="zh-CN"/>
        </w:rPr>
        <w:t>号</w:t>
      </w:r>
      <w:r>
        <w:rPr>
          <w:rFonts w:hint="eastAsia" w:ascii="仿宋_GB2312" w:eastAsia="仿宋_GB2312" w:cs="宋体"/>
          <w:sz w:val="32"/>
          <w:szCs w:val="32"/>
          <w:lang w:val="zh-CN" w:eastAsia="zh-CN"/>
        </w:rPr>
        <w:t>、</w:t>
      </w:r>
      <w:r>
        <w:rPr>
          <w:rFonts w:hint="eastAsia" w:ascii="仿宋_GB2312" w:eastAsia="仿宋_GB2312" w:cs="宋体"/>
          <w:sz w:val="32"/>
          <w:szCs w:val="32"/>
          <w:lang w:val="zh-CN"/>
        </w:rPr>
        <w:t>冀财社</w:t>
      </w:r>
      <w:r>
        <w:rPr>
          <w:rFonts w:hint="eastAsia" w:ascii="仿宋_GB2312" w:eastAsia="仿宋_GB2312" w:cs="宋体"/>
          <w:sz w:val="32"/>
          <w:szCs w:val="32"/>
          <w:lang w:val="zh-CN" w:eastAsia="zh-CN"/>
        </w:rPr>
        <w:t>[</w:t>
      </w:r>
      <w:r>
        <w:rPr>
          <w:rFonts w:hint="eastAsia" w:ascii="仿宋_GB2312" w:eastAsia="仿宋_GB2312" w:cs="宋体"/>
          <w:sz w:val="32"/>
          <w:szCs w:val="32"/>
          <w:lang w:val="zh-CN"/>
        </w:rPr>
        <w:t>2020</w:t>
      </w:r>
      <w:r>
        <w:rPr>
          <w:rFonts w:hint="eastAsia" w:ascii="仿宋_GB2312" w:eastAsia="仿宋_GB2312" w:cs="宋体"/>
          <w:sz w:val="32"/>
          <w:szCs w:val="32"/>
          <w:lang w:val="zh-CN" w:eastAsia="zh-CN"/>
        </w:rPr>
        <w:t>]173</w:t>
      </w:r>
      <w:r>
        <w:rPr>
          <w:rFonts w:hint="eastAsia" w:ascii="仿宋_GB2312" w:eastAsia="仿宋_GB2312" w:cs="宋体"/>
          <w:sz w:val="32"/>
          <w:szCs w:val="32"/>
          <w:lang w:val="zh-CN"/>
        </w:rPr>
        <w:t>号</w:t>
      </w:r>
      <w:r>
        <w:rPr>
          <w:rFonts w:hint="eastAsia" w:ascii="仿宋_GB2312" w:eastAsia="仿宋_GB2312" w:cs="宋体"/>
          <w:sz w:val="32"/>
          <w:szCs w:val="32"/>
          <w:lang w:val="zh-CN" w:eastAsia="zh-CN"/>
        </w:rPr>
        <w:t>文，</w:t>
      </w:r>
      <w:r>
        <w:rPr>
          <w:rFonts w:hint="eastAsia" w:ascii="仿宋_GB2312" w:hAnsi="仿宋_GB2312" w:eastAsia="仿宋_GB2312" w:cs="仿宋_GB2312"/>
          <w:sz w:val="32"/>
          <w:szCs w:val="32"/>
          <w:lang w:val="en-US" w:eastAsia="zh-CN"/>
        </w:rPr>
        <w:t>为保障军转干补助资金每月按时发放到位，中央</w:t>
      </w:r>
      <w:r>
        <w:rPr>
          <w:rFonts w:hint="eastAsia" w:ascii="仿宋_GB2312" w:hAnsi="仿宋_GB2312" w:eastAsia="仿宋_GB2312" w:cs="仿宋_GB2312"/>
          <w:sz w:val="32"/>
          <w:szCs w:val="32"/>
        </w:rPr>
        <w:t>下达</w:t>
      </w:r>
      <w:r>
        <w:rPr>
          <w:rFonts w:hint="eastAsia" w:ascii="仿宋_GB2312" w:hAnsi="仿宋_GB2312" w:eastAsia="仿宋_GB2312" w:cs="仿宋_GB2312"/>
          <w:sz w:val="32"/>
          <w:szCs w:val="32"/>
          <w:lang w:eastAsia="zh-CN"/>
        </w:rPr>
        <w:t>军转干补助资金61</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省级</w:t>
      </w:r>
      <w:r>
        <w:rPr>
          <w:rFonts w:hint="eastAsia" w:ascii="仿宋_GB2312" w:hAnsi="仿宋_GB2312" w:eastAsia="仿宋_GB2312" w:cs="仿宋_GB2312"/>
          <w:sz w:val="32"/>
          <w:szCs w:val="32"/>
        </w:rPr>
        <w:t>下达</w:t>
      </w:r>
      <w:r>
        <w:rPr>
          <w:rFonts w:hint="eastAsia" w:ascii="仿宋_GB2312" w:hAnsi="仿宋_GB2312" w:eastAsia="仿宋_GB2312" w:cs="仿宋_GB2312"/>
          <w:sz w:val="32"/>
          <w:szCs w:val="32"/>
          <w:lang w:eastAsia="zh-CN"/>
        </w:rPr>
        <w:t>军转干补助资金60</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w:t>
      </w:r>
      <w:r>
        <w:rPr>
          <w:rFonts w:hint="eastAsia" w:ascii="仿宋_GB2312" w:eastAsia="仿宋_GB2312" w:cs="宋体"/>
          <w:sz w:val="32"/>
          <w:szCs w:val="32"/>
          <w:lang w:val="zh-CN" w:eastAsia="zh-CN"/>
        </w:rPr>
        <w:t>资金</w:t>
      </w:r>
      <w:r>
        <w:rPr>
          <w:rFonts w:hint="eastAsia" w:ascii="仿宋_GB2312" w:hAnsi="仿宋_GB2312" w:eastAsia="仿宋_GB2312" w:cs="仿宋_GB2312"/>
          <w:sz w:val="32"/>
          <w:szCs w:val="32"/>
          <w:lang w:eastAsia="zh-CN"/>
        </w:rPr>
        <w:t>已全部拨付到位。截止2021年底，军转干补助资金共支付121万元。</w:t>
      </w:r>
    </w:p>
    <w:p>
      <w:pPr>
        <w:pStyle w:val="7"/>
        <w:spacing w:line="560" w:lineRule="exact"/>
        <w:ind w:firstLine="640" w:firstLineChars="200"/>
        <w:rPr>
          <w:rFonts w:ascii="仿宋_GB2312" w:hAnsi="仿宋_GB2312" w:eastAsia="仿宋_GB2312" w:cs="仿宋_GB2312"/>
          <w:sz w:val="32"/>
          <w:szCs w:val="32"/>
          <w:lang w:eastAsia="zh-CN"/>
        </w:rPr>
      </w:pPr>
      <w:r>
        <w:rPr>
          <w:rFonts w:hint="eastAsia" w:ascii="仿宋_GB2312" w:eastAsia="仿宋_GB2312"/>
          <w:sz w:val="32"/>
          <w:szCs w:val="32"/>
        </w:rPr>
        <w:tab/>
      </w:r>
      <w:r>
        <w:rPr>
          <w:rFonts w:hint="eastAsia" w:ascii="楷体_GB2312" w:hAnsi="楷体_GB2312" w:eastAsia="楷体_GB2312" w:cs="楷体_GB2312"/>
          <w:b/>
          <w:bCs/>
          <w:sz w:val="32"/>
          <w:szCs w:val="32"/>
        </w:rPr>
        <w:t>（二）项目绩效目标。</w:t>
      </w:r>
    </w:p>
    <w:p>
      <w:pPr>
        <w:pStyle w:val="7"/>
        <w:spacing w:line="560" w:lineRule="exact"/>
        <w:ind w:firstLine="640" w:firstLineChars="200"/>
        <w:rPr>
          <w:rFonts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1.项目资金为财政退役士兵、军转干部困难生活补助专项资金拨款</w:t>
      </w:r>
    </w:p>
    <w:p>
      <w:pPr>
        <w:pStyle w:val="7"/>
        <w:spacing w:line="560" w:lineRule="exact"/>
        <w:ind w:firstLine="640" w:firstLineChars="200"/>
        <w:rPr>
          <w:rFonts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2.在中央、省级退役士兵、军转干部困难生活补助专项资金到位情况下，代发军转、退役士兵退休人员困难生活补助。</w:t>
      </w:r>
    </w:p>
    <w:p>
      <w:pPr>
        <w:spacing w:line="600" w:lineRule="exact"/>
        <w:ind w:firstLine="640" w:firstLineChars="200"/>
        <w:rPr>
          <w:rFonts w:eastAsia="黑体"/>
          <w:sz w:val="32"/>
          <w:szCs w:val="32"/>
        </w:rPr>
      </w:pPr>
      <w:r>
        <w:rPr>
          <w:rFonts w:hint="eastAsia" w:eastAsia="黑体"/>
          <w:sz w:val="32"/>
          <w:szCs w:val="32"/>
        </w:rPr>
        <w:t>二、绩效评价工作开展情况</w:t>
      </w:r>
      <w:bookmarkStart w:id="0" w:name="_GoBack"/>
      <w:bookmarkEnd w:id="0"/>
    </w:p>
    <w:p>
      <w:pPr>
        <w:spacing w:line="600" w:lineRule="exact"/>
        <w:ind w:firstLine="643" w:firstLineChars="200"/>
        <w:rPr>
          <w:rFonts w:ascii="方正楷体简体" w:hAnsi="方正楷体简体" w:eastAsia="方正楷体简体" w:cs="方正楷体简体"/>
          <w:b/>
          <w:bCs/>
          <w:sz w:val="32"/>
          <w:szCs w:val="32"/>
        </w:rPr>
      </w:pPr>
      <w:r>
        <w:rPr>
          <w:rFonts w:hint="eastAsia" w:ascii="楷体_GB2312" w:hAnsi="楷体_GB2312" w:eastAsia="楷体_GB2312" w:cs="楷体_GB2312"/>
          <w:b/>
          <w:bCs/>
          <w:sz w:val="32"/>
          <w:szCs w:val="32"/>
        </w:rPr>
        <w:t>（一）绩效评价目的、对象和范围。</w:t>
      </w:r>
    </w:p>
    <w:p>
      <w:pPr>
        <w:pStyle w:val="7"/>
        <w:spacing w:line="560" w:lineRule="exact"/>
        <w:ind w:firstLine="643" w:firstLineChars="200"/>
        <w:rPr>
          <w:rFonts w:ascii="仿宋_GB2312" w:hAnsi="仿宋_GB2312" w:eastAsia="仿宋_GB2312" w:cs="仿宋_GB2312"/>
          <w:sz w:val="32"/>
          <w:szCs w:val="32"/>
          <w:lang w:val="en-US" w:eastAsia="zh-CN"/>
        </w:rPr>
      </w:pPr>
      <w:r>
        <w:rPr>
          <w:rFonts w:hint="eastAsia" w:ascii="仿宋_GB2312" w:eastAsia="仿宋_GB2312"/>
          <w:b/>
          <w:bCs/>
          <w:sz w:val="32"/>
          <w:szCs w:val="32"/>
          <w:lang w:val="en-US" w:eastAsia="zh-CN"/>
        </w:rPr>
        <w:t>1.绩效评价</w:t>
      </w:r>
      <w:r>
        <w:rPr>
          <w:rFonts w:hint="eastAsia" w:ascii="仿宋_GB2312" w:eastAsia="仿宋_GB2312"/>
          <w:b/>
          <w:bCs/>
          <w:sz w:val="32"/>
          <w:szCs w:val="32"/>
          <w:lang w:eastAsia="zh-CN"/>
        </w:rPr>
        <w:t>目的：</w:t>
      </w:r>
      <w:r>
        <w:rPr>
          <w:rFonts w:hint="eastAsia" w:ascii="仿宋_GB2312" w:hAnsi="仿宋_GB2312" w:eastAsia="仿宋_GB2312" w:cs="仿宋_GB2312"/>
          <w:sz w:val="32"/>
          <w:szCs w:val="32"/>
          <w:lang w:val="en-US" w:eastAsia="zh-CN"/>
        </w:rPr>
        <w:t>进一步推进我单位预算绩效管理工作，提升项目预算资金使用效益和资金管理科学化、精细化水平。</w:t>
      </w:r>
    </w:p>
    <w:p>
      <w:pPr>
        <w:spacing w:line="600" w:lineRule="exact"/>
        <w:ind w:firstLine="643" w:firstLineChars="200"/>
        <w:rPr>
          <w:rFonts w:ascii="仿宋_GB2312" w:eastAsia="仿宋_GB2312"/>
          <w:sz w:val="32"/>
          <w:szCs w:val="32"/>
        </w:rPr>
      </w:pPr>
      <w:r>
        <w:rPr>
          <w:rFonts w:hint="eastAsia" w:ascii="仿宋_GB2312" w:eastAsia="仿宋_GB2312"/>
          <w:b/>
          <w:bCs/>
          <w:sz w:val="32"/>
          <w:szCs w:val="32"/>
        </w:rPr>
        <w:t>2.绩效评价对象：</w:t>
      </w:r>
      <w:r>
        <w:rPr>
          <w:rFonts w:hint="eastAsia" w:ascii="仿宋_GB2312" w:hAnsi="仿宋_GB2312" w:eastAsia="仿宋_GB2312" w:cs="仿宋_GB2312"/>
          <w:color w:val="000000"/>
          <w:kern w:val="0"/>
          <w:sz w:val="32"/>
          <w:szCs w:val="32"/>
          <w:lang w:bidi="zh-TW"/>
        </w:rPr>
        <w:t>军转干部补助资金项目</w:t>
      </w:r>
      <w:r>
        <w:rPr>
          <w:rFonts w:hint="eastAsia" w:ascii="仿宋_GB2312" w:eastAsia="仿宋_GB2312"/>
          <w:sz w:val="32"/>
          <w:szCs w:val="32"/>
        </w:rPr>
        <w:t>。</w:t>
      </w:r>
    </w:p>
    <w:p>
      <w:pPr>
        <w:spacing w:line="600" w:lineRule="exact"/>
        <w:ind w:firstLine="643" w:firstLineChars="200"/>
        <w:rPr>
          <w:rFonts w:ascii="仿宋_GB2312" w:eastAsia="仿宋_GB2312"/>
          <w:sz w:val="32"/>
          <w:szCs w:val="32"/>
        </w:rPr>
      </w:pPr>
      <w:r>
        <w:rPr>
          <w:rFonts w:hint="eastAsia" w:ascii="仿宋_GB2312" w:eastAsia="仿宋_GB2312"/>
          <w:b/>
          <w:bCs/>
          <w:sz w:val="32"/>
          <w:szCs w:val="32"/>
        </w:rPr>
        <w:t>3.绩效评价范围：</w:t>
      </w:r>
      <w:r>
        <w:rPr>
          <w:rFonts w:hint="eastAsia" w:ascii="仿宋_GB2312" w:eastAsia="仿宋_GB2312"/>
          <w:sz w:val="32"/>
          <w:szCs w:val="32"/>
        </w:rPr>
        <w:t>2021年军转干部补助资金项目的资金投入使用情况、项目产出情况、效益情况、群众满意度情况。</w:t>
      </w:r>
    </w:p>
    <w:p>
      <w:pPr>
        <w:spacing w:line="600" w:lineRule="exact"/>
        <w:ind w:firstLine="643" w:firstLineChars="200"/>
        <w:rPr>
          <w:rFonts w:ascii="楷体_GB2312" w:hAnsi="楷体_GB2312" w:eastAsia="楷体_GB2312" w:cs="楷体_GB2312"/>
          <w:b/>
          <w:bCs/>
          <w:sz w:val="32"/>
          <w:szCs w:val="32"/>
        </w:rPr>
      </w:pPr>
      <w:r>
        <w:rPr>
          <w:rFonts w:hint="eastAsia" w:ascii="楷体_GB2312" w:hAnsi="楷体_GB2312" w:eastAsia="楷体_GB2312" w:cs="楷体_GB2312"/>
          <w:b/>
          <w:bCs/>
          <w:sz w:val="32"/>
          <w:szCs w:val="32"/>
        </w:rPr>
        <w:t>（二）绩效评价原则、评价指标体系（附表说明）、评价方法、评价标准等。</w:t>
      </w:r>
    </w:p>
    <w:p>
      <w:pPr>
        <w:pStyle w:val="7"/>
        <w:spacing w:line="560" w:lineRule="exact"/>
        <w:ind w:firstLine="640" w:firstLineChars="200"/>
        <w:rPr>
          <w:rFonts w:ascii="仿宋_GB2312" w:hAnsi="仿宋_GB2312" w:eastAsia="仿宋_GB2312" w:cs="仿宋_GB2312"/>
          <w:sz w:val="32"/>
          <w:szCs w:val="32"/>
          <w:lang w:val="en-US" w:eastAsia="zh-CN"/>
        </w:rPr>
      </w:pPr>
      <w:r>
        <w:rPr>
          <w:rFonts w:hint="eastAsia" w:ascii="仿宋_GB2312" w:hAnsi="Times New Roman" w:eastAsia="仿宋_GB2312" w:cs="Times New Roman"/>
          <w:color w:val="auto"/>
          <w:kern w:val="2"/>
          <w:sz w:val="32"/>
          <w:szCs w:val="32"/>
          <w:lang w:val="en-US" w:eastAsia="zh-CN" w:bidi="ar-SA"/>
        </w:rPr>
        <w:t>评价原则</w:t>
      </w:r>
      <w:r>
        <w:rPr>
          <w:rFonts w:hint="eastAsia" w:ascii="仿宋_GB2312" w:hAnsi="仿宋_GB2312" w:eastAsia="仿宋_GB2312" w:cs="仿宋_GB2312"/>
          <w:sz w:val="32"/>
          <w:szCs w:val="32"/>
          <w:lang w:val="en-US" w:eastAsia="zh-CN"/>
        </w:rPr>
        <w:t>：</w:t>
      </w:r>
    </w:p>
    <w:p>
      <w:pPr>
        <w:pStyle w:val="7"/>
        <w:spacing w:line="560" w:lineRule="exact"/>
        <w:ind w:firstLine="643" w:firstLineChars="200"/>
        <w:rPr>
          <w:rFonts w:ascii="仿宋_GB2312" w:hAnsi="仿宋_GB2312" w:eastAsia="仿宋_GB2312" w:cs="仿宋_GB2312"/>
          <w:sz w:val="32"/>
          <w:szCs w:val="32"/>
          <w:lang w:val="en-US" w:eastAsia="zh-CN"/>
        </w:rPr>
      </w:pPr>
      <w:r>
        <w:rPr>
          <w:rFonts w:hint="eastAsia" w:ascii="仿宋_GB2312" w:hAnsi="Times New Roman" w:eastAsia="仿宋_GB2312" w:cs="Times New Roman"/>
          <w:b/>
          <w:bCs/>
          <w:color w:val="auto"/>
          <w:kern w:val="2"/>
          <w:sz w:val="32"/>
          <w:szCs w:val="32"/>
          <w:lang w:val="en-US" w:eastAsia="zh-CN" w:bidi="ar-SA"/>
        </w:rPr>
        <w:t>1.科学公正。</w:t>
      </w:r>
      <w:r>
        <w:rPr>
          <w:rFonts w:hint="eastAsia" w:ascii="仿宋_GB2312" w:hAnsi="仿宋_GB2312" w:eastAsia="仿宋_GB2312" w:cs="仿宋_GB2312"/>
          <w:sz w:val="32"/>
          <w:szCs w:val="32"/>
          <w:lang w:val="en-US" w:eastAsia="zh-CN"/>
        </w:rPr>
        <w:t>绩效评价应当运用科学合理的方法，按照规范的程序，对项目绩效进行客观、公正的反映。</w:t>
      </w:r>
    </w:p>
    <w:p>
      <w:pPr>
        <w:pStyle w:val="7"/>
        <w:spacing w:line="560" w:lineRule="exact"/>
        <w:ind w:firstLine="643" w:firstLineChars="200"/>
        <w:rPr>
          <w:rFonts w:ascii="仿宋_GB2312" w:hAnsi="仿宋_GB2312" w:eastAsia="仿宋_GB2312" w:cs="仿宋_GB2312"/>
          <w:sz w:val="32"/>
          <w:szCs w:val="32"/>
          <w:lang w:val="en-US" w:eastAsia="zh-CN"/>
        </w:rPr>
      </w:pPr>
      <w:r>
        <w:rPr>
          <w:rFonts w:hint="eastAsia" w:ascii="仿宋_GB2312" w:hAnsi="Times New Roman" w:eastAsia="仿宋_GB2312" w:cs="Times New Roman"/>
          <w:b/>
          <w:bCs/>
          <w:color w:val="auto"/>
          <w:kern w:val="2"/>
          <w:sz w:val="32"/>
          <w:szCs w:val="32"/>
          <w:lang w:val="en-US" w:eastAsia="zh-CN" w:bidi="ar-SA"/>
        </w:rPr>
        <w:t>2.统筹兼顾。</w:t>
      </w:r>
      <w:r>
        <w:rPr>
          <w:rFonts w:hint="eastAsia" w:ascii="仿宋_GB2312" w:hAnsi="仿宋_GB2312" w:eastAsia="仿宋_GB2312" w:cs="仿宋_GB2312"/>
          <w:sz w:val="32"/>
          <w:szCs w:val="32"/>
          <w:lang w:val="en-US" w:eastAsia="zh-CN"/>
        </w:rPr>
        <w:t>单位自评、部门评价和财政评价应职责明确，各有侧重，相互衔接。单位自评应由项目单位自主实施，即“谁支出、谁自评”。部门评价和财政评价应在单位自评的基础上开展，必要时可委托第三方机构实施。</w:t>
      </w:r>
    </w:p>
    <w:p>
      <w:pPr>
        <w:pStyle w:val="7"/>
        <w:spacing w:line="560" w:lineRule="exact"/>
        <w:ind w:firstLine="643" w:firstLineChars="200"/>
        <w:rPr>
          <w:rFonts w:ascii="仿宋_GB2312" w:hAnsi="仿宋_GB2312" w:eastAsia="仿宋_GB2312" w:cs="仿宋_GB2312"/>
          <w:sz w:val="32"/>
          <w:szCs w:val="32"/>
          <w:lang w:val="en-US" w:eastAsia="zh-CN"/>
        </w:rPr>
      </w:pPr>
      <w:r>
        <w:rPr>
          <w:rFonts w:hint="eastAsia" w:ascii="仿宋_GB2312" w:hAnsi="Times New Roman" w:eastAsia="仿宋_GB2312" w:cs="Times New Roman"/>
          <w:b/>
          <w:bCs/>
          <w:color w:val="auto"/>
          <w:kern w:val="2"/>
          <w:sz w:val="32"/>
          <w:szCs w:val="32"/>
          <w:lang w:val="en-US" w:eastAsia="zh-CN" w:bidi="ar-SA"/>
        </w:rPr>
        <w:t>3.激励约束。</w:t>
      </w:r>
      <w:r>
        <w:rPr>
          <w:rFonts w:hint="eastAsia" w:ascii="仿宋_GB2312" w:hAnsi="仿宋_GB2312" w:eastAsia="仿宋_GB2312" w:cs="仿宋_GB2312"/>
          <w:sz w:val="32"/>
          <w:szCs w:val="32"/>
          <w:lang w:val="en-US" w:eastAsia="zh-CN"/>
        </w:rPr>
        <w:t>绩效评价结果应与预算安排、政策调整、改进管理实质性挂钩，体现奖优罚劣和激励相容导向，有效要安排、低效要压减、无效要问责。</w:t>
      </w:r>
    </w:p>
    <w:p>
      <w:pPr>
        <w:pStyle w:val="7"/>
        <w:spacing w:line="560" w:lineRule="exact"/>
        <w:ind w:firstLine="643" w:firstLineChars="200"/>
        <w:rPr>
          <w:rFonts w:ascii="仿宋_GB2312" w:hAnsi="仿宋_GB2312" w:eastAsia="仿宋_GB2312" w:cs="仿宋_GB2312"/>
          <w:sz w:val="32"/>
          <w:szCs w:val="32"/>
          <w:lang w:val="en-US" w:eastAsia="zh-CN"/>
        </w:rPr>
      </w:pPr>
      <w:r>
        <w:rPr>
          <w:rFonts w:hint="eastAsia" w:ascii="仿宋_GB2312" w:hAnsi="Times New Roman" w:eastAsia="仿宋_GB2312" w:cs="Times New Roman"/>
          <w:b/>
          <w:bCs/>
          <w:color w:val="auto"/>
          <w:kern w:val="2"/>
          <w:sz w:val="32"/>
          <w:szCs w:val="32"/>
          <w:lang w:val="en-US" w:eastAsia="zh-CN" w:bidi="ar-SA"/>
        </w:rPr>
        <w:t>4.公开透明。</w:t>
      </w:r>
      <w:r>
        <w:rPr>
          <w:rFonts w:hint="eastAsia" w:ascii="仿宋_GB2312" w:hAnsi="仿宋_GB2312" w:eastAsia="仿宋_GB2312" w:cs="仿宋_GB2312"/>
          <w:sz w:val="32"/>
          <w:szCs w:val="32"/>
          <w:lang w:val="en-US" w:eastAsia="zh-CN"/>
        </w:rPr>
        <w:t>绩效评价结果应依法依规公开，并自觉接受社会监督。</w:t>
      </w:r>
    </w:p>
    <w:p>
      <w:pPr>
        <w:pStyle w:val="7"/>
        <w:spacing w:line="560" w:lineRule="exact"/>
        <w:ind w:firstLine="640" w:firstLineChars="200"/>
        <w:rPr>
          <w:rFonts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评价方法：</w:t>
      </w:r>
    </w:p>
    <w:p>
      <w:pPr>
        <w:spacing w:line="579" w:lineRule="exact"/>
        <w:ind w:firstLine="643" w:firstLineChars="200"/>
        <w:outlineLvl w:val="0"/>
        <w:rPr>
          <w:rFonts w:ascii="楷体_GB2312" w:hAnsi="楷体_GB2312" w:eastAsia="楷体_GB2312" w:cs="楷体_GB2312"/>
          <w:b/>
          <w:bCs/>
          <w:sz w:val="32"/>
          <w:szCs w:val="32"/>
        </w:rPr>
      </w:pPr>
      <w:r>
        <w:rPr>
          <w:rFonts w:hint="eastAsia" w:ascii="仿宋_GB2312" w:eastAsia="仿宋_GB2312"/>
          <w:b/>
          <w:bCs/>
          <w:sz w:val="32"/>
          <w:szCs w:val="32"/>
        </w:rPr>
        <w:t>1.比较法。</w:t>
      </w:r>
      <w:r>
        <w:rPr>
          <w:rFonts w:hint="eastAsia" w:ascii="仿宋_GB2312" w:eastAsia="仿宋_GB2312"/>
          <w:sz w:val="32"/>
          <w:szCs w:val="32"/>
        </w:rPr>
        <w:t>通过对军转干部补助资金项目年初绩效目标与实施效果与当期情况做比较，综合分析该项目绩效目标实现程度。</w:t>
      </w:r>
    </w:p>
    <w:p>
      <w:pPr>
        <w:spacing w:line="600" w:lineRule="exact"/>
        <w:ind w:firstLine="643" w:firstLineChars="200"/>
        <w:rPr>
          <w:rFonts w:ascii="仿宋_GB2312" w:eastAsia="仿宋_GB2312"/>
          <w:sz w:val="32"/>
          <w:szCs w:val="32"/>
        </w:rPr>
      </w:pPr>
      <w:r>
        <w:rPr>
          <w:rFonts w:hint="eastAsia" w:ascii="仿宋_GB2312" w:eastAsia="仿宋_GB2312"/>
          <w:b/>
          <w:bCs/>
          <w:sz w:val="32"/>
          <w:szCs w:val="32"/>
        </w:rPr>
        <w:t>2.因素分析法。</w:t>
      </w:r>
      <w:r>
        <w:rPr>
          <w:rFonts w:hint="eastAsia" w:ascii="仿宋_GB2312" w:eastAsia="仿宋_GB2312"/>
          <w:sz w:val="32"/>
          <w:szCs w:val="32"/>
        </w:rPr>
        <w:t>通过综合分析影响绩效目标实现、实施效果的因素，评价该项目绩效目标实现程度。</w:t>
      </w:r>
    </w:p>
    <w:p>
      <w:pPr>
        <w:pStyle w:val="7"/>
        <w:spacing w:line="560" w:lineRule="exact"/>
        <w:ind w:firstLine="640" w:firstLineChars="200"/>
        <w:rPr>
          <w:rFonts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评价标准：</w:t>
      </w:r>
    </w:p>
    <w:p>
      <w:pPr>
        <w:pStyle w:val="7"/>
        <w:spacing w:line="560" w:lineRule="exact"/>
        <w:ind w:firstLine="640" w:firstLineChars="200"/>
        <w:rPr>
          <w:rFonts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采用计划标准，以预先制定的目标、计划、预算、定额等作为评价标准。</w:t>
      </w:r>
    </w:p>
    <w:p>
      <w:pPr>
        <w:spacing w:line="600" w:lineRule="exact"/>
        <w:ind w:firstLine="643" w:firstLineChars="200"/>
        <w:rPr>
          <w:rFonts w:ascii="楷体_GB2312" w:hAnsi="楷体_GB2312" w:eastAsia="楷体_GB2312" w:cs="楷体_GB2312"/>
          <w:b/>
          <w:bCs/>
          <w:sz w:val="32"/>
          <w:szCs w:val="32"/>
        </w:rPr>
      </w:pPr>
      <w:r>
        <w:rPr>
          <w:rFonts w:hint="eastAsia" w:ascii="楷体_GB2312" w:hAnsi="楷体_GB2312" w:eastAsia="楷体_GB2312" w:cs="楷体_GB2312"/>
          <w:b/>
          <w:bCs/>
          <w:sz w:val="32"/>
          <w:szCs w:val="32"/>
        </w:rPr>
        <w:t>（三）绩效评价工作过程。</w:t>
      </w:r>
    </w:p>
    <w:p>
      <w:pPr>
        <w:pStyle w:val="4"/>
        <w:widowControl/>
        <w:shd w:val="clear" w:color="auto" w:fill="FFFFFF"/>
        <w:spacing w:beforeAutospacing="0" w:afterAutospacing="0" w:line="520" w:lineRule="atLeast"/>
        <w:ind w:firstLine="600"/>
        <w:jc w:val="both"/>
        <w:rPr>
          <w:rFonts w:ascii="仿宋_GB2312" w:eastAsia="仿宋_GB2312"/>
          <w:kern w:val="2"/>
          <w:sz w:val="32"/>
          <w:szCs w:val="32"/>
        </w:rPr>
      </w:pPr>
      <w:r>
        <w:rPr>
          <w:rFonts w:hint="eastAsia" w:ascii="仿宋_GB2312" w:eastAsia="仿宋_GB2312"/>
          <w:kern w:val="2"/>
          <w:sz w:val="32"/>
          <w:szCs w:val="32"/>
        </w:rPr>
        <w:t>1.前期准备。按照乐亭县财政局《关于开展2021年财政支出项目绩效部门自评工作的通知》（乐财预〔2022〕2号）要求，我中心高度重视，迅速安排部署，成立评价工作小组对该项工作进行督导检查。</w:t>
      </w:r>
    </w:p>
    <w:p>
      <w:pPr>
        <w:pStyle w:val="4"/>
        <w:widowControl/>
        <w:shd w:val="clear" w:color="auto" w:fill="FFFFFF"/>
        <w:spacing w:beforeAutospacing="0" w:afterAutospacing="0" w:line="520" w:lineRule="atLeast"/>
        <w:ind w:firstLine="600"/>
        <w:jc w:val="both"/>
        <w:rPr>
          <w:rFonts w:ascii="仿宋_GB2312" w:eastAsia="仿宋_GB2312"/>
          <w:kern w:val="2"/>
          <w:sz w:val="32"/>
          <w:szCs w:val="32"/>
        </w:rPr>
      </w:pPr>
      <w:r>
        <w:rPr>
          <w:rFonts w:hint="eastAsia" w:ascii="仿宋_GB2312" w:eastAsia="仿宋_GB2312"/>
          <w:kern w:val="2"/>
          <w:sz w:val="32"/>
          <w:szCs w:val="32"/>
        </w:rPr>
        <w:t>2.组织实施。2月末，我中心安排部署评价工作，要求各相关业务科室对分管的项目认真组织、开展绩效自评工作。要求本着实事求是的原则，客观评价，认真填写。</w:t>
      </w:r>
    </w:p>
    <w:p>
      <w:pPr>
        <w:pStyle w:val="4"/>
        <w:widowControl/>
        <w:shd w:val="clear" w:color="auto" w:fill="FFFFFF"/>
        <w:spacing w:beforeAutospacing="0" w:afterAutospacing="0" w:line="520" w:lineRule="atLeast"/>
        <w:ind w:firstLine="600"/>
        <w:jc w:val="both"/>
        <w:rPr>
          <w:rFonts w:ascii="仿宋_GB2312" w:eastAsia="仿宋_GB2312"/>
          <w:kern w:val="2"/>
          <w:sz w:val="32"/>
          <w:szCs w:val="32"/>
        </w:rPr>
      </w:pPr>
      <w:r>
        <w:rPr>
          <w:rFonts w:hint="eastAsia" w:ascii="仿宋_GB2312" w:eastAsia="仿宋_GB2312"/>
          <w:kern w:val="2"/>
          <w:sz w:val="32"/>
          <w:szCs w:val="32"/>
        </w:rPr>
        <w:t>3.分析评价。一是合理设置评价指标体系。从决策、过程、产出、效益四个方面对项目支出总体实施成效情况进行评价。二是采取定性描述和定量分析的方法，对各项规划编制进行单一评价，评价组对自评表相关数据进行分析，对资金的投入与产出的效果进行对比，得出项目实施绩效结论。</w:t>
      </w:r>
    </w:p>
    <w:p>
      <w:pPr>
        <w:spacing w:line="600" w:lineRule="exact"/>
        <w:ind w:firstLine="640" w:firstLineChars="200"/>
        <w:rPr>
          <w:rFonts w:ascii="Times New Roman" w:hAnsi="Times New Roman" w:eastAsia="黑体"/>
          <w:sz w:val="32"/>
          <w:szCs w:val="32"/>
        </w:rPr>
      </w:pPr>
      <w:r>
        <w:rPr>
          <w:rFonts w:hint="eastAsia" w:ascii="Times New Roman" w:hAnsi="Times New Roman" w:eastAsia="黑体"/>
          <w:sz w:val="32"/>
          <w:szCs w:val="32"/>
        </w:rPr>
        <w:t>三、综合评价情况及评价结论</w:t>
      </w:r>
    </w:p>
    <w:p>
      <w:pPr>
        <w:pStyle w:val="7"/>
        <w:spacing w:line="560" w:lineRule="exact"/>
        <w:ind w:firstLine="640" w:firstLineChars="200"/>
        <w:rPr>
          <w:rFonts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我中心本着实事求是的原则，按照既定的评价指标和评级方法，从决策、过程、产出、效益四方面对军转干部补助资金项目进行绩效评价，最终确定绩效评价评价得分100分。</w:t>
      </w:r>
    </w:p>
    <w:p>
      <w:pPr>
        <w:spacing w:line="600" w:lineRule="exact"/>
        <w:ind w:firstLine="640" w:firstLineChars="200"/>
        <w:rPr>
          <w:rFonts w:ascii="Times New Roman" w:hAnsi="Times New Roman" w:eastAsia="黑体"/>
          <w:sz w:val="32"/>
          <w:szCs w:val="32"/>
        </w:rPr>
      </w:pPr>
      <w:r>
        <w:rPr>
          <w:rFonts w:hint="eastAsia" w:ascii="Times New Roman" w:hAnsi="Times New Roman" w:eastAsia="黑体"/>
          <w:sz w:val="32"/>
          <w:szCs w:val="32"/>
        </w:rPr>
        <w:t>四、绩效评价指标分析</w:t>
      </w:r>
    </w:p>
    <w:p>
      <w:pPr>
        <w:spacing w:line="600" w:lineRule="exact"/>
        <w:ind w:firstLine="643" w:firstLineChars="200"/>
        <w:rPr>
          <w:rFonts w:ascii="楷体_GB2312" w:hAnsi="楷体_GB2312" w:eastAsia="楷体_GB2312" w:cs="楷体_GB2312"/>
          <w:b/>
          <w:bCs/>
          <w:sz w:val="32"/>
          <w:szCs w:val="32"/>
        </w:rPr>
      </w:pPr>
      <w:r>
        <w:rPr>
          <w:rFonts w:hint="eastAsia" w:ascii="楷体_GB2312" w:hAnsi="楷体_GB2312" w:eastAsia="楷体_GB2312" w:cs="楷体_GB2312"/>
          <w:b/>
          <w:bCs/>
          <w:sz w:val="32"/>
          <w:szCs w:val="32"/>
        </w:rPr>
        <w:t>（一）项目决策情况。</w:t>
      </w:r>
    </w:p>
    <w:p>
      <w:pPr>
        <w:spacing w:line="600" w:lineRule="exact"/>
        <w:ind w:firstLine="640" w:firstLineChars="200"/>
        <w:outlineLvl w:val="0"/>
        <w:rPr>
          <w:rFonts w:ascii="仿宋_GB2312" w:hAnsi="Times New Roman" w:eastAsia="仿宋_GB2312"/>
          <w:kern w:val="0"/>
          <w:sz w:val="32"/>
          <w:szCs w:val="32"/>
        </w:rPr>
      </w:pPr>
      <w:r>
        <w:rPr>
          <w:rFonts w:hint="eastAsia" w:ascii="仿宋_GB2312" w:hAnsi="Times New Roman" w:eastAsia="仿宋_GB2312"/>
          <w:kern w:val="0"/>
          <w:sz w:val="32"/>
          <w:szCs w:val="32"/>
        </w:rPr>
        <w:t>1.项目立项</w:t>
      </w:r>
    </w:p>
    <w:p>
      <w:pPr>
        <w:spacing w:line="600" w:lineRule="exact"/>
        <w:ind w:firstLine="640" w:firstLineChars="200"/>
        <w:outlineLvl w:val="0"/>
        <w:rPr>
          <w:rFonts w:ascii="仿宋_GB2312" w:hAnsi="Times New Roman" w:eastAsia="仿宋_GB2312"/>
          <w:kern w:val="0"/>
          <w:sz w:val="32"/>
          <w:szCs w:val="32"/>
        </w:rPr>
      </w:pPr>
      <w:r>
        <w:rPr>
          <w:rFonts w:hint="eastAsia" w:ascii="仿宋_GB2312" w:hAnsi="Times New Roman" w:eastAsia="仿宋_GB2312"/>
          <w:kern w:val="0"/>
          <w:sz w:val="32"/>
          <w:szCs w:val="32"/>
        </w:rPr>
        <w:t>项目立项依据充分，符合国家法律法规、政策要求，项目立项与部门职责范围相符，属于部门履职所需，项目与相关部门同类项目或部门内部相关项目不重复。项目申请、设立过程符合要求，事前经过了可行性研究和绩效评估。</w:t>
      </w:r>
    </w:p>
    <w:p>
      <w:pPr>
        <w:pStyle w:val="7"/>
        <w:spacing w:line="560" w:lineRule="exact"/>
        <w:ind w:firstLine="640" w:firstLineChars="200"/>
        <w:rPr>
          <w:rFonts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2.绩效目标</w:t>
      </w:r>
    </w:p>
    <w:p>
      <w:pPr>
        <w:spacing w:line="600" w:lineRule="exact"/>
        <w:ind w:firstLine="640" w:firstLineChars="200"/>
        <w:outlineLvl w:val="0"/>
        <w:rPr>
          <w:rFonts w:ascii="仿宋_GB2312" w:hAnsi="Times New Roman" w:eastAsia="仿宋_GB2312"/>
          <w:kern w:val="0"/>
          <w:sz w:val="32"/>
          <w:szCs w:val="32"/>
        </w:rPr>
      </w:pPr>
      <w:r>
        <w:rPr>
          <w:rFonts w:hint="eastAsia" w:ascii="仿宋_GB2312" w:hAnsi="Times New Roman" w:eastAsia="仿宋_GB2312"/>
          <w:kern w:val="0"/>
          <w:sz w:val="32"/>
          <w:szCs w:val="32"/>
        </w:rPr>
        <w:t>项目设置了绩效目标，绩效目标与实际工作内容相关，预期产出效益和效果符合正常的业绩水平，绩效目标与预算确定的项目资金量相匹配。</w:t>
      </w:r>
    </w:p>
    <w:p>
      <w:pPr>
        <w:spacing w:line="600" w:lineRule="exact"/>
        <w:ind w:firstLine="643" w:firstLineChars="200"/>
        <w:rPr>
          <w:rFonts w:ascii="楷体_GB2312" w:hAnsi="楷体_GB2312" w:eastAsia="楷体_GB2312" w:cs="楷体_GB2312"/>
          <w:b/>
          <w:bCs/>
          <w:sz w:val="32"/>
          <w:szCs w:val="32"/>
        </w:rPr>
      </w:pPr>
      <w:r>
        <w:rPr>
          <w:rFonts w:hint="eastAsia" w:ascii="楷体_GB2312" w:hAnsi="楷体_GB2312" w:eastAsia="楷体_GB2312" w:cs="楷体_GB2312"/>
          <w:b/>
          <w:bCs/>
          <w:sz w:val="32"/>
          <w:szCs w:val="32"/>
        </w:rPr>
        <w:t>（二）项目过程情况。</w:t>
      </w:r>
    </w:p>
    <w:p>
      <w:pPr>
        <w:spacing w:line="600" w:lineRule="exact"/>
        <w:ind w:firstLine="640" w:firstLineChars="200"/>
        <w:outlineLvl w:val="0"/>
        <w:rPr>
          <w:rFonts w:ascii="仿宋_GB2312" w:hAnsi="Times New Roman" w:eastAsia="仿宋_GB2312"/>
          <w:kern w:val="0"/>
          <w:sz w:val="32"/>
          <w:szCs w:val="32"/>
        </w:rPr>
      </w:pPr>
      <w:r>
        <w:rPr>
          <w:rFonts w:hint="eastAsia" w:ascii="仿宋_GB2312" w:hAnsi="Times New Roman" w:eastAsia="仿宋_GB2312"/>
          <w:kern w:val="0"/>
          <w:sz w:val="32"/>
          <w:szCs w:val="32"/>
        </w:rPr>
        <w:t>1.资金管理</w:t>
      </w:r>
    </w:p>
    <w:p>
      <w:pPr>
        <w:spacing w:line="600" w:lineRule="exact"/>
        <w:ind w:firstLine="640" w:firstLineChars="200"/>
        <w:outlineLvl w:val="0"/>
        <w:rPr>
          <w:rFonts w:ascii="仿宋_GB2312" w:hAnsi="Times New Roman" w:eastAsia="仿宋_GB2312"/>
          <w:kern w:val="0"/>
          <w:sz w:val="32"/>
          <w:szCs w:val="32"/>
        </w:rPr>
      </w:pPr>
      <w:r>
        <w:rPr>
          <w:rFonts w:hint="eastAsia" w:ascii="仿宋_GB2312" w:hAnsi="Times New Roman" w:eastAsia="仿宋_GB2312"/>
          <w:kern w:val="0"/>
          <w:sz w:val="32"/>
          <w:szCs w:val="32"/>
        </w:rPr>
        <w:t>项目预算安排121万元，实际到位121万元，资金到位率100%，截至2021年末，项目资金支出121万元，预算执行率100%。项目资金使用严格执行财务制度，资金的拨付有完整的审批程序和手续，资金支付符合项目预算批复规定的用途，不存在截留、挤占、挪用、虚列支出等情况。</w:t>
      </w:r>
    </w:p>
    <w:p>
      <w:pPr>
        <w:spacing w:line="600" w:lineRule="exact"/>
        <w:ind w:firstLine="640" w:firstLineChars="200"/>
        <w:outlineLvl w:val="0"/>
        <w:rPr>
          <w:rFonts w:ascii="仿宋_GB2312" w:hAnsi="Times New Roman" w:eastAsia="仿宋_GB2312"/>
          <w:kern w:val="0"/>
          <w:sz w:val="32"/>
          <w:szCs w:val="32"/>
        </w:rPr>
      </w:pPr>
      <w:r>
        <w:rPr>
          <w:rFonts w:hint="eastAsia" w:ascii="仿宋_GB2312" w:hAnsi="Times New Roman" w:eastAsia="仿宋_GB2312"/>
          <w:kern w:val="0"/>
          <w:sz w:val="32"/>
          <w:szCs w:val="32"/>
        </w:rPr>
        <w:t>2.组织实施</w:t>
      </w:r>
    </w:p>
    <w:p>
      <w:pPr>
        <w:spacing w:line="600" w:lineRule="exact"/>
        <w:ind w:firstLine="640" w:firstLineChars="200"/>
        <w:outlineLvl w:val="0"/>
        <w:rPr>
          <w:rFonts w:ascii="仿宋_GB2312" w:hAnsi="Times New Roman" w:eastAsia="仿宋_GB2312"/>
          <w:kern w:val="0"/>
          <w:sz w:val="32"/>
          <w:szCs w:val="32"/>
        </w:rPr>
      </w:pPr>
      <w:r>
        <w:rPr>
          <w:rFonts w:hint="eastAsia" w:ascii="仿宋_GB2312" w:hAnsi="Times New Roman" w:eastAsia="仿宋_GB2312"/>
          <w:kern w:val="0"/>
          <w:sz w:val="32"/>
          <w:szCs w:val="32"/>
        </w:rPr>
        <w:t>项目有相应财务和业务管理制度，制度合法、合规、完整。项目实施遵守法律法规和相关管理规定，项目支付资料齐全并及时归档。</w:t>
      </w:r>
    </w:p>
    <w:p>
      <w:pPr>
        <w:spacing w:line="600" w:lineRule="exact"/>
        <w:ind w:firstLine="643" w:firstLineChars="200"/>
        <w:rPr>
          <w:rFonts w:ascii="楷体_GB2312" w:hAnsi="楷体_GB2312" w:eastAsia="楷体_GB2312" w:cs="楷体_GB2312"/>
          <w:b/>
          <w:bCs/>
          <w:sz w:val="32"/>
          <w:szCs w:val="32"/>
        </w:rPr>
      </w:pPr>
      <w:r>
        <w:rPr>
          <w:rFonts w:hint="eastAsia" w:ascii="楷体_GB2312" w:hAnsi="楷体_GB2312" w:eastAsia="楷体_GB2312" w:cs="楷体_GB2312"/>
          <w:b/>
          <w:bCs/>
          <w:sz w:val="32"/>
          <w:szCs w:val="32"/>
        </w:rPr>
        <w:t>（三）项目产出情况。</w:t>
      </w:r>
    </w:p>
    <w:p>
      <w:pPr>
        <w:pStyle w:val="7"/>
        <w:spacing w:line="560" w:lineRule="exact"/>
        <w:ind w:firstLine="643" w:firstLineChars="200"/>
        <w:rPr>
          <w:rFonts w:ascii="仿宋_GB2312" w:hAnsi="仿宋_GB2312" w:eastAsia="仿宋_GB2312" w:cs="仿宋_GB2312"/>
          <w:sz w:val="32"/>
          <w:szCs w:val="32"/>
          <w:lang w:eastAsia="zh-CN"/>
        </w:rPr>
      </w:pPr>
      <w:r>
        <w:rPr>
          <w:rFonts w:hint="eastAsia" w:ascii="仿宋_GB2312" w:eastAsia="仿宋_GB2312"/>
          <w:b/>
          <w:bCs/>
          <w:sz w:val="32"/>
          <w:szCs w:val="32"/>
          <w:lang w:val="en-US" w:eastAsia="zh-CN"/>
        </w:rPr>
        <w:t>1.数量指标</w:t>
      </w:r>
      <w:r>
        <w:rPr>
          <w:rFonts w:hint="eastAsia" w:ascii="仿宋_GB2312" w:eastAsia="仿宋_GB2312"/>
          <w:sz w:val="32"/>
          <w:szCs w:val="32"/>
          <w:lang w:val="en-US" w:eastAsia="zh-CN"/>
        </w:rPr>
        <w:t>：</w:t>
      </w:r>
      <w:r>
        <w:rPr>
          <w:rFonts w:hint="eastAsia" w:ascii="仿宋_GB2312" w:hAnsi="仿宋_GB2312" w:eastAsia="仿宋_GB2312" w:cs="仿宋_GB2312"/>
          <w:sz w:val="32"/>
          <w:szCs w:val="32"/>
          <w:lang w:eastAsia="zh-CN"/>
        </w:rPr>
        <w:t>2021年，军转干部补助资金121万元。</w:t>
      </w:r>
    </w:p>
    <w:p>
      <w:pPr>
        <w:pStyle w:val="7"/>
        <w:spacing w:line="560" w:lineRule="exact"/>
        <w:ind w:firstLine="643" w:firstLineChars="200"/>
        <w:rPr>
          <w:rFonts w:ascii="仿宋_GB2312" w:hAnsi="仿宋_GB2312" w:eastAsia="仿宋_GB2312" w:cs="仿宋_GB2312"/>
          <w:sz w:val="32"/>
          <w:szCs w:val="32"/>
          <w:lang w:val="en-US"/>
        </w:rPr>
      </w:pPr>
      <w:r>
        <w:rPr>
          <w:rFonts w:hint="eastAsia" w:ascii="仿宋_GB2312" w:eastAsia="仿宋_GB2312"/>
          <w:b/>
          <w:bCs/>
          <w:sz w:val="32"/>
          <w:szCs w:val="32"/>
          <w:lang w:val="en-US" w:eastAsia="zh-CN"/>
        </w:rPr>
        <w:t>2.质量指标</w:t>
      </w:r>
      <w:r>
        <w:rPr>
          <w:rFonts w:hint="eastAsia" w:ascii="仿宋_GB2312" w:eastAsia="仿宋_GB2312"/>
          <w:sz w:val="32"/>
          <w:szCs w:val="32"/>
          <w:lang w:val="en-US" w:eastAsia="zh-CN"/>
        </w:rPr>
        <w:t>：</w:t>
      </w:r>
      <w:r>
        <w:rPr>
          <w:rFonts w:hint="eastAsia" w:ascii="仿宋_GB2312" w:hAnsi="仿宋_GB2312" w:eastAsia="仿宋_GB2312" w:cs="仿宋_GB2312"/>
          <w:sz w:val="32"/>
          <w:szCs w:val="32"/>
          <w:lang w:eastAsia="zh-CN"/>
        </w:rPr>
        <w:t>资金发放成功率</w:t>
      </w:r>
      <w:r>
        <w:rPr>
          <w:rFonts w:hint="eastAsia" w:ascii="仿宋_GB2312" w:hAnsi="仿宋_GB2312" w:eastAsia="仿宋_GB2312" w:cs="仿宋_GB2312"/>
          <w:sz w:val="32"/>
          <w:szCs w:val="32"/>
          <w:lang w:val="en-US" w:eastAsia="zh-CN"/>
        </w:rPr>
        <w:t>100%，按照项目的原定计划实施。</w:t>
      </w:r>
    </w:p>
    <w:p>
      <w:pPr>
        <w:pStyle w:val="7"/>
        <w:spacing w:line="560" w:lineRule="exact"/>
        <w:ind w:firstLine="643" w:firstLineChars="200"/>
        <w:rPr>
          <w:rFonts w:ascii="仿宋_GB2312" w:hAnsi="仿宋_GB2312" w:eastAsia="仿宋_GB2312" w:cs="仿宋_GB2312"/>
          <w:sz w:val="32"/>
          <w:szCs w:val="32"/>
        </w:rPr>
      </w:pPr>
      <w:r>
        <w:rPr>
          <w:rFonts w:hint="eastAsia" w:ascii="仿宋_GB2312" w:eastAsia="仿宋_GB2312"/>
          <w:b/>
          <w:bCs/>
          <w:sz w:val="32"/>
          <w:szCs w:val="32"/>
          <w:lang w:val="en-US" w:eastAsia="zh-CN"/>
        </w:rPr>
        <w:t>3.时效指标</w:t>
      </w:r>
      <w:r>
        <w:rPr>
          <w:rFonts w:hint="eastAsia" w:ascii="仿宋_GB2312" w:eastAsia="仿宋_GB2312"/>
          <w:sz w:val="32"/>
          <w:szCs w:val="32"/>
          <w:lang w:val="en-US" w:eastAsia="zh-CN"/>
        </w:rPr>
        <w:t>：</w:t>
      </w:r>
      <w:r>
        <w:rPr>
          <w:rFonts w:hint="eastAsia" w:ascii="仿宋_GB2312" w:hAnsi="仿宋_GB2312" w:eastAsia="仿宋_GB2312" w:cs="仿宋_GB2312"/>
          <w:sz w:val="32"/>
          <w:szCs w:val="32"/>
        </w:rPr>
        <w:t>项目资金均已经按时拨付到位</w:t>
      </w:r>
      <w:r>
        <w:rPr>
          <w:rFonts w:hint="eastAsia" w:ascii="仿宋_GB2312" w:hAnsi="仿宋_GB2312" w:eastAsia="仿宋_GB2312" w:cs="仿宋_GB2312"/>
          <w:sz w:val="32"/>
          <w:szCs w:val="32"/>
          <w:lang w:val="en-US" w:eastAsia="zh-CN"/>
        </w:rPr>
        <w:t>。</w:t>
      </w:r>
    </w:p>
    <w:p>
      <w:pPr>
        <w:spacing w:line="600" w:lineRule="exact"/>
        <w:ind w:firstLine="643" w:firstLineChars="200"/>
        <w:rPr>
          <w:rFonts w:ascii="楷体_GB2312" w:hAnsi="楷体_GB2312" w:eastAsia="楷体_GB2312" w:cs="楷体_GB2312"/>
          <w:b/>
          <w:bCs/>
          <w:sz w:val="32"/>
          <w:szCs w:val="32"/>
        </w:rPr>
      </w:pPr>
      <w:r>
        <w:rPr>
          <w:rFonts w:hint="eastAsia" w:ascii="楷体_GB2312" w:hAnsi="楷体_GB2312" w:eastAsia="楷体_GB2312" w:cs="楷体_GB2312"/>
          <w:b/>
          <w:bCs/>
          <w:sz w:val="32"/>
          <w:szCs w:val="32"/>
        </w:rPr>
        <w:t>（四）项目效益情况。</w:t>
      </w:r>
    </w:p>
    <w:p>
      <w:pPr>
        <w:pStyle w:val="7"/>
        <w:spacing w:line="560" w:lineRule="exact"/>
        <w:ind w:firstLine="643" w:firstLineChars="200"/>
        <w:rPr>
          <w:rFonts w:ascii="仿宋_GB2312" w:hAnsi="仿宋_GB2312" w:eastAsia="仿宋_GB2312" w:cs="仿宋_GB2312"/>
          <w:sz w:val="32"/>
          <w:szCs w:val="32"/>
          <w:lang w:val="en-US" w:eastAsia="zh-CN"/>
        </w:rPr>
      </w:pPr>
      <w:r>
        <w:rPr>
          <w:rFonts w:hint="eastAsia" w:ascii="仿宋_GB2312" w:hAnsi="Times New Roman" w:eastAsia="仿宋_GB2312" w:cs="Times New Roman"/>
          <w:b/>
          <w:bCs/>
          <w:sz w:val="32"/>
          <w:szCs w:val="32"/>
          <w:lang w:val="en-US" w:eastAsia="zh-CN"/>
        </w:rPr>
        <w:t>1.</w:t>
      </w:r>
      <w:r>
        <w:rPr>
          <w:rFonts w:hint="eastAsia" w:ascii="仿宋_GB2312" w:hAnsi="Times New Roman" w:eastAsia="仿宋_GB2312"/>
          <w:b/>
          <w:bCs/>
          <w:sz w:val="32"/>
          <w:szCs w:val="32"/>
        </w:rPr>
        <w:t>经济效益：</w:t>
      </w:r>
      <w:r>
        <w:rPr>
          <w:rFonts w:hint="eastAsia" w:ascii="仿宋_GB2312" w:hAnsi="仿宋_GB2312" w:eastAsia="仿宋_GB2312" w:cs="仿宋_GB2312"/>
          <w:sz w:val="32"/>
          <w:szCs w:val="32"/>
          <w:lang w:eastAsia="zh-CN"/>
        </w:rPr>
        <w:t>军转干部补助</w:t>
      </w:r>
      <w:r>
        <w:rPr>
          <w:rFonts w:hint="eastAsia" w:ascii="仿宋_GB2312" w:hAnsi="仿宋_GB2312" w:eastAsia="仿宋_GB2312" w:cs="仿宋_GB2312"/>
          <w:sz w:val="32"/>
          <w:szCs w:val="32"/>
          <w:lang w:val="en-US" w:eastAsia="zh-CN"/>
        </w:rPr>
        <w:t>资金，减少了</w:t>
      </w:r>
      <w:r>
        <w:rPr>
          <w:rFonts w:hint="eastAsia" w:ascii="仿宋_GB2312" w:hAnsi="仿宋_GB2312" w:eastAsia="仿宋_GB2312" w:cs="仿宋_GB2312"/>
          <w:sz w:val="32"/>
          <w:szCs w:val="32"/>
        </w:rPr>
        <w:t>退役士兵、军转干部人员</w:t>
      </w:r>
      <w:r>
        <w:rPr>
          <w:rFonts w:hint="eastAsia" w:ascii="仿宋_GB2312" w:hAnsi="仿宋_GB2312" w:eastAsia="仿宋_GB2312" w:cs="仿宋_GB2312"/>
          <w:sz w:val="32"/>
          <w:szCs w:val="32"/>
          <w:lang w:val="en-US" w:eastAsia="zh-CN"/>
        </w:rPr>
        <w:t>的经济负担</w:t>
      </w:r>
      <w:r>
        <w:rPr>
          <w:rFonts w:hint="eastAsia" w:ascii="仿宋_GB2312" w:hAnsi="仿宋_GB2312" w:eastAsia="仿宋_GB2312" w:cs="仿宋_GB2312"/>
          <w:sz w:val="32"/>
          <w:szCs w:val="32"/>
        </w:rPr>
        <w:t>。</w:t>
      </w:r>
    </w:p>
    <w:p>
      <w:pPr>
        <w:pStyle w:val="7"/>
        <w:spacing w:line="560" w:lineRule="exact"/>
        <w:ind w:firstLine="643" w:firstLineChars="200"/>
        <w:rPr>
          <w:rFonts w:ascii="仿宋_GB2312" w:hAnsi="仿宋_GB2312" w:eastAsia="仿宋_GB2312" w:cs="仿宋_GB2312"/>
          <w:sz w:val="32"/>
          <w:szCs w:val="32"/>
          <w:lang w:val="en-US" w:eastAsia="zh-CN"/>
        </w:rPr>
      </w:pPr>
      <w:r>
        <w:rPr>
          <w:rFonts w:hint="eastAsia" w:ascii="仿宋_GB2312" w:hAnsi="Times New Roman" w:eastAsia="仿宋_GB2312" w:cs="Times New Roman"/>
          <w:b/>
          <w:bCs/>
          <w:color w:val="auto"/>
          <w:kern w:val="2"/>
          <w:sz w:val="32"/>
          <w:szCs w:val="32"/>
          <w:lang w:val="en-US" w:eastAsia="zh-CN" w:bidi="ar-SA"/>
        </w:rPr>
        <w:t>2.社会效益：</w:t>
      </w:r>
      <w:r>
        <w:rPr>
          <w:rFonts w:hint="eastAsia" w:ascii="仿宋_GB2312" w:hAnsi="仿宋_GB2312" w:eastAsia="仿宋_GB2312" w:cs="仿宋_GB2312"/>
          <w:sz w:val="32"/>
          <w:szCs w:val="32"/>
          <w:lang w:eastAsia="zh-CN"/>
        </w:rPr>
        <w:t>军转干部补助</w:t>
      </w:r>
      <w:r>
        <w:rPr>
          <w:rFonts w:hint="eastAsia" w:ascii="仿宋_GB2312" w:hAnsi="仿宋_GB2312" w:eastAsia="仿宋_GB2312" w:cs="仿宋_GB2312"/>
          <w:sz w:val="32"/>
          <w:szCs w:val="32"/>
          <w:lang w:val="en-US" w:eastAsia="zh-CN"/>
        </w:rPr>
        <w:t>资金有助于</w:t>
      </w:r>
      <w:r>
        <w:rPr>
          <w:rFonts w:hint="eastAsia" w:ascii="仿宋_GB2312" w:hAnsi="仿宋_GB2312" w:eastAsia="仿宋_GB2312" w:cs="仿宋_GB2312"/>
          <w:sz w:val="32"/>
          <w:szCs w:val="32"/>
          <w:lang w:eastAsia="zh-CN"/>
        </w:rPr>
        <w:t>减少</w:t>
      </w:r>
      <w:r>
        <w:rPr>
          <w:rFonts w:hint="eastAsia" w:ascii="仿宋_GB2312" w:hAnsi="仿宋_GB2312" w:eastAsia="仿宋_GB2312" w:cs="仿宋_GB2312"/>
          <w:sz w:val="32"/>
          <w:szCs w:val="32"/>
        </w:rPr>
        <w:t>退役士兵、军转干部人员</w:t>
      </w:r>
      <w:r>
        <w:rPr>
          <w:rFonts w:hint="eastAsia" w:ascii="仿宋_GB2312" w:hAnsi="仿宋_GB2312" w:eastAsia="仿宋_GB2312" w:cs="仿宋_GB2312"/>
          <w:sz w:val="32"/>
          <w:szCs w:val="32"/>
          <w:lang w:eastAsia="zh-CN"/>
        </w:rPr>
        <w:t>经济负担，提高生活质量。</w:t>
      </w:r>
    </w:p>
    <w:p>
      <w:pPr>
        <w:pStyle w:val="7"/>
        <w:spacing w:line="560" w:lineRule="exact"/>
        <w:ind w:firstLine="643" w:firstLineChars="200"/>
        <w:rPr>
          <w:rFonts w:ascii="仿宋_GB2312" w:hAnsi="仿宋_GB2312" w:eastAsia="仿宋_GB2312" w:cs="仿宋_GB2312"/>
          <w:sz w:val="32"/>
          <w:szCs w:val="32"/>
          <w:lang w:val="en-US" w:eastAsia="zh-CN"/>
        </w:rPr>
      </w:pPr>
      <w:r>
        <w:rPr>
          <w:rFonts w:hint="eastAsia" w:ascii="仿宋_GB2312" w:hAnsi="Times New Roman" w:eastAsia="仿宋_GB2312" w:cs="Times New Roman"/>
          <w:b/>
          <w:bCs/>
          <w:color w:val="auto"/>
          <w:kern w:val="2"/>
          <w:sz w:val="32"/>
          <w:szCs w:val="32"/>
          <w:lang w:val="en-US" w:eastAsia="zh-CN" w:bidi="ar-SA"/>
        </w:rPr>
        <w:t>3.可持续影响：</w:t>
      </w:r>
      <w:r>
        <w:rPr>
          <w:rFonts w:hint="eastAsia" w:ascii="仿宋_GB2312" w:hAnsi="仿宋_GB2312" w:eastAsia="仿宋_GB2312" w:cs="仿宋_GB2312"/>
          <w:sz w:val="32"/>
          <w:szCs w:val="32"/>
          <w:lang w:eastAsia="zh-CN"/>
        </w:rPr>
        <w:t>军转干部补助</w:t>
      </w:r>
      <w:r>
        <w:rPr>
          <w:rFonts w:hint="eastAsia" w:ascii="仿宋_GB2312" w:hAnsi="仿宋_GB2312" w:eastAsia="仿宋_GB2312" w:cs="仿宋_GB2312"/>
          <w:sz w:val="32"/>
          <w:szCs w:val="32"/>
          <w:lang w:val="en-US" w:eastAsia="zh-CN"/>
        </w:rPr>
        <w:t>资金对健全社会保障体系的影响成效显著。</w:t>
      </w:r>
    </w:p>
    <w:p>
      <w:pPr>
        <w:spacing w:line="600" w:lineRule="exact"/>
        <w:ind w:firstLine="640" w:firstLineChars="200"/>
        <w:rPr>
          <w:rFonts w:ascii="Times New Roman" w:hAnsi="Times New Roman" w:eastAsia="黑体"/>
          <w:sz w:val="32"/>
          <w:szCs w:val="32"/>
        </w:rPr>
      </w:pPr>
      <w:r>
        <w:rPr>
          <w:rFonts w:hint="eastAsia" w:ascii="Times New Roman" w:hAnsi="Times New Roman" w:eastAsia="黑体"/>
          <w:sz w:val="32"/>
          <w:szCs w:val="32"/>
        </w:rPr>
        <w:t>五、主要经验及做法、存在的问题及原因分析</w:t>
      </w:r>
    </w:p>
    <w:p>
      <w:pPr>
        <w:spacing w:line="600" w:lineRule="exact"/>
        <w:ind w:firstLine="640" w:firstLineChars="200"/>
        <w:rPr>
          <w:rFonts w:ascii="仿宋_GB2312" w:hAnsi="Times New Roman" w:eastAsia="仿宋_GB2312"/>
          <w:kern w:val="0"/>
          <w:sz w:val="32"/>
          <w:szCs w:val="32"/>
        </w:rPr>
      </w:pPr>
      <w:r>
        <w:rPr>
          <w:rFonts w:hint="eastAsia" w:ascii="仿宋_GB2312" w:hAnsi="Times New Roman" w:eastAsia="仿宋_GB2312"/>
          <w:kern w:val="0"/>
          <w:sz w:val="32"/>
          <w:szCs w:val="32"/>
        </w:rPr>
        <w:t>2021年军转干部补助资金项目实现了年初的年度绩效目标，军转干补助资金有助于减少退役士兵、军转干部人员经济负担，提高生活质量。</w:t>
      </w:r>
    </w:p>
    <w:p>
      <w:pPr>
        <w:spacing w:line="600" w:lineRule="exact"/>
        <w:ind w:firstLine="640" w:firstLineChars="200"/>
        <w:rPr>
          <w:rFonts w:ascii="Times New Roman" w:hAnsi="Times New Roman" w:eastAsia="黑体"/>
          <w:sz w:val="32"/>
          <w:szCs w:val="32"/>
        </w:rPr>
      </w:pPr>
      <w:r>
        <w:rPr>
          <w:rFonts w:hint="eastAsia" w:ascii="Times New Roman" w:hAnsi="Times New Roman" w:eastAsia="黑体"/>
          <w:sz w:val="32"/>
          <w:szCs w:val="32"/>
        </w:rPr>
        <w:t>六、有关建议</w:t>
      </w:r>
    </w:p>
    <w:p>
      <w:pPr>
        <w:spacing w:line="600" w:lineRule="exact"/>
        <w:ind w:firstLine="640" w:firstLineChars="200"/>
        <w:rPr>
          <w:rFonts w:ascii="仿宋_GB2312" w:hAnsi="Times New Roman" w:eastAsia="仿宋_GB2312"/>
          <w:kern w:val="0"/>
          <w:sz w:val="32"/>
          <w:szCs w:val="32"/>
        </w:rPr>
      </w:pPr>
      <w:r>
        <w:rPr>
          <w:rFonts w:hint="eastAsia" w:ascii="仿宋_GB2312" w:hAnsi="Times New Roman" w:eastAsia="仿宋_GB2312"/>
          <w:kern w:val="0"/>
          <w:sz w:val="32"/>
          <w:szCs w:val="32"/>
        </w:rPr>
        <w:t>我单位将进一步明确项目绩效目标的设置要求，统一细化标准，严格要求各项目分管科室，科学分解项目的具体绩效目标，以更全面、更完整的体现项目的预期实施成效。根据年度项目资金安排，实时把握项目进度，合理预测项目年度资金需求，将项目资金明确到具体项目，实现项目资金单一管理，精准使用。</w:t>
      </w:r>
    </w:p>
    <w:p>
      <w:pPr>
        <w:spacing w:line="600" w:lineRule="exact"/>
        <w:ind w:firstLine="640" w:firstLineChars="200"/>
        <w:rPr>
          <w:rFonts w:ascii="Times New Roman" w:hAnsi="Times New Roman" w:eastAsia="黑体"/>
          <w:sz w:val="32"/>
          <w:szCs w:val="32"/>
        </w:rPr>
      </w:pPr>
      <w:r>
        <w:rPr>
          <w:rFonts w:hint="eastAsia" w:ascii="Times New Roman" w:hAnsi="Times New Roman" w:eastAsia="黑体"/>
          <w:sz w:val="32"/>
          <w:szCs w:val="32"/>
        </w:rPr>
        <w:t xml:space="preserve">七、其他需要说明的问题 </w:t>
      </w:r>
    </w:p>
    <w:p>
      <w:pPr>
        <w:rPr>
          <w:rFonts w:eastAsia="仿宋_GB2312"/>
        </w:rPr>
      </w:pPr>
      <w:r>
        <w:rPr>
          <w:rFonts w:hint="eastAsia" w:ascii="仿宋_GB2312" w:hAnsi="Times New Roman" w:eastAsia="仿宋_GB2312"/>
          <w:kern w:val="0"/>
          <w:sz w:val="32"/>
          <w:szCs w:val="32"/>
        </w:rPr>
        <w:t>为实现绩效目标，我单位将把绩效评价结果及时反馈给各相关科室，提高对绩效管理工作的认识。进一步做好项目实施的跟踪检查工作。定期不定期地对项目实施情况和资金使用情况进行跟踪检查。</w:t>
      </w:r>
    </w:p>
    <w:sectPr>
      <w:footerReference r:id="rId3" w:type="default"/>
      <w:pgSz w:w="11906" w:h="16838"/>
      <w:pgMar w:top="1440" w:right="1800" w:bottom="1440" w:left="1800" w:header="851" w:footer="1587"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MingLiU">
    <w:panose1 w:val="02020509000000000000"/>
    <w:charset w:val="88"/>
    <w:family w:val="modern"/>
    <w:pitch w:val="default"/>
    <w:sig w:usb0="A00002FF" w:usb1="28CFFCFA" w:usb2="00000016" w:usb3="00000000" w:csb0="00100001" w:csb1="00000000"/>
  </w:font>
  <w:font w:name="方正小标宋简体">
    <w:altName w:val="Arial Unicode MS"/>
    <w:panose1 w:val="03000509000000000000"/>
    <w:charset w:val="86"/>
    <w:family w:val="script"/>
    <w:pitch w:val="default"/>
    <w:sig w:usb0="00000000" w:usb1="00000000" w:usb2="00000010" w:usb3="00000000" w:csb0="00040000" w:csb1="00000000"/>
  </w:font>
  <w:font w:name="Arial Unicode MS">
    <w:panose1 w:val="020B0604020202020204"/>
    <w:charset w:val="86"/>
    <w:family w:val="auto"/>
    <w:pitch w:val="default"/>
    <w:sig w:usb0="FFFFFFFF" w:usb1="E9FFFFFF" w:usb2="0000003F" w:usb3="00000000" w:csb0="603F01FF" w:csb1="FFFF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方正楷体简体">
    <w:altName w:val="宋体"/>
    <w:panose1 w:val="03000509000000000000"/>
    <w:charset w:val="86"/>
    <w:family w:val="script"/>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v:path/>
          <v:fill on="f" focussize="0,0"/>
          <v:stroke on="f" weight="0.5pt"/>
          <v:imagedata o:title=""/>
          <o:lock v:ext="edit" aspectratio="f"/>
          <v:textbox inset="0mm,0mm,0mm,0mm" style="mso-fit-shape-to-text:t;">
            <w:txbxContent>
              <w:p>
                <w:pPr>
                  <w:pStyle w:val="2"/>
                </w:pP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asciiTheme="minorEastAsia" w:hAnsiTheme="minorEastAsia" w:eastAsiaTheme="minorEastAsia" w:cstheme="minorEastAsia"/>
                    <w:sz w:val="28"/>
                    <w:szCs w:val="28"/>
                  </w:rPr>
                  <w:t>5</w:t>
                </w:r>
                <w:r>
                  <w:rPr>
                    <w:rFonts w:hint="eastAsia" w:asciiTheme="minorEastAsia" w:hAnsiTheme="minorEastAsia" w:eastAsiaTheme="minorEastAsia" w:cstheme="minorEastAsia"/>
                    <w:sz w:val="28"/>
                    <w:szCs w:val="28"/>
                  </w:rPr>
                  <w:fldChar w:fldCharType="end"/>
                </w:r>
              </w:p>
            </w:txbxContent>
          </v:textbox>
        </v:shape>
      </w:pic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00E768CE"/>
    <w:rsid w:val="0028165C"/>
    <w:rsid w:val="00301B07"/>
    <w:rsid w:val="009649A7"/>
    <w:rsid w:val="00E768CE"/>
    <w:rsid w:val="510D1817"/>
    <w:rsid w:val="6AE01BD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4">
    <w:name w:val="Normal (Web)"/>
    <w:basedOn w:val="1"/>
    <w:qFormat/>
    <w:uiPriority w:val="0"/>
    <w:pPr>
      <w:spacing w:beforeAutospacing="1" w:afterAutospacing="1"/>
      <w:jc w:val="left"/>
    </w:pPr>
    <w:rPr>
      <w:rFonts w:ascii="Times New Roman" w:hAnsi="Times New Roman"/>
      <w:kern w:val="0"/>
      <w:sz w:val="24"/>
      <w:szCs w:val="24"/>
    </w:rPr>
  </w:style>
  <w:style w:type="paragraph" w:customStyle="1" w:styleId="7">
    <w:name w:val="Body text|1"/>
    <w:basedOn w:val="1"/>
    <w:qFormat/>
    <w:uiPriority w:val="0"/>
    <w:pPr>
      <w:spacing w:line="442" w:lineRule="auto"/>
      <w:ind w:firstLine="400"/>
      <w:jc w:val="left"/>
    </w:pPr>
    <w:rPr>
      <w:rFonts w:ascii="MingLiU" w:hAnsi="MingLiU" w:eastAsia="MingLiU" w:cs="MingLiU"/>
      <w:color w:val="000000"/>
      <w:kern w:val="0"/>
      <w:sz w:val="19"/>
      <w:szCs w:val="19"/>
      <w:lang w:val="zh-TW" w:eastAsia="zh-TW" w:bidi="zh-TW"/>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2127</Words>
  <Characters>142</Characters>
  <Lines>1</Lines>
  <Paragraphs>4</Paragraphs>
  <TotalTime>3</TotalTime>
  <ScaleCrop>false</ScaleCrop>
  <LinksUpToDate>false</LinksUpToDate>
  <CharactersWithSpaces>2265</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Administrator</cp:lastModifiedBy>
  <dcterms:modified xsi:type="dcterms:W3CDTF">2022-03-11T08:38:32Z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C1645D152AFE4CBB9B95D91C8A9AE8E0</vt:lpwstr>
  </property>
</Properties>
</file>