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ind w:firstLine="2640" w:firstLineChars="600"/>
        <w:rPr>
          <w:rFonts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项目支出绩效评价报告</w:t>
      </w:r>
    </w:p>
    <w:p>
      <w:pPr>
        <w:pStyle w:val="7"/>
        <w:spacing w:line="560" w:lineRule="exact"/>
        <w:ind w:firstLine="640" w:firstLineChars="200"/>
        <w:rPr>
          <w:rFonts w:ascii="黑体" w:hAnsi="黑体" w:eastAsia="黑体" w:cs="黑体"/>
          <w:sz w:val="32"/>
          <w:szCs w:val="32"/>
          <w:lang w:val="en-US" w:eastAsia="zh-CN"/>
        </w:rPr>
      </w:pPr>
    </w:p>
    <w:p>
      <w:pPr>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一、基本情况</w:t>
      </w:r>
    </w:p>
    <w:p>
      <w:pPr>
        <w:spacing w:line="579" w:lineRule="exact"/>
        <w:ind w:firstLine="643" w:firstLineChars="200"/>
        <w:outlineLvl w:val="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（一）项目概况。</w:t>
      </w:r>
    </w:p>
    <w:p>
      <w:pPr>
        <w:spacing w:line="579" w:lineRule="exact"/>
        <w:ind w:firstLine="640" w:firstLineChars="200"/>
        <w:outlineLvl w:val="0"/>
        <w:rPr>
          <w:rFonts w:ascii="仿宋_GB2312" w:hAnsi="Times New Roman" w:eastAsia="仿宋_GB2312"/>
          <w:sz w:val="32"/>
          <w:szCs w:val="32"/>
        </w:rPr>
      </w:pPr>
      <w:r>
        <w:rPr>
          <w:rFonts w:hint="eastAsia" w:ascii="仿宋_GB2312" w:hAnsi="Times New Roman" w:eastAsia="仿宋_GB2312"/>
          <w:sz w:val="32"/>
          <w:szCs w:val="32"/>
        </w:rPr>
        <w:t>项目名称：社保专项核查经费</w:t>
      </w:r>
    </w:p>
    <w:p>
      <w:pPr>
        <w:pStyle w:val="7"/>
        <w:spacing w:line="560" w:lineRule="exact"/>
        <w:ind w:firstLine="640" w:firstLineChars="200"/>
        <w:rPr>
          <w:rFonts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sz w:val="32"/>
          <w:szCs w:val="32"/>
          <w:lang w:eastAsia="zh-CN"/>
        </w:rPr>
        <w:t>资金使用情况：</w:t>
      </w:r>
      <w:r>
        <w:rPr>
          <w:rFonts w:hint="eastAsia" w:ascii="仿宋_GB2312" w:hAnsi="Times New Roman" w:eastAsia="仿宋_GB2312" w:cs="Times New Roman"/>
          <w:color w:val="auto"/>
          <w:kern w:val="2"/>
          <w:sz w:val="32"/>
          <w:szCs w:val="32"/>
          <w:lang w:val="en-US" w:eastAsia="zh-CN" w:bidi="ar-SA"/>
        </w:rPr>
        <w:t>根据《河北省人民政府办公厅转发省人力资源社会保障厅等部门关于进一步做好企业职工基本养老保险扩面征缴工作意见的通知》，要求提高企业参保缴费率，增强基金保障能力，切实维护广大群众养老保险权益，着力解决选择性参保和缴费基数不实问题，努力实现应保尽保、应收尽收。专门设立社保专项核查经费项目，重点开展养老保险征缴稽核，规范缴费行为，加大清欠力度。我单位申请社保专项核查经费10万元。资金已全部拨付到位。截止2021年底，社保专项核查经费共支付10万元。</w:t>
      </w:r>
    </w:p>
    <w:p>
      <w:pPr>
        <w:pStyle w:val="7"/>
        <w:spacing w:line="560" w:lineRule="exact"/>
        <w:ind w:firstLine="643" w:firstLineChars="200"/>
        <w:rPr>
          <w:rFonts w:ascii="仿宋_GB2312" w:eastAsia="仿宋_GB2312"/>
          <w:sz w:val="32"/>
          <w:szCs w:val="32"/>
          <w:lang w:eastAsia="zh-CN"/>
        </w:rPr>
      </w:pPr>
      <w:r>
        <w:rPr>
          <w:rFonts w:hint="eastAsia" w:ascii="楷体_GB2312" w:hAnsi="楷体_GB2312" w:eastAsia="楷体_GB2312" w:cs="楷体_GB2312"/>
          <w:b/>
          <w:bCs/>
          <w:sz w:val="32"/>
          <w:szCs w:val="32"/>
        </w:rPr>
        <w:t>（二）项目绩效目标。</w:t>
      </w:r>
      <w:r>
        <w:rPr>
          <w:rFonts w:hint="eastAsia" w:ascii="仿宋_GB2312" w:eastAsia="仿宋_GB2312"/>
          <w:sz w:val="32"/>
          <w:szCs w:val="32"/>
          <w:lang w:eastAsia="zh-CN"/>
        </w:rPr>
        <w:t>提高企业参保缴费率，增强基金保障能力，切实维护广大群众养老保险权益，着力解决选择性参保和缴费基数不实问题，努力实现应保尽保、应收尽收。</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3" w:firstLineChars="200"/>
        <w:rPr>
          <w:rFonts w:ascii="方正楷体简体" w:hAnsi="方正楷体简体" w:eastAsia="方正楷体简体" w:cs="方正楷体简体"/>
          <w:b/>
          <w:bCs/>
          <w:sz w:val="32"/>
          <w:szCs w:val="32"/>
        </w:rPr>
      </w:pPr>
      <w:r>
        <w:rPr>
          <w:rFonts w:hint="eastAsia" w:ascii="楷体_GB2312" w:hAnsi="楷体_GB2312" w:eastAsia="楷体_GB2312" w:cs="楷体_GB2312"/>
          <w:b/>
          <w:bCs/>
          <w:sz w:val="32"/>
          <w:szCs w:val="32"/>
        </w:rPr>
        <w:t>（一）绩效评价目的、对象和范围。</w:t>
      </w:r>
    </w:p>
    <w:p>
      <w:pPr>
        <w:pStyle w:val="7"/>
        <w:spacing w:line="560" w:lineRule="exact"/>
        <w:ind w:firstLine="643" w:firstLineChars="200"/>
        <w:rPr>
          <w:rFonts w:ascii="仿宋_GB2312" w:hAnsi="仿宋_GB2312" w:eastAsia="仿宋_GB2312" w:cs="仿宋_GB2312"/>
          <w:sz w:val="32"/>
          <w:szCs w:val="32"/>
          <w:lang w:val="en-US" w:eastAsia="zh-CN"/>
        </w:rPr>
      </w:pPr>
      <w:r>
        <w:rPr>
          <w:rFonts w:hint="eastAsia" w:ascii="仿宋_GB2312" w:eastAsia="仿宋_GB2312"/>
          <w:b/>
          <w:bCs/>
          <w:sz w:val="32"/>
          <w:szCs w:val="32"/>
          <w:lang w:val="en-US" w:eastAsia="zh-CN"/>
        </w:rPr>
        <w:t>1.绩效评价</w:t>
      </w:r>
      <w:r>
        <w:rPr>
          <w:rFonts w:hint="eastAsia" w:ascii="仿宋_GB2312" w:eastAsia="仿宋_GB2312"/>
          <w:b/>
          <w:bCs/>
          <w:sz w:val="32"/>
          <w:szCs w:val="32"/>
          <w:lang w:eastAsia="zh-CN"/>
        </w:rPr>
        <w:t>目的：</w:t>
      </w:r>
      <w:r>
        <w:rPr>
          <w:rFonts w:hint="eastAsia" w:ascii="仿宋_GB2312" w:hAnsi="仿宋_GB2312" w:eastAsia="仿宋_GB2312" w:cs="仿宋_GB2312"/>
          <w:sz w:val="32"/>
          <w:szCs w:val="32"/>
          <w:lang w:val="en-US" w:eastAsia="zh-CN"/>
        </w:rPr>
        <w:t>进一步推进我单位预算绩</w:t>
      </w:r>
      <w:bookmarkStart w:id="0" w:name="_GoBack"/>
      <w:bookmarkEnd w:id="0"/>
      <w:r>
        <w:rPr>
          <w:rFonts w:hint="eastAsia" w:ascii="仿宋_GB2312" w:hAnsi="仿宋_GB2312" w:eastAsia="仿宋_GB2312" w:cs="仿宋_GB2312"/>
          <w:sz w:val="32"/>
          <w:szCs w:val="32"/>
          <w:lang w:val="en-US" w:eastAsia="zh-CN"/>
        </w:rPr>
        <w:t>效管理工作，提升项目预算资金使用效益和资金管理科学化、精细化水平。</w:t>
      </w:r>
    </w:p>
    <w:p>
      <w:pPr>
        <w:spacing w:line="600" w:lineRule="exact"/>
        <w:ind w:firstLine="643" w:firstLineChars="200"/>
        <w:rPr>
          <w:rFonts w:ascii="仿宋_GB2312" w:hAnsi="仿宋_GB2312" w:eastAsia="仿宋_GB2312" w:cs="仿宋_GB2312"/>
          <w:color w:val="000000"/>
          <w:kern w:val="0"/>
          <w:sz w:val="32"/>
          <w:szCs w:val="32"/>
          <w:lang w:bidi="zh-TW"/>
        </w:rPr>
      </w:pPr>
      <w:r>
        <w:rPr>
          <w:rFonts w:hint="eastAsia" w:ascii="仿宋_GB2312" w:eastAsia="仿宋_GB2312"/>
          <w:b/>
          <w:bCs/>
          <w:sz w:val="32"/>
          <w:szCs w:val="32"/>
        </w:rPr>
        <w:t>2.绩效评价对象：</w:t>
      </w:r>
      <w:r>
        <w:rPr>
          <w:rFonts w:hint="eastAsia" w:ascii="仿宋_GB2312" w:hAnsi="仿宋_GB2312" w:eastAsia="仿宋_GB2312" w:cs="仿宋_GB2312"/>
          <w:color w:val="000000"/>
          <w:kern w:val="0"/>
          <w:sz w:val="32"/>
          <w:szCs w:val="32"/>
          <w:lang w:bidi="zh-TW"/>
        </w:rPr>
        <w:t>社保专项核查经费项目。</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3.绩效评价范围：</w:t>
      </w:r>
      <w:r>
        <w:rPr>
          <w:rFonts w:hint="eastAsia" w:ascii="仿宋_GB2312" w:eastAsia="仿宋_GB2312"/>
          <w:sz w:val="32"/>
          <w:szCs w:val="32"/>
        </w:rPr>
        <w:t>2021年社保专项核查经费项目的资金投入使用情况、项目产出情况、效益情况、群众满意度情况。</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（二）绩效评价原则、评价指标体系（附表说明）、评价方法、评价标准等。</w:t>
      </w:r>
    </w:p>
    <w:p>
      <w:pPr>
        <w:pStyle w:val="7"/>
        <w:spacing w:line="560" w:lineRule="exact"/>
        <w:ind w:firstLine="640" w:firstLineChars="200"/>
        <w:rPr>
          <w:rFonts w:ascii="仿宋_GB2312" w:hAnsi="仿宋_GB2312" w:eastAsia="仿宋_GB2312" w:cs="仿宋_GB2312"/>
          <w:sz w:val="32"/>
          <w:szCs w:val="32"/>
          <w:lang w:val="en-US" w:eastAsia="zh-CN"/>
        </w:rPr>
      </w:pPr>
      <w:r>
        <w:rPr>
          <w:rFonts w:hint="eastAsia" w:ascii="仿宋_GB2312" w:hAnsi="Times New Roman" w:eastAsia="仿宋_GB2312" w:cs="Times New Roman"/>
          <w:color w:val="auto"/>
          <w:kern w:val="2"/>
          <w:sz w:val="32"/>
          <w:szCs w:val="32"/>
          <w:lang w:val="en-US" w:eastAsia="zh-CN" w:bidi="ar-SA"/>
        </w:rPr>
        <w:t>评价原则</w:t>
      </w:r>
      <w:r>
        <w:rPr>
          <w:rFonts w:hint="eastAsia" w:ascii="仿宋_GB2312" w:hAnsi="仿宋_GB2312" w:eastAsia="仿宋_GB2312" w:cs="仿宋_GB2312"/>
          <w:sz w:val="32"/>
          <w:szCs w:val="32"/>
          <w:lang w:val="en-US" w:eastAsia="zh-CN"/>
        </w:rPr>
        <w:t>：</w:t>
      </w:r>
    </w:p>
    <w:p>
      <w:pPr>
        <w:pStyle w:val="7"/>
        <w:spacing w:line="560" w:lineRule="exact"/>
        <w:ind w:firstLine="643" w:firstLineChars="200"/>
        <w:rPr>
          <w:rFonts w:ascii="仿宋_GB2312" w:hAnsi="仿宋_GB2312" w:eastAsia="仿宋_GB2312" w:cs="仿宋_GB2312"/>
          <w:sz w:val="32"/>
          <w:szCs w:val="32"/>
          <w:lang w:val="en-US" w:eastAsia="zh-CN"/>
        </w:rPr>
      </w:pPr>
      <w:r>
        <w:rPr>
          <w:rFonts w:hint="eastAsia" w:ascii="仿宋_GB2312" w:hAnsi="Times New Roman" w:eastAsia="仿宋_GB2312" w:cs="Times New Roman"/>
          <w:b/>
          <w:bCs/>
          <w:color w:val="auto"/>
          <w:kern w:val="2"/>
          <w:sz w:val="32"/>
          <w:szCs w:val="32"/>
          <w:lang w:val="en-US" w:eastAsia="zh-CN" w:bidi="ar-SA"/>
        </w:rPr>
        <w:t>1.科学公正。</w:t>
      </w:r>
      <w:r>
        <w:rPr>
          <w:rFonts w:hint="eastAsia" w:ascii="仿宋_GB2312" w:hAnsi="仿宋_GB2312" w:eastAsia="仿宋_GB2312" w:cs="仿宋_GB2312"/>
          <w:sz w:val="32"/>
          <w:szCs w:val="32"/>
          <w:lang w:val="en-US" w:eastAsia="zh-CN"/>
        </w:rPr>
        <w:t>绩效评价应当运用科学合理的方法，按照规范的程序，对项目绩效进行客观、公正的反映。</w:t>
      </w:r>
    </w:p>
    <w:p>
      <w:pPr>
        <w:pStyle w:val="7"/>
        <w:spacing w:line="560" w:lineRule="exact"/>
        <w:ind w:firstLine="643" w:firstLineChars="200"/>
        <w:rPr>
          <w:rFonts w:ascii="仿宋_GB2312" w:hAnsi="仿宋_GB2312" w:eastAsia="仿宋_GB2312" w:cs="仿宋_GB2312"/>
          <w:sz w:val="32"/>
          <w:szCs w:val="32"/>
          <w:lang w:val="en-US" w:eastAsia="zh-CN"/>
        </w:rPr>
      </w:pPr>
      <w:r>
        <w:rPr>
          <w:rFonts w:hint="eastAsia" w:ascii="仿宋_GB2312" w:hAnsi="Times New Roman" w:eastAsia="仿宋_GB2312" w:cs="Times New Roman"/>
          <w:b/>
          <w:bCs/>
          <w:color w:val="auto"/>
          <w:kern w:val="2"/>
          <w:sz w:val="32"/>
          <w:szCs w:val="32"/>
          <w:lang w:val="en-US" w:eastAsia="zh-CN" w:bidi="ar-SA"/>
        </w:rPr>
        <w:t>2.统筹兼顾。</w:t>
      </w:r>
      <w:r>
        <w:rPr>
          <w:rFonts w:hint="eastAsia" w:ascii="仿宋_GB2312" w:hAnsi="仿宋_GB2312" w:eastAsia="仿宋_GB2312" w:cs="仿宋_GB2312"/>
          <w:sz w:val="32"/>
          <w:szCs w:val="32"/>
          <w:lang w:val="en-US" w:eastAsia="zh-CN"/>
        </w:rPr>
        <w:t>单位自评、部门评价和财政评价应职责明确，各有侧重，相互衔接。单位自评应由项目单位自主实施，即“谁支出、谁自评”。部门评价和财政评价应在单位自评的基础上开展，必要时可委托第三方机构实施。</w:t>
      </w:r>
    </w:p>
    <w:p>
      <w:pPr>
        <w:pStyle w:val="7"/>
        <w:spacing w:line="560" w:lineRule="exact"/>
        <w:ind w:firstLine="643" w:firstLineChars="200"/>
        <w:rPr>
          <w:rFonts w:ascii="仿宋_GB2312" w:hAnsi="仿宋_GB2312" w:eastAsia="仿宋_GB2312" w:cs="仿宋_GB2312"/>
          <w:sz w:val="32"/>
          <w:szCs w:val="32"/>
          <w:lang w:val="en-US" w:eastAsia="zh-CN"/>
        </w:rPr>
      </w:pPr>
      <w:r>
        <w:rPr>
          <w:rFonts w:hint="eastAsia" w:ascii="仿宋_GB2312" w:hAnsi="Times New Roman" w:eastAsia="仿宋_GB2312" w:cs="Times New Roman"/>
          <w:b/>
          <w:bCs/>
          <w:color w:val="auto"/>
          <w:kern w:val="2"/>
          <w:sz w:val="32"/>
          <w:szCs w:val="32"/>
          <w:lang w:val="en-US" w:eastAsia="zh-CN" w:bidi="ar-SA"/>
        </w:rPr>
        <w:t>3.激励约束。</w:t>
      </w:r>
      <w:r>
        <w:rPr>
          <w:rFonts w:hint="eastAsia" w:ascii="仿宋_GB2312" w:hAnsi="仿宋_GB2312" w:eastAsia="仿宋_GB2312" w:cs="仿宋_GB2312"/>
          <w:sz w:val="32"/>
          <w:szCs w:val="32"/>
          <w:lang w:val="en-US" w:eastAsia="zh-CN"/>
        </w:rPr>
        <w:t>绩效评价结果应与预算安排、政策调整、改进管理实质性挂钩，体现奖优罚劣和激励相容导向，有效要安排、低效要压减、无效要问责。</w:t>
      </w:r>
    </w:p>
    <w:p>
      <w:pPr>
        <w:pStyle w:val="7"/>
        <w:spacing w:line="560" w:lineRule="exact"/>
        <w:ind w:firstLine="643" w:firstLineChars="200"/>
        <w:rPr>
          <w:rFonts w:ascii="仿宋_GB2312" w:hAnsi="仿宋_GB2312" w:eastAsia="仿宋_GB2312" w:cs="仿宋_GB2312"/>
          <w:sz w:val="32"/>
          <w:szCs w:val="32"/>
          <w:lang w:val="en-US" w:eastAsia="zh-CN"/>
        </w:rPr>
      </w:pPr>
      <w:r>
        <w:rPr>
          <w:rFonts w:hint="eastAsia" w:ascii="仿宋_GB2312" w:hAnsi="Times New Roman" w:eastAsia="仿宋_GB2312" w:cs="Times New Roman"/>
          <w:b/>
          <w:bCs/>
          <w:color w:val="auto"/>
          <w:kern w:val="2"/>
          <w:sz w:val="32"/>
          <w:szCs w:val="32"/>
          <w:lang w:val="en-US" w:eastAsia="zh-CN" w:bidi="ar-SA"/>
        </w:rPr>
        <w:t>4.公开透明。</w:t>
      </w:r>
      <w:r>
        <w:rPr>
          <w:rFonts w:hint="eastAsia" w:ascii="仿宋_GB2312" w:hAnsi="仿宋_GB2312" w:eastAsia="仿宋_GB2312" w:cs="仿宋_GB2312"/>
          <w:sz w:val="32"/>
          <w:szCs w:val="32"/>
          <w:lang w:val="en-US" w:eastAsia="zh-CN"/>
        </w:rPr>
        <w:t>绩效评价结果应依法依规公开，并自觉接受社会监督。</w:t>
      </w:r>
    </w:p>
    <w:p>
      <w:pPr>
        <w:pStyle w:val="7"/>
        <w:spacing w:line="560" w:lineRule="exact"/>
        <w:ind w:firstLine="640" w:firstLineChars="200"/>
        <w:rPr>
          <w:rFonts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评价方法：</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1.比较法。</w:t>
      </w:r>
      <w:r>
        <w:rPr>
          <w:rFonts w:hint="eastAsia" w:ascii="仿宋_GB2312" w:eastAsia="仿宋_GB2312"/>
          <w:sz w:val="32"/>
          <w:szCs w:val="32"/>
        </w:rPr>
        <w:t>通过对社保专项核查经费项目年初绩效目标与实施效果与当期情况做比较，综合分析该项目绩效目标实现程度。</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2.因素分析法。</w:t>
      </w:r>
      <w:r>
        <w:rPr>
          <w:rFonts w:hint="eastAsia" w:ascii="仿宋_GB2312" w:eastAsia="仿宋_GB2312"/>
          <w:sz w:val="32"/>
          <w:szCs w:val="32"/>
        </w:rPr>
        <w:t>通过综合分析影响绩效目标实现、实施效果的因素，评价该项目绩效目标实现程度。</w:t>
      </w:r>
    </w:p>
    <w:p>
      <w:pPr>
        <w:pStyle w:val="7"/>
        <w:spacing w:line="560" w:lineRule="exact"/>
        <w:ind w:firstLine="640" w:firstLineChars="200"/>
        <w:rPr>
          <w:rFonts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评价标准：</w:t>
      </w:r>
    </w:p>
    <w:p>
      <w:pPr>
        <w:pStyle w:val="7"/>
        <w:spacing w:line="560" w:lineRule="exact"/>
        <w:ind w:firstLine="640" w:firstLineChars="200"/>
        <w:rPr>
          <w:rFonts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采用计划标准，以预先制定的目标、计划、预算、定额等作为评价标准。</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（三）绩效评价工作过程。</w:t>
      </w:r>
    </w:p>
    <w:p>
      <w:pPr>
        <w:pStyle w:val="4"/>
        <w:widowControl/>
        <w:shd w:val="clear" w:color="auto" w:fill="FFFFFF"/>
        <w:spacing w:beforeAutospacing="0" w:afterAutospacing="0" w:line="520" w:lineRule="atLeast"/>
        <w:ind w:firstLine="600"/>
        <w:jc w:val="both"/>
        <w:rPr>
          <w:rFonts w:ascii="仿宋_GB2312" w:eastAsia="仿宋_GB2312"/>
          <w:kern w:val="2"/>
          <w:sz w:val="32"/>
          <w:szCs w:val="32"/>
        </w:rPr>
      </w:pPr>
      <w:r>
        <w:rPr>
          <w:rFonts w:hint="eastAsia" w:ascii="仿宋_GB2312" w:eastAsia="仿宋_GB2312"/>
          <w:kern w:val="2"/>
          <w:sz w:val="32"/>
          <w:szCs w:val="32"/>
        </w:rPr>
        <w:t>1.前期准备。按照乐亭县财政局《关于开展2021年财政支出项目绩效部门自评工作的通知》（乐财预〔2022〕2号）要求，我中心高度重视，迅速安排部署，成立评价工作小组对该项工作进行督导检查。</w:t>
      </w:r>
    </w:p>
    <w:p>
      <w:pPr>
        <w:pStyle w:val="4"/>
        <w:widowControl/>
        <w:shd w:val="clear" w:color="auto" w:fill="FFFFFF"/>
        <w:spacing w:beforeAutospacing="0" w:afterAutospacing="0" w:line="520" w:lineRule="atLeast"/>
        <w:ind w:firstLine="600"/>
        <w:jc w:val="both"/>
        <w:rPr>
          <w:rFonts w:ascii="仿宋_GB2312" w:eastAsia="仿宋_GB2312"/>
          <w:kern w:val="2"/>
          <w:sz w:val="32"/>
          <w:szCs w:val="32"/>
        </w:rPr>
      </w:pPr>
      <w:r>
        <w:rPr>
          <w:rFonts w:hint="eastAsia" w:ascii="仿宋_GB2312" w:eastAsia="仿宋_GB2312"/>
          <w:kern w:val="2"/>
          <w:sz w:val="32"/>
          <w:szCs w:val="32"/>
        </w:rPr>
        <w:t>2.组织实施。2月末，我中心安排部署评价工作，要求各相关业务科室对分管的项目认真组织、开展绩效自评工作。要求本着实事求是的原则，客观评价，认真填写。</w:t>
      </w:r>
    </w:p>
    <w:p>
      <w:pPr>
        <w:pStyle w:val="4"/>
        <w:widowControl/>
        <w:shd w:val="clear" w:color="auto" w:fill="FFFFFF"/>
        <w:spacing w:beforeAutospacing="0" w:afterAutospacing="0" w:line="520" w:lineRule="atLeast"/>
        <w:ind w:firstLine="600"/>
        <w:jc w:val="both"/>
        <w:rPr>
          <w:rFonts w:ascii="仿宋_GB2312" w:eastAsia="仿宋_GB2312"/>
          <w:kern w:val="2"/>
          <w:sz w:val="32"/>
          <w:szCs w:val="32"/>
        </w:rPr>
      </w:pPr>
      <w:r>
        <w:rPr>
          <w:rFonts w:hint="eastAsia" w:ascii="仿宋_GB2312" w:eastAsia="仿宋_GB2312"/>
          <w:kern w:val="2"/>
          <w:sz w:val="32"/>
          <w:szCs w:val="32"/>
        </w:rPr>
        <w:t>3.分析评价。一是合理设置评价指标体系。从决策、过程、产出、效益四个方面对项目支出总体实施成效情况进行评价。二是采取定性描述和定量分析的方法，对各项规划编制进行单一评价，评价组对自评表相关数据进行分析，对资金的投入与产出的效果进行对比，得出项目实施绩效结论。</w:t>
      </w:r>
    </w:p>
    <w:p>
      <w:pPr>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三、综合评价情况及评价结论</w:t>
      </w:r>
    </w:p>
    <w:p>
      <w:pPr>
        <w:spacing w:line="60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我中心本着实事求是的原则，按照既定的评价指标和评级方法，从决策、过程、产出、效益四方面对社保专项核查经费项目进行绩效评价，最终确定绩效评价评价得分98分。</w:t>
      </w:r>
    </w:p>
    <w:p>
      <w:pPr>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四、绩效评价指标分析</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（一）项目决策情况。</w:t>
      </w:r>
    </w:p>
    <w:p>
      <w:pPr>
        <w:spacing w:line="600" w:lineRule="exact"/>
        <w:ind w:firstLine="640" w:firstLineChars="200"/>
        <w:outlineLvl w:val="0"/>
        <w:rPr>
          <w:rFonts w:ascii="仿宋_GB2312" w:hAnsi="Times New Roman" w:eastAsia="仿宋_GB2312"/>
          <w:kern w:val="0"/>
          <w:sz w:val="32"/>
          <w:szCs w:val="32"/>
        </w:rPr>
      </w:pPr>
      <w:r>
        <w:rPr>
          <w:rFonts w:hint="eastAsia" w:ascii="仿宋_GB2312" w:hAnsi="Times New Roman" w:eastAsia="仿宋_GB2312"/>
          <w:kern w:val="0"/>
          <w:sz w:val="32"/>
          <w:szCs w:val="32"/>
        </w:rPr>
        <w:t>1.项目立项</w:t>
      </w:r>
    </w:p>
    <w:p>
      <w:pPr>
        <w:spacing w:line="600" w:lineRule="exact"/>
        <w:ind w:firstLine="640" w:firstLineChars="200"/>
        <w:outlineLvl w:val="0"/>
        <w:rPr>
          <w:rFonts w:ascii="仿宋_GB2312" w:hAnsi="Times New Roman" w:eastAsia="仿宋_GB2312"/>
          <w:kern w:val="0"/>
          <w:sz w:val="32"/>
          <w:szCs w:val="32"/>
        </w:rPr>
      </w:pPr>
      <w:r>
        <w:rPr>
          <w:rFonts w:hint="eastAsia" w:ascii="仿宋_GB2312" w:hAnsi="Times New Roman" w:eastAsia="仿宋_GB2312"/>
          <w:kern w:val="0"/>
          <w:sz w:val="32"/>
          <w:szCs w:val="32"/>
        </w:rPr>
        <w:t>项目立项依据充分，符合国家法律法规、政策要求，项目立项与部门职责范围相符，属于部门履职所需，项目与相关部门同类项目或部门内部相关项目不重复。项目申请、设立过程符合要求，事前经过了可行性研究和绩效评估。</w:t>
      </w:r>
    </w:p>
    <w:p>
      <w:pPr>
        <w:pStyle w:val="7"/>
        <w:spacing w:line="56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2.绩效目标</w:t>
      </w:r>
    </w:p>
    <w:p>
      <w:pPr>
        <w:spacing w:line="600" w:lineRule="exact"/>
        <w:ind w:firstLine="640" w:firstLineChars="200"/>
        <w:outlineLvl w:val="0"/>
        <w:rPr>
          <w:rFonts w:ascii="仿宋_GB2312" w:hAnsi="Times New Roman" w:eastAsia="仿宋_GB2312"/>
          <w:kern w:val="0"/>
          <w:sz w:val="32"/>
          <w:szCs w:val="32"/>
        </w:rPr>
      </w:pPr>
      <w:r>
        <w:rPr>
          <w:rFonts w:hint="eastAsia" w:ascii="仿宋_GB2312" w:hAnsi="Times New Roman" w:eastAsia="仿宋_GB2312"/>
          <w:kern w:val="0"/>
          <w:sz w:val="32"/>
          <w:szCs w:val="32"/>
        </w:rPr>
        <w:t>项目设置了绩效目标，绩效目标与实际工作内容相关，预期产出效益和效果符合正常的业绩水平，绩效目标与预算确定的项目资金量相匹配。</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（二）项目过程情况。</w:t>
      </w:r>
    </w:p>
    <w:p>
      <w:pPr>
        <w:pStyle w:val="7"/>
        <w:spacing w:line="560" w:lineRule="exact"/>
        <w:ind w:firstLine="640" w:firstLineChars="200"/>
        <w:rPr>
          <w:rFonts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1.资金管理</w:t>
      </w:r>
    </w:p>
    <w:p>
      <w:pPr>
        <w:pStyle w:val="7"/>
        <w:spacing w:line="560" w:lineRule="exact"/>
        <w:ind w:firstLine="640" w:firstLineChars="200"/>
        <w:rPr>
          <w:rFonts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预算安排10万元，实际到位10万元，资金到位率100%，截至2021年末，项目资金支出10万元，预算执行率100%。项目资金使用严格执行财务制度，资金的拨付有完整的审批程序和手续，资金支付符合项目预算批复规定的用途，不存在截留、挤占、挪用、虚列支出等情况。</w:t>
      </w:r>
    </w:p>
    <w:p>
      <w:pPr>
        <w:pStyle w:val="7"/>
        <w:spacing w:line="560" w:lineRule="exact"/>
        <w:ind w:firstLine="640" w:firstLineChars="200"/>
        <w:rPr>
          <w:rFonts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2.组织实施</w:t>
      </w:r>
    </w:p>
    <w:p>
      <w:pPr>
        <w:pStyle w:val="7"/>
        <w:spacing w:line="560" w:lineRule="exact"/>
        <w:ind w:firstLine="640" w:firstLineChars="200"/>
        <w:rPr>
          <w:rFonts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项目有相应财务和业务管理制度，制度合法、合规、完整。项目实施遵守法律法规和相关管理规定，项目支付资料齐全并及时归档。</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（三）项目产出情况。</w:t>
      </w:r>
    </w:p>
    <w:p>
      <w:pPr>
        <w:pStyle w:val="7"/>
        <w:spacing w:line="560" w:lineRule="exact"/>
        <w:ind w:firstLine="643" w:firstLineChars="200"/>
        <w:rPr>
          <w:rFonts w:ascii="仿宋_GB2312" w:hAnsi="仿宋_GB2312" w:eastAsia="仿宋_GB2312" w:cs="仿宋_GB2312"/>
          <w:sz w:val="32"/>
          <w:szCs w:val="32"/>
          <w:lang w:val="en-US" w:eastAsia="zh-CN"/>
        </w:rPr>
      </w:pPr>
      <w:r>
        <w:rPr>
          <w:rFonts w:hint="eastAsia" w:ascii="仿宋_GB2312" w:eastAsia="仿宋_GB2312"/>
          <w:b/>
          <w:bCs/>
          <w:sz w:val="32"/>
          <w:szCs w:val="32"/>
          <w:lang w:val="en-US" w:eastAsia="zh-CN"/>
        </w:rPr>
        <w:t>1.数量指标</w:t>
      </w:r>
      <w:r>
        <w:rPr>
          <w:rFonts w:hint="eastAsia" w:ascii="仿宋_GB2312" w:eastAsia="仿宋_GB2312"/>
          <w:sz w:val="32"/>
          <w:szCs w:val="32"/>
          <w:lang w:val="en-US" w:eastAsia="zh-CN"/>
        </w:rPr>
        <w:t>：</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rPr>
        <w:t>年对参保企业稽核所需安排工作人员</w:t>
      </w:r>
      <w:r>
        <w:rPr>
          <w:rFonts w:hint="eastAsia" w:ascii="仿宋_GB2312" w:hAnsi="仿宋_GB2312" w:eastAsia="仿宋_GB2312" w:cs="仿宋_GB2312"/>
          <w:sz w:val="32"/>
          <w:szCs w:val="32"/>
          <w:lang w:val="en-US" w:eastAsia="zh-CN"/>
        </w:rPr>
        <w:t>150</w:t>
      </w:r>
      <w:r>
        <w:rPr>
          <w:rFonts w:hint="eastAsia" w:ascii="仿宋_GB2312" w:hAnsi="仿宋_GB2312" w:eastAsia="仿宋_GB2312" w:cs="仿宋_GB2312"/>
          <w:sz w:val="32"/>
          <w:szCs w:val="32"/>
        </w:rPr>
        <w:t>人次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完成了年初设定的项目目标。</w:t>
      </w:r>
    </w:p>
    <w:p>
      <w:pPr>
        <w:pStyle w:val="7"/>
        <w:spacing w:line="560" w:lineRule="exact"/>
        <w:ind w:firstLine="643" w:firstLineChars="200"/>
        <w:rPr>
          <w:rFonts w:ascii="仿宋_GB2312" w:hAnsi="仿宋_GB2312" w:eastAsia="仿宋_GB2312" w:cs="仿宋_GB2312"/>
          <w:sz w:val="32"/>
          <w:szCs w:val="32"/>
          <w:lang w:val="en-US"/>
        </w:rPr>
      </w:pPr>
      <w:r>
        <w:rPr>
          <w:rFonts w:hint="eastAsia" w:ascii="仿宋_GB2312" w:eastAsia="仿宋_GB2312"/>
          <w:b/>
          <w:bCs/>
          <w:sz w:val="32"/>
          <w:szCs w:val="32"/>
          <w:lang w:val="en-US" w:eastAsia="zh-CN"/>
        </w:rPr>
        <w:t>2.质量指标</w:t>
      </w:r>
      <w:r>
        <w:rPr>
          <w:rFonts w:hint="eastAsia" w:ascii="仿宋_GB2312" w:eastAsia="仿宋_GB2312"/>
          <w:sz w:val="32"/>
          <w:szCs w:val="32"/>
          <w:lang w:val="en-US" w:eastAsia="zh-CN"/>
        </w:rPr>
        <w:t>：</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rPr>
        <w:t>年我</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对</w:t>
      </w:r>
      <w:r>
        <w:rPr>
          <w:rFonts w:hint="eastAsia" w:ascii="仿宋_GB2312" w:hAnsi="仿宋_GB2312" w:eastAsia="仿宋_GB2312" w:cs="仿宋_GB2312"/>
          <w:sz w:val="32"/>
          <w:szCs w:val="32"/>
          <w:lang w:eastAsia="zh-CN"/>
        </w:rPr>
        <w:t>重点</w:t>
      </w:r>
      <w:r>
        <w:rPr>
          <w:rFonts w:hint="eastAsia" w:ascii="仿宋_GB2312" w:hAnsi="仿宋_GB2312" w:eastAsia="仿宋_GB2312" w:cs="仿宋_GB2312"/>
          <w:sz w:val="32"/>
          <w:szCs w:val="32"/>
        </w:rPr>
        <w:t>参保企业</w:t>
      </w:r>
      <w:r>
        <w:rPr>
          <w:rFonts w:hint="eastAsia" w:ascii="仿宋_GB2312" w:hAnsi="仿宋_GB2312" w:eastAsia="仿宋_GB2312" w:cs="仿宋_GB2312"/>
          <w:sz w:val="32"/>
          <w:szCs w:val="32"/>
          <w:lang w:eastAsia="zh-CN"/>
        </w:rPr>
        <w:t>核查</w:t>
      </w:r>
      <w:r>
        <w:rPr>
          <w:rFonts w:hint="eastAsia" w:ascii="仿宋_GB2312" w:hAnsi="仿宋_GB2312" w:eastAsia="仿宋_GB2312" w:cs="仿宋_GB2312"/>
          <w:sz w:val="32"/>
          <w:szCs w:val="32"/>
        </w:rPr>
        <w:t>覆盖率</w:t>
      </w:r>
      <w:r>
        <w:rPr>
          <w:rFonts w:hint="eastAsia" w:ascii="仿宋_GB2312" w:hAnsi="仿宋_GB2312" w:eastAsia="仿宋_GB2312" w:cs="仿宋_GB2312"/>
          <w:sz w:val="32"/>
          <w:szCs w:val="32"/>
          <w:lang w:val="en-US" w:eastAsia="zh-CN"/>
        </w:rPr>
        <w:t>为99%，稽核所需费用均按时支付。按照项目的原定计划实施。</w:t>
      </w:r>
    </w:p>
    <w:p>
      <w:pPr>
        <w:pStyle w:val="7"/>
        <w:spacing w:line="560" w:lineRule="exact"/>
        <w:ind w:firstLine="643" w:firstLineChars="200"/>
        <w:rPr>
          <w:rFonts w:ascii="仿宋_GB2312" w:hAnsi="仿宋_GB2312" w:eastAsia="仿宋_GB2312" w:cs="仿宋_GB2312"/>
          <w:sz w:val="32"/>
          <w:szCs w:val="32"/>
        </w:rPr>
      </w:pPr>
      <w:r>
        <w:rPr>
          <w:rFonts w:hint="eastAsia" w:ascii="仿宋_GB2312" w:eastAsia="仿宋_GB2312"/>
          <w:b/>
          <w:bCs/>
          <w:sz w:val="32"/>
          <w:szCs w:val="32"/>
          <w:lang w:val="en-US" w:eastAsia="zh-CN"/>
        </w:rPr>
        <w:t>3.时效指标</w:t>
      </w:r>
      <w:r>
        <w:rPr>
          <w:rFonts w:hint="eastAsia" w:ascii="仿宋_GB2312" w:eastAsia="仿宋_GB2312"/>
          <w:sz w:val="32"/>
          <w:szCs w:val="32"/>
          <w:lang w:val="en-US" w:eastAsia="zh-CN"/>
        </w:rPr>
        <w:t>：</w:t>
      </w:r>
      <w:r>
        <w:rPr>
          <w:rFonts w:hint="eastAsia" w:ascii="仿宋_GB2312" w:hAnsi="仿宋_GB2312" w:eastAsia="仿宋_GB2312" w:cs="仿宋_GB2312"/>
          <w:sz w:val="32"/>
          <w:szCs w:val="32"/>
          <w:lang w:eastAsia="zh-CN"/>
        </w:rPr>
        <w:t>每月按时核查，</w:t>
      </w:r>
      <w:r>
        <w:rPr>
          <w:rFonts w:hint="eastAsia" w:ascii="仿宋_GB2312" w:hAnsi="仿宋_GB2312" w:eastAsia="仿宋_GB2312" w:cs="仿宋_GB2312"/>
          <w:sz w:val="32"/>
          <w:szCs w:val="32"/>
        </w:rPr>
        <w:t>项目资金均已经按时拨付到位。</w:t>
      </w:r>
      <w:r>
        <w:rPr>
          <w:rFonts w:hint="eastAsia" w:ascii="仿宋_GB2312" w:hAnsi="仿宋_GB2312" w:eastAsia="仿宋_GB2312" w:cs="仿宋_GB2312"/>
          <w:sz w:val="32"/>
          <w:szCs w:val="32"/>
          <w:lang w:val="en-US" w:eastAsia="zh-CN"/>
        </w:rPr>
        <w:t>项目按期完成。</w:t>
      </w:r>
    </w:p>
    <w:p>
      <w:pPr>
        <w:pStyle w:val="7"/>
        <w:spacing w:line="560" w:lineRule="exact"/>
        <w:ind w:firstLine="643" w:firstLineChars="200"/>
        <w:rPr>
          <w:rFonts w:ascii="仿宋_GB2312" w:hAnsi="仿宋_GB2312" w:eastAsia="仿宋_GB2312" w:cs="仿宋_GB2312"/>
          <w:sz w:val="32"/>
          <w:szCs w:val="32"/>
        </w:rPr>
      </w:pPr>
      <w:r>
        <w:rPr>
          <w:rFonts w:hint="eastAsia" w:ascii="仿宋_GB2312" w:eastAsia="仿宋_GB2312"/>
          <w:b/>
          <w:bCs/>
          <w:sz w:val="32"/>
          <w:szCs w:val="32"/>
          <w:lang w:val="en-US" w:eastAsia="zh-CN"/>
        </w:rPr>
        <w:t>4.成本指标。</w:t>
      </w:r>
      <w:r>
        <w:rPr>
          <w:rFonts w:hint="eastAsia" w:ascii="仿宋_GB2312" w:hAnsi="仿宋_GB2312" w:eastAsia="仿宋_GB2312" w:cs="仿宋_GB2312"/>
          <w:sz w:val="32"/>
          <w:szCs w:val="32"/>
        </w:rPr>
        <w:t>各项</w:t>
      </w:r>
      <w:r>
        <w:rPr>
          <w:rFonts w:hint="eastAsia" w:ascii="仿宋_GB2312" w:hAnsi="仿宋_GB2312" w:eastAsia="仿宋_GB2312" w:cs="仿宋_GB2312"/>
          <w:sz w:val="32"/>
          <w:szCs w:val="32"/>
          <w:lang w:val="en-US" w:eastAsia="zh-CN"/>
        </w:rPr>
        <w:t>稽核费用</w:t>
      </w:r>
      <w:r>
        <w:rPr>
          <w:rFonts w:hint="eastAsia" w:ascii="仿宋_GB2312" w:hAnsi="仿宋_GB2312" w:eastAsia="仿宋_GB2312" w:cs="仿宋_GB2312"/>
          <w:sz w:val="32"/>
          <w:szCs w:val="32"/>
        </w:rPr>
        <w:t>100%完成支付，确保</w:t>
      </w:r>
      <w:r>
        <w:rPr>
          <w:rFonts w:hint="eastAsia" w:ascii="仿宋_GB2312" w:hAnsi="仿宋_GB2312" w:eastAsia="仿宋_GB2312" w:cs="仿宋_GB2312"/>
          <w:sz w:val="32"/>
          <w:szCs w:val="32"/>
          <w:lang w:val="en-US" w:eastAsia="zh-CN"/>
        </w:rPr>
        <w:t>稽核</w:t>
      </w:r>
      <w:r>
        <w:rPr>
          <w:rFonts w:hint="eastAsia" w:ascii="仿宋_GB2312" w:hAnsi="仿宋_GB2312" w:eastAsia="仿宋_GB2312" w:cs="仿宋_GB2312"/>
          <w:sz w:val="32"/>
          <w:szCs w:val="32"/>
        </w:rPr>
        <w:t>及时</w:t>
      </w:r>
      <w:r>
        <w:rPr>
          <w:rFonts w:hint="eastAsia" w:ascii="仿宋_GB2312" w:hAnsi="仿宋_GB2312" w:eastAsia="仿宋_GB2312" w:cs="仿宋_GB2312"/>
          <w:sz w:val="32"/>
          <w:szCs w:val="32"/>
          <w:lang w:val="en-US" w:eastAsia="zh-CN"/>
        </w:rPr>
        <w:t>全面，切实保障基金安全，维护广大群众利益</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项目按期完成。</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（四）项目效益情况。</w:t>
      </w:r>
    </w:p>
    <w:p>
      <w:pPr>
        <w:pStyle w:val="7"/>
        <w:spacing w:line="560" w:lineRule="exact"/>
        <w:ind w:firstLine="643" w:firstLineChars="200"/>
        <w:rPr>
          <w:rFonts w:ascii="仿宋_GB2312" w:hAnsi="仿宋_GB2312" w:eastAsia="仿宋_GB2312" w:cs="仿宋_GB2312"/>
          <w:sz w:val="32"/>
          <w:szCs w:val="32"/>
          <w:lang w:val="en-US" w:eastAsia="zh-CN"/>
        </w:rPr>
      </w:pPr>
      <w:r>
        <w:rPr>
          <w:rFonts w:hint="eastAsia" w:ascii="仿宋_GB2312" w:hAnsi="Times New Roman" w:eastAsia="仿宋_GB2312" w:cs="Times New Roman"/>
          <w:b/>
          <w:bCs/>
          <w:sz w:val="32"/>
          <w:szCs w:val="32"/>
          <w:lang w:val="en-US" w:eastAsia="zh-CN"/>
        </w:rPr>
        <w:t>1.</w:t>
      </w:r>
      <w:r>
        <w:rPr>
          <w:rFonts w:hint="eastAsia" w:ascii="仿宋_GB2312" w:hAnsi="Times New Roman" w:eastAsia="仿宋_GB2312"/>
          <w:b/>
          <w:bCs/>
          <w:sz w:val="32"/>
          <w:szCs w:val="32"/>
        </w:rPr>
        <w:t>经济效益：</w:t>
      </w:r>
      <w:r>
        <w:rPr>
          <w:rFonts w:hint="eastAsia" w:ascii="仿宋_GB2312" w:hAnsi="仿宋_GB2312" w:eastAsia="仿宋_GB2312" w:cs="仿宋_GB2312"/>
          <w:sz w:val="32"/>
          <w:szCs w:val="32"/>
          <w:lang w:val="en-US" w:eastAsia="zh-CN"/>
        </w:rPr>
        <w:t>社保专项核查经费</w:t>
      </w:r>
      <w:r>
        <w:rPr>
          <w:rFonts w:hint="eastAsia" w:ascii="仿宋_GB2312" w:hAnsi="仿宋_GB2312" w:eastAsia="仿宋_GB2312" w:cs="仿宋_GB2312"/>
          <w:sz w:val="32"/>
          <w:szCs w:val="32"/>
        </w:rPr>
        <w:t>的有效使用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保障了基金安全，打击了欺诈骗保行为。</w:t>
      </w:r>
      <w:r>
        <w:rPr>
          <w:rFonts w:hint="eastAsia" w:ascii="仿宋_GB2312" w:hAnsi="仿宋_GB2312" w:eastAsia="仿宋_GB2312" w:cs="仿宋_GB2312"/>
          <w:sz w:val="32"/>
          <w:szCs w:val="32"/>
        </w:rPr>
        <w:t>减轻了</w:t>
      </w:r>
      <w:r>
        <w:rPr>
          <w:rFonts w:hint="eastAsia" w:ascii="仿宋_GB2312" w:hAnsi="仿宋_GB2312" w:eastAsia="仿宋_GB2312" w:cs="仿宋_GB2312"/>
          <w:sz w:val="32"/>
          <w:szCs w:val="32"/>
          <w:lang w:val="en-US" w:eastAsia="zh-CN"/>
        </w:rPr>
        <w:t>社保基金</w:t>
      </w:r>
      <w:r>
        <w:rPr>
          <w:rFonts w:hint="eastAsia" w:ascii="仿宋_GB2312" w:hAnsi="仿宋_GB2312" w:eastAsia="仿宋_GB2312" w:cs="仿宋_GB2312"/>
          <w:sz w:val="32"/>
          <w:szCs w:val="32"/>
        </w:rPr>
        <w:t>经济</w:t>
      </w:r>
      <w:r>
        <w:rPr>
          <w:rFonts w:hint="eastAsia" w:ascii="仿宋_GB2312" w:hAnsi="仿宋_GB2312" w:eastAsia="仿宋_GB2312" w:cs="仿宋_GB2312"/>
          <w:sz w:val="32"/>
          <w:szCs w:val="32"/>
          <w:lang w:val="en-US" w:eastAsia="zh-CN"/>
        </w:rPr>
        <w:t>压力</w:t>
      </w:r>
      <w:r>
        <w:rPr>
          <w:rFonts w:hint="eastAsia" w:ascii="仿宋_GB2312" w:hAnsi="仿宋_GB2312" w:eastAsia="仿宋_GB2312" w:cs="仿宋_GB2312"/>
          <w:sz w:val="32"/>
          <w:szCs w:val="32"/>
        </w:rPr>
        <w:t>。</w:t>
      </w:r>
    </w:p>
    <w:p>
      <w:pPr>
        <w:pStyle w:val="7"/>
        <w:spacing w:line="560" w:lineRule="exact"/>
        <w:ind w:firstLine="643" w:firstLineChars="200"/>
        <w:rPr>
          <w:rFonts w:ascii="仿宋_GB2312" w:hAnsi="仿宋_GB2312" w:eastAsia="仿宋_GB2312" w:cs="仿宋_GB2312"/>
          <w:sz w:val="32"/>
          <w:szCs w:val="32"/>
          <w:lang w:eastAsia="zh-CN"/>
        </w:rPr>
      </w:pPr>
      <w:r>
        <w:rPr>
          <w:rFonts w:hint="eastAsia" w:ascii="仿宋_GB2312" w:hAnsi="Times New Roman" w:eastAsia="仿宋_GB2312" w:cs="Times New Roman"/>
          <w:b/>
          <w:bCs/>
          <w:color w:val="auto"/>
          <w:kern w:val="2"/>
          <w:sz w:val="32"/>
          <w:szCs w:val="32"/>
          <w:lang w:val="en-US" w:eastAsia="zh-CN" w:bidi="ar-SA"/>
        </w:rPr>
        <w:t>2.社会效益：</w:t>
      </w:r>
      <w:r>
        <w:rPr>
          <w:rFonts w:hint="eastAsia" w:ascii="仿宋_GB2312" w:hAnsi="仿宋_GB2312" w:eastAsia="仿宋_GB2312" w:cs="仿宋_GB2312"/>
          <w:sz w:val="32"/>
          <w:szCs w:val="32"/>
          <w:lang w:eastAsia="zh-CN"/>
        </w:rPr>
        <w:t>对企业进行扩面征缴，使单位职工更充分享有社会保障。</w:t>
      </w:r>
    </w:p>
    <w:p>
      <w:pPr>
        <w:pStyle w:val="7"/>
        <w:spacing w:line="560" w:lineRule="exact"/>
        <w:ind w:firstLine="643" w:firstLineChars="200"/>
        <w:rPr>
          <w:rFonts w:ascii="仿宋_GB2312" w:hAnsi="仿宋_GB2312" w:eastAsia="仿宋_GB2312" w:cs="仿宋_GB2312"/>
          <w:sz w:val="32"/>
          <w:szCs w:val="32"/>
          <w:lang w:val="en-US" w:eastAsia="zh-CN"/>
        </w:rPr>
      </w:pPr>
      <w:r>
        <w:rPr>
          <w:rFonts w:hint="eastAsia" w:ascii="仿宋_GB2312" w:hAnsi="Times New Roman" w:eastAsia="仿宋_GB2312" w:cs="Times New Roman"/>
          <w:b/>
          <w:bCs/>
          <w:color w:val="auto"/>
          <w:kern w:val="2"/>
          <w:sz w:val="32"/>
          <w:szCs w:val="32"/>
          <w:lang w:val="en-US" w:eastAsia="zh-CN" w:bidi="ar-SA"/>
        </w:rPr>
        <w:t>3.可持续影响：</w:t>
      </w:r>
      <w:r>
        <w:rPr>
          <w:rFonts w:hint="eastAsia" w:ascii="仿宋_GB2312" w:hAnsi="仿宋_GB2312" w:eastAsia="仿宋_GB2312" w:cs="仿宋_GB2312"/>
          <w:sz w:val="32"/>
          <w:szCs w:val="32"/>
          <w:lang w:val="en-US" w:eastAsia="zh-CN"/>
        </w:rPr>
        <w:t>对企业进行扩面、宣传、稽核，保障参保人员享受各项保险待遇，资金使用合理。通过电子宣传屏、镇乡村宣传公开栏等各种宣传媒介开展宣传，做到了打击欺诈骗保政策公开及时、知晓率显著提升。</w:t>
      </w:r>
    </w:p>
    <w:p>
      <w:pPr>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五、主要经验及做法、存在的问题及原因分析</w:t>
      </w:r>
    </w:p>
    <w:p>
      <w:pPr>
        <w:spacing w:line="600" w:lineRule="exact"/>
        <w:ind w:firstLine="640" w:firstLineChars="200"/>
        <w:outlineLvl w:val="0"/>
        <w:rPr>
          <w:rFonts w:ascii="仿宋_GB2312" w:hAnsi="Times New Roman" w:eastAsia="仿宋_GB2312"/>
          <w:kern w:val="0"/>
          <w:sz w:val="32"/>
          <w:szCs w:val="32"/>
        </w:rPr>
      </w:pPr>
      <w:r>
        <w:rPr>
          <w:rFonts w:hint="eastAsia" w:ascii="仿宋_GB2312" w:hAnsi="Times New Roman" w:eastAsia="仿宋_GB2312"/>
          <w:kern w:val="0"/>
          <w:sz w:val="32"/>
          <w:szCs w:val="32"/>
        </w:rPr>
        <w:t>2021年社保专项核查经费项目实现了年初的年度绩效目标，社保专项核查经费项目专项资金合理运用于社保稽核所需各项费用，保障了社保稽核的顺利进行，打击了欺诈骗保行为，切实维护了广大群众的切身利益，有效保障了社保基金安全，一定程度上促进社会和谐稳定。</w:t>
      </w:r>
    </w:p>
    <w:p>
      <w:pPr>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六、有关建议</w:t>
      </w:r>
    </w:p>
    <w:p>
      <w:pPr>
        <w:spacing w:line="600" w:lineRule="exact"/>
        <w:ind w:firstLine="640" w:firstLineChars="200"/>
        <w:outlineLvl w:val="0"/>
        <w:rPr>
          <w:rFonts w:ascii="仿宋_GB2312" w:hAnsi="Times New Roman" w:eastAsia="仿宋_GB2312"/>
          <w:kern w:val="0"/>
          <w:sz w:val="32"/>
          <w:szCs w:val="32"/>
        </w:rPr>
      </w:pPr>
      <w:r>
        <w:rPr>
          <w:rFonts w:hint="eastAsia" w:ascii="仿宋_GB2312" w:hAnsi="Times New Roman" w:eastAsia="仿宋_GB2312"/>
          <w:kern w:val="0"/>
          <w:sz w:val="32"/>
          <w:szCs w:val="32"/>
        </w:rPr>
        <w:t>我单位将进一步明确项目绩效目标的设置要求，统一细化标准，严格要求各项目分管科室，科学分解项目的具体绩效目标，以更全面、更完整的体现项目的预期实施成效。根据年度项目资金安排，实时把握项目进度，合理预测项目年度资金需求，将项目资金明确到具体项目，实现项目资金单一管理，精准使用。</w:t>
      </w:r>
    </w:p>
    <w:p>
      <w:pPr>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 xml:space="preserve">七、其他需要说明的问题 </w:t>
      </w:r>
    </w:p>
    <w:p>
      <w:r>
        <w:rPr>
          <w:rFonts w:hint="eastAsia" w:ascii="仿宋_GB2312" w:hAnsi="Times New Roman" w:eastAsia="仿宋_GB2312"/>
          <w:kern w:val="0"/>
          <w:sz w:val="32"/>
          <w:szCs w:val="32"/>
        </w:rPr>
        <w:t>为实现绩效目标，我单位将把绩效评价结果及时反馈给各相关科室，提高对绩效管理工作的认识。进一步做好项目实施的跟踪检查工作。定期不定期地对项目实施情况和资金使用情况进行跟踪检查。</w:t>
      </w:r>
    </w:p>
    <w:sectPr>
      <w:footerReference r:id="rId3" w:type="default"/>
      <w:pgSz w:w="11906" w:h="16838"/>
      <w:pgMar w:top="1440" w:right="1800" w:bottom="1440" w:left="1800" w:header="851" w:footer="1587"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ngLiU">
    <w:panose1 w:val="02020509000000000000"/>
    <w:charset w:val="88"/>
    <w:family w:val="modern"/>
    <w:pitch w:val="default"/>
    <w:sig w:usb0="A00002FF" w:usb1="28CFFCFA" w:usb2="00000016" w:usb3="00000000" w:csb0="00100001"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楷体简体">
    <w:altName w:val="宋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Theme="minorEastAsia" w:hAnsiTheme="minorEastAsia" w:eastAsiaTheme="minorEastAsia" w:cstheme="minorEastAsia"/>
        <w:sz w:val="28"/>
        <w:szCs w:val="28"/>
      </w:rPr>
    </w:pPr>
    <w:r>
      <w:rPr>
        <w:sz w:val="28"/>
      </w:rPr>
      <w:pict>
        <v:shape id="_x0000_s1027" o:spid="_x0000_s1027" o:spt="202" type="#_x0000_t202" style="position:absolute;left:0pt;margin-top:0pt;height:144pt;width:144pt;mso-position-horizontal:outside;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2"/>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w:r>
    <w:r>
      <w:rPr>
        <w:rFonts w:asciiTheme="minorEastAsia" w:hAnsiTheme="minorEastAsia" w:eastAsiaTheme="minorEastAsia" w:cstheme="minorEastAsia"/>
        <w:sz w:val="28"/>
        <w:szCs w:val="28"/>
      </w:rPr>
      <w:pict>
        <v:shape id="_x0000_s1026" o:spid="_x0000_s1026" o:spt="202" type="#_x0000_t202" style="position:absolute;left:0pt;margin-top:0.05pt;height:19.6pt;width:23.25pt;mso-position-horizontal:outside;mso-position-horizontal-relative:margin;z-index:251659264;mso-width-relative:page;mso-height-relative:page;" filled="f" stroked="f" coordsize="21600,21600">
          <v:path/>
          <v:fill on="f" focussize="0,0"/>
          <v:stroke on="f" weight="0.5pt"/>
          <v:imagedata o:title=""/>
          <o:lock v:ext="edit" aspectratio="f"/>
          <v:textbox inset="0mm,0mm,0mm,0mm">
            <w:txbxContent>
              <w:p>
                <w:pPr>
                  <w:pStyle w:val="2"/>
                </w:pP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040E54"/>
    <w:rsid w:val="000136F7"/>
    <w:rsid w:val="00040E54"/>
    <w:rsid w:val="0017449F"/>
    <w:rsid w:val="009049A1"/>
    <w:rsid w:val="2A7317D3"/>
    <w:rsid w:val="7A6946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Autospacing="1" w:afterAutospacing="1"/>
      <w:jc w:val="left"/>
    </w:pPr>
    <w:rPr>
      <w:rFonts w:ascii="Times New Roman" w:hAnsi="Times New Roman"/>
      <w:kern w:val="0"/>
      <w:sz w:val="24"/>
      <w:szCs w:val="24"/>
    </w:rPr>
  </w:style>
  <w:style w:type="paragraph" w:customStyle="1" w:styleId="7">
    <w:name w:val="Body text|1"/>
    <w:basedOn w:val="1"/>
    <w:qFormat/>
    <w:uiPriority w:val="0"/>
    <w:pPr>
      <w:spacing w:line="442" w:lineRule="auto"/>
      <w:ind w:firstLine="400"/>
      <w:jc w:val="left"/>
    </w:pPr>
    <w:rPr>
      <w:rFonts w:ascii="MingLiU" w:hAnsi="MingLiU" w:eastAsia="MingLiU" w:cs="MingLiU"/>
      <w:color w:val="000000"/>
      <w:kern w:val="0"/>
      <w:sz w:val="19"/>
      <w:szCs w:val="19"/>
      <w:lang w:val="zh-TW" w:eastAsia="zh-TW" w:bidi="zh-TW"/>
    </w:rPr>
  </w:style>
  <w:style w:type="paragraph" w:customStyle="1" w:styleId="8">
    <w:name w:val="Header or footer|1"/>
    <w:basedOn w:val="1"/>
    <w:qFormat/>
    <w:uiPriority w:val="0"/>
    <w:pPr>
      <w:jc w:val="left"/>
    </w:pPr>
    <w:rPr>
      <w:rFonts w:ascii="Times New Roman" w:hAnsi="Times New Roman" w:eastAsia="Times New Roman"/>
      <w:b/>
      <w:bCs/>
      <w:color w:val="000000"/>
      <w:kern w:val="0"/>
      <w:sz w:val="12"/>
      <w:szCs w:val="12"/>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textRotate="1"/>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2435</Words>
  <Characters>122</Characters>
  <Lines>1</Lines>
  <Paragraphs>5</Paragraphs>
  <TotalTime>4</TotalTime>
  <ScaleCrop>false</ScaleCrop>
  <LinksUpToDate>false</LinksUpToDate>
  <CharactersWithSpaces>2552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2022-03-11T08:40:37Z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D7E08F9288644FADAD12E2594370C5A2</vt:lpwstr>
  </property>
</Properties>
</file>