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项目名称：劳动监察项目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资金使用情况：年初预算资金5万元。</w:t>
      </w:r>
      <w:r>
        <w:rPr>
          <w:rFonts w:hint="eastAsia" w:ascii="仿宋_GB2312" w:hAnsi="仿宋_GB2312" w:eastAsia="仿宋_GB2312" w:cs="仿宋_GB2312"/>
          <w:sz w:val="32"/>
          <w:szCs w:val="32"/>
        </w:rPr>
        <w:t>县级下达职业能力鉴定经费预算金额4.93万元。本年实际支出4.93万元。</w:t>
      </w:r>
    </w:p>
    <w:p>
      <w:pPr>
        <w:ind w:firstLine="482" w:firstLineChars="150"/>
        <w:outlineLvl w:val="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rPr>
        <w:t>项目年度预算绩效目标和绩效指标设定情况：为了提高监察工作的执行力度，不断完善监察制度，提高监察人员的业务水平。</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绩效评价的目的是为了加强财政支出管理，强化支出责任，加强资金与项目管理，提高资金使用效益。</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eastAsia="仿宋_GB2312"/>
          <w:sz w:val="32"/>
          <w:szCs w:val="32"/>
        </w:rPr>
        <w:t>劳动监察项目</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2021年度劳动监察项目的资金投入使用情况、项目产出情况、效益情况、群众满意度情况。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劳动监察项目绩效评价指标年初设定与绩效目标有直接的联系，能够正确反映目标的实现程度。如办案数量、劳动保障监察案件结案率等。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劳动监察项目绩效评价指标的设置系统反映了财政支出所产生的社会效益、经济效益和可持续影响。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通过对劳动监察项目年初绩效目标与实施效果与当期情况做比较，综合分析该项目绩效目标实现程度。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1.根据乐亭县财政局《关于开展2021年财政支出项目绩效部门自评工作的通知》（乐财预[2022]2号）要求，制订评价工作实施方案，明确评价内容，为评价作出具体工作安排；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w:t>
      </w:r>
      <w:r>
        <w:rPr>
          <w:rFonts w:hint="eastAsia" w:ascii="仿宋_GB2312" w:eastAsia="仿宋_GB2312"/>
          <w:sz w:val="32"/>
          <w:szCs w:val="32"/>
        </w:rPr>
        <w:t>劳动监察</w:t>
      </w:r>
      <w:r>
        <w:rPr>
          <w:rFonts w:hint="eastAsia" w:ascii="仿宋_GB2312" w:eastAsia="仿宋_GB2312"/>
          <w:kern w:val="2"/>
          <w:sz w:val="32"/>
          <w:szCs w:val="32"/>
        </w:rPr>
        <w:t>项目的工作人员及时提供项目建设、资金支出、绩效实现情况的自评数据；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w:t>
      </w:r>
      <w:bookmarkStart w:id="0" w:name="_GoBack"/>
      <w:bookmarkEnd w:id="0"/>
      <w:r>
        <w:rPr>
          <w:rFonts w:hint="eastAsia" w:ascii="仿宋_GB2312" w:eastAsia="仿宋_GB2312"/>
          <w:kern w:val="2"/>
          <w:sz w:val="32"/>
          <w:szCs w:val="32"/>
        </w:rPr>
        <w:t>，提出对策，形成并提交评价报告。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按要求落实</w:t>
      </w:r>
      <w:r>
        <w:rPr>
          <w:rFonts w:hint="eastAsia" w:ascii="仿宋_GB2312" w:eastAsia="仿宋_GB2312"/>
          <w:sz w:val="32"/>
          <w:szCs w:val="32"/>
        </w:rPr>
        <w:t>劳动监察</w:t>
      </w:r>
      <w:r>
        <w:rPr>
          <w:rFonts w:hint="eastAsia" w:ascii="仿宋_GB2312" w:hAnsi="仿宋_GB2312" w:eastAsia="仿宋_GB2312" w:cs="仿宋_GB2312"/>
          <w:sz w:val="32"/>
          <w:szCs w:val="32"/>
        </w:rPr>
        <w:t>政策，提高监察工作的执行力度，不断完善监察制度，提高监察人员的业务水平。</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2.预算编制科学,根据劳动监察项目工作量及工作标准，制定了2021年项目经费测算表，以及编制2021年项目预算。做到了项目资金安排与工作量相匹配。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3.资金分配合理,根据资金拨付情况、劳动监察工作量等因素，科学、合理地分配了项目预算资金。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制定了合法、合规、完整的管理制度，建立了预算管理制度、支出管理制度、政府采购管理制度、资金管理制度等内部控制制度。为保障劳动监察项目顺利实施，我单位制定了健全的业务和财务管理制度。</w:t>
      </w:r>
    </w:p>
    <w:p>
      <w:pPr>
        <w:numPr>
          <w:ilvl w:val="0"/>
          <w:numId w:val="1"/>
        </w:num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项目产出情况。</w:t>
      </w:r>
    </w:p>
    <w:p>
      <w:pPr>
        <w:widowControl/>
        <w:ind w:left="321"/>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：办案数量年度指标值500件，实际完成值500件，得分10分。</w:t>
      </w:r>
    </w:p>
    <w:p>
      <w:pPr>
        <w:widowControl/>
        <w:ind w:firstLine="321" w:firstLineChars="1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:劳动保障监察案件结案率年度指标值95%，实际完成值95%，得分10分。</w:t>
      </w:r>
    </w:p>
    <w:p>
      <w:pPr>
        <w:widowControl/>
        <w:ind w:firstLine="321" w:firstLineChars="100"/>
        <w:rPr>
          <w:rFonts w:ascii="楷体_GB2312" w:hAnsi="楷体_GB2312" w:eastAsia="楷体_GB2312" w:cs="楷体_GB2312"/>
          <w:b/>
          <w:bCs/>
          <w:sz w:val="32"/>
          <w:szCs w:val="32"/>
        </w:rPr>
      </w:pPr>
      <w:r>
        <w:rPr>
          <w:rFonts w:hint="eastAsia" w:ascii="仿宋_GB2312" w:eastAsia="仿宋_GB2312"/>
          <w:b/>
          <w:bCs/>
          <w:sz w:val="32"/>
          <w:szCs w:val="32"/>
        </w:rPr>
        <w:t>3.时效指标</w:t>
      </w:r>
      <w:r>
        <w:rPr>
          <w:rFonts w:hint="eastAsia" w:ascii="仿宋_GB2312" w:eastAsia="仿宋_GB2312"/>
          <w:sz w:val="32"/>
          <w:szCs w:val="32"/>
        </w:rPr>
        <w:t>：完成劳动保障监察工作及时性95%，得分10分。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：及时发放15000万预储金及解决拖欠农民工工资问题。</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保障农民工工资权益。</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切实维护农民工合法权益，根治欠薪。</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4" w:left="1587" w:header="851" w:footer="1587"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ind w:left="210" w:leftChars="100" w:right="210" w:rightChars="100"/>
                  <w:rPr>
                    <w:rFonts w:hint="eastAsia"/>
                    <w:sz w:val="28"/>
                  </w:rPr>
                </w:pP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4</w:t>
                </w:r>
                <w:r>
                  <w:rPr>
                    <w:rFonts w:hint="eastAsia"/>
                    <w:sz w:val="28"/>
                  </w:rPr>
                  <w:fldChar w:fldCharType="end"/>
                </w:r>
              </w:p>
              <w:p>
                <w:pPr>
                  <w:pStyle w:val="2"/>
                  <w:ind w:left="210" w:leftChars="100" w:right="210" w:rightChars="100"/>
                  <w:rPr>
                    <w:sz w:val="28"/>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444F7"/>
    <w:multiLevelType w:val="singleLevel"/>
    <w:tmpl w:val="7C644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684AA1"/>
    <w:rsid w:val="00C71985"/>
    <w:rsid w:val="02E4355A"/>
    <w:rsid w:val="07236622"/>
    <w:rsid w:val="0FF15EA9"/>
    <w:rsid w:val="11101E9B"/>
    <w:rsid w:val="11C1497D"/>
    <w:rsid w:val="1466032F"/>
    <w:rsid w:val="18C114CD"/>
    <w:rsid w:val="1A2F5986"/>
    <w:rsid w:val="21C46055"/>
    <w:rsid w:val="291E676A"/>
    <w:rsid w:val="2A937D75"/>
    <w:rsid w:val="2B12115F"/>
    <w:rsid w:val="2BA55B21"/>
    <w:rsid w:val="2D483794"/>
    <w:rsid w:val="33FD0F29"/>
    <w:rsid w:val="368D6FB3"/>
    <w:rsid w:val="3C5A379E"/>
    <w:rsid w:val="44DA4DF9"/>
    <w:rsid w:val="49C8494D"/>
    <w:rsid w:val="4C6655C3"/>
    <w:rsid w:val="4E2A1744"/>
    <w:rsid w:val="51DD71C9"/>
    <w:rsid w:val="53C91DCC"/>
    <w:rsid w:val="557B3FDA"/>
    <w:rsid w:val="55D3461F"/>
    <w:rsid w:val="5C3A6EF8"/>
    <w:rsid w:val="62E47CFD"/>
    <w:rsid w:val="64C61420"/>
    <w:rsid w:val="650F585A"/>
    <w:rsid w:val="652B07F5"/>
    <w:rsid w:val="67C05CEB"/>
    <w:rsid w:val="6F6571A0"/>
    <w:rsid w:val="74E2355F"/>
    <w:rsid w:val="7829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1410</Words>
  <Characters>111</Characters>
  <Lines>1</Lines>
  <Paragraphs>3</Paragraphs>
  <TotalTime>8</TotalTime>
  <ScaleCrop>false</ScaleCrop>
  <LinksUpToDate>false</LinksUpToDate>
  <CharactersWithSpaces>1518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