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3" w:firstLineChars="128"/>
        <w:jc w:val="center"/>
        <w:rPr>
          <w:rFonts w:hint="eastAsia" w:ascii="方正小标宋简体" w:hAnsi="宋体" w:eastAsia="方正小标宋简体"/>
          <w:sz w:val="44"/>
          <w:szCs w:val="44"/>
        </w:rPr>
      </w:pPr>
    </w:p>
    <w:p>
      <w:pPr>
        <w:jc w:val="center"/>
        <w:rPr>
          <w:rFonts w:eastAsia="方正小标宋_GBK"/>
          <w:sz w:val="72"/>
          <w:szCs w:val="72"/>
        </w:rPr>
      </w:pPr>
      <w:r>
        <w:rPr>
          <w:rFonts w:hint="eastAsia" w:eastAsia="方正小标宋_GBK"/>
          <w:sz w:val="72"/>
          <w:szCs w:val="72"/>
          <w:lang w:eastAsia="zh-CN"/>
        </w:rPr>
        <w:t>人事</w:t>
      </w:r>
      <w:r>
        <w:rPr>
          <w:rFonts w:hint="eastAsia" w:eastAsia="方正小标宋_GBK"/>
          <w:sz w:val="72"/>
          <w:szCs w:val="72"/>
        </w:rPr>
        <w:t>部门</w:t>
      </w:r>
    </w:p>
    <w:p>
      <w:pPr>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lang w:val="en-US" w:eastAsia="zh-CN"/>
        </w:rPr>
        <w:t>2021</w:t>
      </w:r>
      <w:r>
        <w:rPr>
          <w:rFonts w:hint="eastAsia" w:ascii="方正小标宋_GBK" w:hAnsi="方正小标宋_GBK" w:eastAsia="方正小标宋_GBK" w:cs="方正小标宋_GBK"/>
          <w:sz w:val="72"/>
          <w:szCs w:val="72"/>
        </w:rPr>
        <w:t>年预算项目绩效</w:t>
      </w:r>
    </w:p>
    <w:p>
      <w:pPr>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评价报告</w:t>
      </w:r>
    </w:p>
    <w:p>
      <w:pPr>
        <w:rPr>
          <w:rFonts w:eastAsia="仿宋"/>
        </w:rPr>
      </w:pPr>
    </w:p>
    <w:p>
      <w:pPr>
        <w:rPr>
          <w:rFonts w:eastAsia="仿宋"/>
        </w:rPr>
      </w:pPr>
    </w:p>
    <w:p>
      <w:pPr>
        <w:rPr>
          <w:rFonts w:eastAsia="仿宋"/>
        </w:rPr>
      </w:pPr>
    </w:p>
    <w:p>
      <w:pPr>
        <w:rPr>
          <w:rFonts w:eastAsia="仿宋"/>
        </w:rPr>
      </w:pPr>
    </w:p>
    <w:p>
      <w:pPr>
        <w:rPr>
          <w:rFonts w:eastAsia="仿宋"/>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jc w:val="center"/>
        <w:rPr>
          <w:rFonts w:ascii="黑体" w:hAnsi="黑体" w:eastAsia="黑体"/>
          <w:b/>
          <w:sz w:val="32"/>
        </w:rPr>
      </w:pPr>
      <w:r>
        <w:rPr>
          <w:rFonts w:hint="eastAsia" w:ascii="黑体" w:hAnsi="黑体" w:eastAsia="黑体"/>
          <w:b/>
          <w:sz w:val="32"/>
          <w:lang w:eastAsia="zh-CN"/>
        </w:rPr>
        <w:t>人事</w:t>
      </w:r>
      <w:r>
        <w:rPr>
          <w:rFonts w:hint="eastAsia" w:ascii="黑体" w:hAnsi="黑体" w:eastAsia="黑体"/>
          <w:b/>
          <w:sz w:val="32"/>
        </w:rPr>
        <w:t>部门编制（盖章）</w:t>
      </w:r>
    </w:p>
    <w:p>
      <w:pPr>
        <w:spacing w:line="600" w:lineRule="atLeast"/>
        <w:jc w:val="center"/>
        <w:rPr>
          <w:rFonts w:hint="eastAsia" w:ascii="黑体" w:hAnsi="黑体" w:eastAsia="黑体"/>
          <w:b/>
          <w:sz w:val="32"/>
        </w:rPr>
        <w:sectPr>
          <w:footerReference r:id="rId3" w:type="default"/>
          <w:pgSz w:w="11906" w:h="16838"/>
          <w:pgMar w:top="2098" w:right="1474" w:bottom="1984" w:left="1587" w:header="851" w:footer="992" w:gutter="0"/>
          <w:pgNumType w:fmt="numberInDash"/>
          <w:cols w:space="425" w:num="1"/>
          <w:docGrid w:type="lines" w:linePitch="312" w:charSpace="0"/>
        </w:sectPr>
      </w:pPr>
      <w:r>
        <w:rPr>
          <w:rFonts w:hint="eastAsia" w:ascii="黑体" w:hAnsi="黑体" w:eastAsia="黑体"/>
          <w:b/>
          <w:sz w:val="32"/>
          <w:lang w:val="en-US" w:eastAsia="zh-CN"/>
        </w:rPr>
        <w:t>2022</w:t>
      </w:r>
      <w:r>
        <w:rPr>
          <w:rFonts w:hint="eastAsia" w:ascii="黑体" w:hAnsi="黑体" w:eastAsia="黑体"/>
          <w:b/>
          <w:sz w:val="32"/>
        </w:rPr>
        <w:t>年</w:t>
      </w:r>
      <w:r>
        <w:rPr>
          <w:rFonts w:hint="eastAsia" w:ascii="黑体" w:hAnsi="黑体" w:eastAsia="黑体"/>
          <w:b/>
          <w:sz w:val="32"/>
          <w:lang w:val="en-US" w:eastAsia="zh-CN"/>
        </w:rPr>
        <w:t>03</w:t>
      </w:r>
      <w:r>
        <w:rPr>
          <w:rFonts w:hint="eastAsia" w:ascii="黑体" w:hAnsi="黑体" w:eastAsia="黑体"/>
          <w:b/>
          <w:sz w:val="32"/>
        </w:rPr>
        <w:t>月</w:t>
      </w:r>
      <w:r>
        <w:rPr>
          <w:rFonts w:hint="eastAsia" w:ascii="黑体" w:hAnsi="黑体" w:eastAsia="黑体"/>
          <w:b/>
          <w:sz w:val="32"/>
          <w:lang w:val="en-US" w:eastAsia="zh-CN"/>
        </w:rPr>
        <w:t>06</w:t>
      </w:r>
      <w:r>
        <w:rPr>
          <w:rFonts w:hint="eastAsia" w:ascii="黑体" w:hAnsi="黑体" w:eastAsia="黑体"/>
          <w:b/>
          <w:sz w:val="32"/>
        </w:rPr>
        <w:t>日</w:t>
      </w:r>
    </w:p>
    <w:p>
      <w:pPr>
        <w:spacing w:line="600" w:lineRule="atLeas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部门整体绩效评价报告</w:t>
      </w:r>
    </w:p>
    <w:p>
      <w:pPr>
        <w:spacing w:line="600" w:lineRule="atLeast"/>
        <w:ind w:firstLine="643" w:firstLineChars="200"/>
        <w:rPr>
          <w:rFonts w:hint="default" w:ascii="Times New Roman" w:hAnsi="Times New Roman" w:eastAsia="黑体" w:cs="Times New Roman"/>
          <w:b/>
          <w:sz w:val="32"/>
          <w:szCs w:val="32"/>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一、部门整体概况</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本部门</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年度申请预算资金</w:t>
      </w:r>
      <w:r>
        <w:rPr>
          <w:rFonts w:hint="default" w:ascii="Times New Roman" w:hAnsi="Times New Roman" w:eastAsia="仿宋_GB2312" w:cs="Times New Roman"/>
          <w:sz w:val="32"/>
          <w:szCs w:val="32"/>
          <w:lang w:val="en-US" w:eastAsia="zh-CN"/>
        </w:rPr>
        <w:t>61522.65</w:t>
      </w:r>
      <w:r>
        <w:rPr>
          <w:rFonts w:hint="default" w:ascii="Times New Roman" w:hAnsi="Times New Roman" w:eastAsia="仿宋_GB2312" w:cs="Times New Roman"/>
          <w:sz w:val="32"/>
          <w:szCs w:val="32"/>
        </w:rPr>
        <w:t>万元，实际支出</w:t>
      </w:r>
      <w:r>
        <w:rPr>
          <w:rFonts w:hint="default" w:ascii="Times New Roman" w:hAnsi="Times New Roman" w:eastAsia="仿宋_GB2312" w:cs="Times New Roman"/>
          <w:sz w:val="32"/>
          <w:szCs w:val="32"/>
          <w:lang w:val="en-US" w:eastAsia="zh-CN"/>
        </w:rPr>
        <w:t>54427</w:t>
      </w:r>
      <w:r>
        <w:rPr>
          <w:rFonts w:hint="default" w:ascii="Times New Roman" w:hAnsi="Times New Roman" w:eastAsia="仿宋_GB2312" w:cs="Times New Roman"/>
          <w:sz w:val="32"/>
          <w:szCs w:val="32"/>
        </w:rPr>
        <w:t>万元，预算执行率</w:t>
      </w:r>
      <w:r>
        <w:rPr>
          <w:rFonts w:hint="default" w:ascii="Times New Roman" w:hAnsi="Times New Roman" w:eastAsia="仿宋_GB2312" w:cs="Times New Roman"/>
          <w:sz w:val="32"/>
          <w:szCs w:val="32"/>
          <w:lang w:val="en-US" w:eastAsia="zh-CN"/>
        </w:rPr>
        <w:t>88.47</w:t>
      </w:r>
      <w:r>
        <w:rPr>
          <w:rFonts w:hint="default" w:ascii="Times New Roman" w:hAnsi="Times New Roman" w:eastAsia="仿宋_GB2312" w:cs="Times New Roman"/>
          <w:sz w:val="32"/>
          <w:szCs w:val="32"/>
        </w:rPr>
        <w:t>%。其中：专项项目</w:t>
      </w:r>
      <w:r>
        <w:rPr>
          <w:rFonts w:hint="default"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rPr>
        <w:t>个，金额合计</w:t>
      </w:r>
      <w:r>
        <w:rPr>
          <w:rFonts w:hint="default" w:ascii="Times New Roman" w:hAnsi="Times New Roman" w:eastAsia="仿宋_GB2312" w:cs="Times New Roman"/>
          <w:sz w:val="32"/>
          <w:szCs w:val="32"/>
          <w:lang w:val="en-US" w:eastAsia="zh-CN"/>
        </w:rPr>
        <w:t>22110.41</w:t>
      </w:r>
      <w:r>
        <w:rPr>
          <w:rFonts w:hint="default" w:ascii="Times New Roman" w:hAnsi="Times New Roman" w:eastAsia="仿宋_GB2312" w:cs="Times New Roman"/>
          <w:sz w:val="32"/>
          <w:szCs w:val="32"/>
        </w:rPr>
        <w:t>万元，实际支出</w:t>
      </w:r>
      <w:r>
        <w:rPr>
          <w:rFonts w:hint="default" w:ascii="Times New Roman" w:hAnsi="Times New Roman" w:eastAsia="仿宋_GB2312" w:cs="Times New Roman"/>
          <w:sz w:val="32"/>
          <w:szCs w:val="32"/>
          <w:lang w:val="en-US" w:eastAsia="zh-CN"/>
        </w:rPr>
        <w:t>20861.98</w:t>
      </w:r>
      <w:r>
        <w:rPr>
          <w:rFonts w:hint="default" w:ascii="Times New Roman" w:hAnsi="Times New Roman" w:eastAsia="仿宋_GB2312" w:cs="Times New Roman"/>
          <w:sz w:val="32"/>
          <w:szCs w:val="32"/>
        </w:rPr>
        <w:t>万元，执行率为</w:t>
      </w:r>
      <w:r>
        <w:rPr>
          <w:rFonts w:hint="default" w:ascii="Times New Roman" w:hAnsi="Times New Roman" w:eastAsia="仿宋_GB2312" w:cs="Times New Roman"/>
          <w:sz w:val="32"/>
          <w:szCs w:val="32"/>
          <w:lang w:val="en-US" w:eastAsia="zh-CN"/>
        </w:rPr>
        <w:t>94.35</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二、部门总体绩效目标和绩效指标设定</w:t>
      </w:r>
      <w:bookmarkStart w:id="0" w:name="_GoBack"/>
      <w:bookmarkEnd w:id="0"/>
      <w:r>
        <w:rPr>
          <w:rFonts w:hint="default" w:ascii="Times New Roman" w:hAnsi="Times New Roman" w:eastAsia="黑体" w:cs="Times New Roman"/>
          <w:sz w:val="32"/>
          <w:szCs w:val="32"/>
        </w:rPr>
        <w:t>情况</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本部门年初设定的部门整体绩效指标是：</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全面落实就业创业政策。加大对小微企业及个体工商户的创业扶持，提高创业贷款的普惠度。</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着力完善社会保障体系。一是加强部门协同配合，深挖扩面征缴潜力。二是做好各项保险待遇发放工作。多措并举。进一步规范内控制度，开展定期抽查，做出经办风险分析报告，建立社保基金安全处置预案，确保基金安全运加强。进一步加强经办窗口作风建设，提升业务能力和服务水平，提高办事效率。</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继续做好人事人才工作。充分发挥人力资源市场平台促就业作用。继续培训活动和职业技能提升行动，按时限要求完成任务目标。</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积极发展和谐劳动关系。加强劳动合同管理工作，加大劳动法律法规的宣传力度，规范企业用工行为。对群众来信来访反映的问题，及时予以办理答复，切实帮助群众解决好实际困难和问题。</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三、绩效评价组织情况</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本次绩效评价项目</w:t>
      </w:r>
      <w:r>
        <w:rPr>
          <w:rFonts w:hint="default"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rPr>
        <w:t>个，占部门项目总数的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%，涉及金额</w:t>
      </w:r>
      <w:r>
        <w:rPr>
          <w:rFonts w:hint="default" w:ascii="Times New Roman" w:hAnsi="Times New Roman" w:eastAsia="仿宋_GB2312" w:cs="Times New Roman"/>
          <w:sz w:val="32"/>
          <w:szCs w:val="32"/>
          <w:lang w:val="en-US" w:eastAsia="zh-CN"/>
        </w:rPr>
        <w:t>22110.4</w:t>
      </w:r>
      <w:r>
        <w:rPr>
          <w:rFonts w:hint="default" w:ascii="Times New Roman" w:hAnsi="Times New Roman" w:eastAsia="仿宋_GB2312" w:cs="Times New Roman"/>
          <w:sz w:val="32"/>
          <w:szCs w:val="32"/>
        </w:rPr>
        <w:t>万元。采取成立本部门绩效自评工作组的形式，本着客观、公正、公开的原则开展自评工作，所有项目的绩效自评均设计了合理、明晰、可考核的、关键性产出指标和效果指标。自评结果真实可靠。</w:t>
      </w:r>
    </w:p>
    <w:p>
      <w:pPr>
        <w:keepNext w:val="0"/>
        <w:keepLines w:val="0"/>
        <w:pageBreakBefore w:val="0"/>
        <w:widowControl w:val="0"/>
        <w:numPr>
          <w:ilvl w:val="0"/>
          <w:numId w:val="1"/>
        </w:numPr>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绩效实现情况分析</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1、考核奖励项目：</w:t>
      </w:r>
      <w:r>
        <w:rPr>
          <w:rFonts w:hint="default" w:ascii="Times New Roman" w:hAnsi="Times New Roman" w:eastAsia="仿宋_GB2312" w:cs="Times New Roman"/>
          <w:sz w:val="32"/>
          <w:szCs w:val="32"/>
        </w:rPr>
        <w:t>落实开展事业单位考核奖励工作，确保各单位考核奖励资金按时发放</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落实</w:t>
      </w:r>
      <w:r>
        <w:rPr>
          <w:rFonts w:hint="default" w:ascii="Times New Roman" w:hAnsi="Times New Roman" w:eastAsia="仿宋_GB2312" w:cs="Times New Roman"/>
          <w:sz w:val="32"/>
          <w:szCs w:val="32"/>
          <w:lang w:val="en-US" w:eastAsia="zh-CN"/>
        </w:rPr>
        <w:t>劳动监察</w:t>
      </w:r>
      <w:r>
        <w:rPr>
          <w:rFonts w:hint="default" w:ascii="Times New Roman" w:hAnsi="Times New Roman" w:eastAsia="仿宋_GB2312" w:cs="Times New Roman"/>
          <w:sz w:val="32"/>
          <w:szCs w:val="32"/>
        </w:rPr>
        <w:t>政策，提高监察工作的执行力度，不断完善监察制度，提高监察人员的业务水平。</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保障社会保险基金的安全，加强社保基金监督，聘请会计师事务所对社保各个保险基金财务收、支、结余情况的真实合法进行的审计监督。</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规范事业单位人事管理工作，事业单位新进人员，全面实行公开招聘。</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完成年度的高、中、初职评聘、考试等相关专业技术人才相关工作。</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落实职业劳动能力鉴定政策，按国家和县政府要求推动职业能力建设，开展职业培训能力建设相关工作。职业资格鉴定完成率</w:t>
      </w:r>
      <w:r>
        <w:rPr>
          <w:rFonts w:hint="default" w:ascii="Times New Roman" w:hAnsi="Times New Roman" w:eastAsia="仿宋_GB2312" w:cs="Times New Roman"/>
          <w:sz w:val="32"/>
          <w:szCs w:val="32"/>
          <w:lang w:eastAsia="zh-CN"/>
        </w:rPr>
        <w:t>达到</w:t>
      </w:r>
      <w:r>
        <w:rPr>
          <w:rFonts w:hint="default" w:ascii="Times New Roman" w:hAnsi="Times New Roman" w:eastAsia="仿宋_GB2312" w:cs="Times New Roman"/>
          <w:sz w:val="32"/>
          <w:szCs w:val="32"/>
          <w:lang w:val="en-US" w:eastAsia="zh-CN"/>
        </w:rPr>
        <w:t>95%</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解决劳动人事争议，预防劳动人事纠纷，保护单位和职工的合法权益，促进社会和谐，提高调解仲裁办事质量。</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8、按照国家和省有关政策规定，对符合条件的人员和小微企业及时获得了创业担保贷款政策扶持，充分发挥了创业担保贷款贴息政策稳就业、促创业的重要作用。</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9、2021年就业补助资金全部按规定用于社会保险补贴、公益性岗位补贴、就业见习补贴等支出以及经省级人民政府批准的其他支出项目。</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10、为7237人办理养老保险信息维护、微信核定缴费业务，2021年新增参保人员1401人。为2412人办理医疗保险核定、微信核定缴费业务，缴费金额13300071.44元</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11、城乡居民养老保险补助资金：2021年城乡居民养老保险待遇按时全额发放，城乡居民按时足额领取待遇，巩固了城乡居民基本养老保险参保率。</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12、军转干部补助资金：项目资金按时全额发放，减少了退役士兵、军转干部人员的经济负担，军转干部补助资金对健全社会保障体系的影响成效显著。</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1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13、城乡居民养老保险村级代办员补助资金：城乡居民养老村级代办员省级补助资金全部用于城乡居民养老参保村级代办员补助，方便群众参保，提升了全民参保率。</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1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14、企业养老保险金：2021年企业养老保险待遇按时全额发放，巩固了企业基本养老保险参保率。</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15、社保手续费：资金全部用于我单位社保业务办理所需费用支出，不断提高了企业参保缴费率，增强了基金保障能力，提高企业退休人员生活质量，维护社会稳定，切实维护广大群众保险权益。</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16、社保专项核查经费：提高了企业参保缴费率，增强基金保障能力，切实维护广大群众养老保险权益，着力解决选择性参保和缴费基数不实问题，努力实现应保尽保、应收尽收。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_GB2312" w:cs="Times New Roman"/>
          <w:sz w:val="32"/>
          <w:szCs w:val="32"/>
          <w:lang w:val="en-US" w:eastAsia="zh-CN"/>
        </w:rPr>
        <w:t>17、企业化管理服务费：保障了企业退休人员基本生活质量，维护社会稳定，广泛宣传各项新规定新政策。</w:t>
      </w:r>
    </w:p>
    <w:p>
      <w:pPr>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预算编制工作有待细化，预算编制的合理性有待提高，预算控制能力有待加强</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六、相关建议</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细化预算编制工作，认真做好预算单编制，进一步加强单位内部各部门的预算管理意识，严格按照相关制度和要求进行预算编制。严格按照会计制度规范，在制定各种管理制度后，要做到有效执行。</w:t>
      </w:r>
    </w:p>
    <w:sectPr>
      <w:footerReference r:id="rId4" w:type="default"/>
      <w:pgSz w:w="11906" w:h="16838"/>
      <w:pgMar w:top="2098" w:right="1474" w:bottom="1984" w:left="1587" w:header="851" w:footer="1587"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宋体"/>
    <w:panose1 w:val="00000000000000000000"/>
    <w:charset w:val="00"/>
    <w:family w:val="auto"/>
    <w:pitch w:val="default"/>
    <w:sig w:usb0="00000000" w:usb1="00000000" w:usb2="00000000" w:usb3="00000000" w:csb0="00000000" w:csb1="00000000"/>
  </w:font>
  <w:font w:name="MingLiU">
    <w:panose1 w:val="02020509000000000000"/>
    <w:charset w:val="88"/>
    <w:family w:val="modern"/>
    <w:pitch w:val="default"/>
    <w:sig w:usb0="A00002FF" w:usb1="28CFFCFA" w:usb2="00000016" w:usb3="00000000" w:csb0="00100001" w:csb1="00000000"/>
  </w:font>
  <w:font w:name="方正小标宋简体">
    <w:altName w:val="Arial Unicode MS"/>
    <w:panose1 w:val="02010601030101010101"/>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_GBK">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spacing w:before="0" w:beforeLines="100" w:after="0" w:afterLines="100"/>
                            <w:textAlignment w:val="auto"/>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spacing w:before="0" w:beforeLines="100" w:after="0" w:afterLines="100"/>
                      <w:textAlignment w:val="auto"/>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02DBB"/>
    <w:multiLevelType w:val="singleLevel"/>
    <w:tmpl w:val="AE902DB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649A0"/>
    <w:rsid w:val="1C9864A4"/>
    <w:rsid w:val="1DBB6254"/>
    <w:rsid w:val="3B24543D"/>
    <w:rsid w:val="475B1324"/>
    <w:rsid w:val="509D5BCE"/>
    <w:rsid w:val="68C11A30"/>
    <w:rsid w:val="7D2D0819"/>
    <w:rsid w:val="7EB26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7">
    <w:name w:val="Body text|1"/>
    <w:basedOn w:val="1"/>
    <w:qFormat/>
    <w:uiPriority w:val="0"/>
    <w:pPr>
      <w:spacing w:line="442" w:lineRule="auto"/>
      <w:ind w:firstLine="400"/>
      <w:jc w:val="left"/>
    </w:pPr>
    <w:rPr>
      <w:rFonts w:ascii="MingLiU" w:hAnsi="MingLiU" w:eastAsia="MingLiU" w:cs="MingLiU"/>
      <w:color w:val="000000"/>
      <w:kern w:val="0"/>
      <w:sz w:val="19"/>
      <w:szCs w:val="19"/>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2022-03-11T09:03:34Z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955A2E1FDE78457F811463148296028D</vt:lpwstr>
  </property>
</Properties>
</file>