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hAnsi="宋体" w:eastAsia="宋体" w:cs="宋体"/>
          <w:sz w:val="44"/>
          <w:szCs w:val="44"/>
          <w:lang w:val="en-US" w:eastAsia="zh-CN"/>
        </w:rPr>
      </w:pPr>
    </w:p>
    <w:p>
      <w:pPr>
        <w:ind w:firstLine="880" w:firstLineChars="200"/>
        <w:jc w:val="center"/>
        <w:rPr>
          <w:rFonts w:hint="eastAsia" w:ascii="宋体" w:hAnsi="宋体" w:eastAsia="宋体" w:cs="宋体"/>
          <w:sz w:val="44"/>
          <w:szCs w:val="44"/>
          <w:lang w:val="en-US" w:eastAsia="zh-CN"/>
        </w:rPr>
      </w:pPr>
      <w:bookmarkStart w:id="2" w:name="_GoBack"/>
      <w:r>
        <w:rPr>
          <w:rFonts w:hint="eastAsia" w:ascii="宋体" w:hAnsi="宋体" w:eastAsia="宋体" w:cs="宋体"/>
          <w:sz w:val="44"/>
          <w:szCs w:val="44"/>
          <w:lang w:val="en-US" w:eastAsia="zh-CN"/>
        </w:rPr>
        <w:t>中共乐亭县委党校</w:t>
      </w:r>
    </w:p>
    <w:p>
      <w:pPr>
        <w:ind w:firstLine="880" w:firstLineChars="200"/>
        <w:jc w:val="center"/>
        <w:rPr>
          <w:rFonts w:hint="eastAsia" w:ascii="宋体" w:hAnsi="宋体" w:eastAsia="宋体" w:cs="宋体"/>
          <w:sz w:val="44"/>
          <w:szCs w:val="44"/>
        </w:rPr>
      </w:pPr>
      <w:r>
        <w:rPr>
          <w:rFonts w:hint="eastAsia" w:ascii="宋体" w:hAnsi="宋体" w:eastAsia="宋体" w:cs="宋体"/>
          <w:sz w:val="44"/>
          <w:szCs w:val="44"/>
          <w:lang w:val="en-US" w:eastAsia="zh-CN"/>
        </w:rPr>
        <w:t>202</w:t>
      </w:r>
      <w:r>
        <w:rPr>
          <w:rFonts w:hint="eastAsia" w:ascii="宋体" w:hAnsi="宋体" w:cs="宋体"/>
          <w:sz w:val="44"/>
          <w:szCs w:val="44"/>
          <w:lang w:val="en-US" w:eastAsia="zh-CN"/>
        </w:rPr>
        <w:t>1</w:t>
      </w:r>
      <w:r>
        <w:rPr>
          <w:rFonts w:hint="eastAsia" w:ascii="宋体" w:hAnsi="宋体" w:eastAsia="宋体" w:cs="宋体"/>
          <w:sz w:val="44"/>
          <w:szCs w:val="44"/>
        </w:rPr>
        <w:t>年部门预算信息公开</w:t>
      </w:r>
    </w:p>
    <w:bookmarkEnd w:id="2"/>
    <w:p>
      <w:pPr>
        <w:ind w:firstLine="880" w:firstLineChars="200"/>
        <w:jc w:val="center"/>
        <w:rPr>
          <w:rFonts w:hint="eastAsia" w:ascii="方正小标宋简体" w:hAnsi="方正小标宋简体" w:eastAsia="方正小标宋简体" w:cs="方正小标宋简体"/>
          <w:sz w:val="44"/>
          <w:szCs w:val="44"/>
        </w:rPr>
      </w:pPr>
    </w:p>
    <w:p>
      <w:pPr>
        <w:widowControl/>
        <w:spacing w:line="360" w:lineRule="auto"/>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中华人民共和国预算法》、《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下达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年部门支出预算</w:t>
      </w:r>
      <w:r>
        <w:rPr>
          <w:rFonts w:hint="eastAsia" w:ascii="仿宋_GB2312" w:hAnsi="仿宋_GB2312" w:eastAsia="仿宋_GB2312" w:cs="仿宋_GB2312"/>
          <w:color w:val="333333"/>
          <w:kern w:val="0"/>
          <w:sz w:val="32"/>
          <w:szCs w:val="32"/>
          <w:lang w:eastAsia="zh-CN"/>
        </w:rPr>
        <w:t>的</w:t>
      </w:r>
      <w:r>
        <w:rPr>
          <w:rFonts w:hint="eastAsia" w:ascii="仿宋_GB2312" w:hAnsi="仿宋_GB2312" w:eastAsia="仿宋_GB2312" w:cs="仿宋_GB2312"/>
          <w:color w:val="333333"/>
          <w:kern w:val="0"/>
          <w:sz w:val="32"/>
          <w:szCs w:val="32"/>
        </w:rPr>
        <w:t>批复》（乐财预〔202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号），现将乐亭县</w:t>
      </w:r>
      <w:r>
        <w:rPr>
          <w:rFonts w:hint="eastAsia" w:ascii="仿宋_GB2312" w:hAnsi="仿宋_GB2312" w:eastAsia="仿宋_GB2312" w:cs="仿宋_GB2312"/>
          <w:color w:val="333333"/>
          <w:kern w:val="0"/>
          <w:sz w:val="32"/>
          <w:szCs w:val="32"/>
          <w:lang w:eastAsia="zh-CN"/>
        </w:rPr>
        <w:t>委党校</w:t>
      </w:r>
      <w:r>
        <w:rPr>
          <w:rFonts w:hint="eastAsia" w:ascii="仿宋_GB2312" w:hAnsi="仿宋_GB2312" w:eastAsia="仿宋_GB2312" w:cs="仿宋_GB2312"/>
          <w:color w:val="333333"/>
          <w:kern w:val="0"/>
          <w:sz w:val="32"/>
          <w:szCs w:val="32"/>
        </w:rPr>
        <w:t>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 xml:space="preserve">年度部门预算及“三公”经费信息有关情况说明如下: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一、部门职责及机构设置情况</w:t>
      </w:r>
    </w:p>
    <w:p>
      <w:pPr>
        <w:widowControl/>
        <w:shd w:val="clear" w:color="auto" w:fill="FFFFFF"/>
        <w:spacing w:line="301"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333333"/>
          <w:kern w:val="0"/>
          <w:sz w:val="32"/>
          <w:szCs w:val="32"/>
        </w:rPr>
        <w:t>根据《中国共产党党校工作条例》第一章第二条“中国共产党党校是在党委直接领导下培养党员领导干部和理论干部的学校，是党委的重要部门，是培训轮训党员领导干部的主渠道阵地。”</w:t>
      </w:r>
      <w:r>
        <w:rPr>
          <w:rFonts w:hint="eastAsia" w:ascii="仿宋_GB2312" w:hAnsi="仿宋_GB2312" w:eastAsia="仿宋_GB2312" w:cs="仿宋_GB2312"/>
          <w:color w:val="000000"/>
          <w:kern w:val="0"/>
          <w:sz w:val="32"/>
          <w:szCs w:val="32"/>
        </w:rPr>
        <w:t>因此，我校主要职能是在县委的统一领导下，办好各种主体班、干部短期培训班等班次；加强学科建设和教学研究，强化</w:t>
      </w:r>
      <w:r>
        <w:rPr>
          <w:rFonts w:hint="eastAsia" w:ascii="仿宋_GB2312" w:hAnsi="仿宋_GB2312" w:eastAsia="仿宋_GB2312" w:cs="仿宋_GB2312"/>
          <w:color w:val="000000"/>
          <w:kern w:val="0"/>
          <w:sz w:val="32"/>
          <w:szCs w:val="32"/>
          <w:lang w:eastAsia="zh-CN"/>
        </w:rPr>
        <w:t>调研</w:t>
      </w:r>
      <w:r>
        <w:rPr>
          <w:rFonts w:hint="eastAsia" w:ascii="仿宋_GB2312" w:hAnsi="仿宋_GB2312" w:eastAsia="仿宋_GB2312" w:cs="仿宋_GB2312"/>
          <w:color w:val="000000"/>
          <w:kern w:val="0"/>
          <w:sz w:val="32"/>
          <w:szCs w:val="32"/>
        </w:rPr>
        <w:t>科研工作，完成相关理论研究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主要职责有：培训教育</w:t>
      </w:r>
    </w:p>
    <w:p>
      <w:pPr>
        <w:widowControl/>
        <w:spacing w:line="560" w:lineRule="atLeast"/>
        <w:ind w:firstLine="48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在此原则指导下，20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年，中共乐亭县委党校要继续以邓小平理论、“三个代表”重要思想、科学发展观为指导，深入贯彻落实习近平总书记系列重要讲话和党的</w:t>
      </w:r>
      <w:r>
        <w:rPr>
          <w:rFonts w:hint="eastAsia" w:ascii="仿宋_GB2312" w:hAnsi="仿宋_GB2312" w:eastAsia="仿宋_GB2312" w:cs="仿宋_GB2312"/>
          <w:kern w:val="0"/>
          <w:sz w:val="32"/>
          <w:szCs w:val="32"/>
          <w:lang w:eastAsia="zh-CN"/>
        </w:rPr>
        <w:t>十九大</w:t>
      </w:r>
      <w:r>
        <w:rPr>
          <w:rFonts w:hint="eastAsia" w:ascii="仿宋_GB2312" w:hAnsi="仿宋_GB2312" w:eastAsia="仿宋_GB2312" w:cs="仿宋_GB2312"/>
          <w:kern w:val="0"/>
          <w:sz w:val="32"/>
          <w:szCs w:val="32"/>
        </w:rPr>
        <w:t>精神，全面贯彻《中国共产党党校工作条例》《2013－2017年全国干部教育培训规划》及近年来中央、省、市县委关于党校工作的系列指示精神，坚持“党校姓党”原则，着力发挥“三个主作用”、加强“四项建设”、推进“四个创新”，适应乐亭经济社会发展和干部教育培训新要求，实施具有时代特征、乐亭特色的党校教育发展规划，进一步加大改革创新力度，增强党校教育的核心竞争力。为实现乐亭科学发展、做出新贡献。</w:t>
      </w: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p>
    <w:p>
      <w:pPr>
        <w:widowControl/>
        <w:snapToGrid w:val="0"/>
        <w:ind w:firstLine="6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机构设置：</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部门机构设置情况</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2"/>
        <w:gridCol w:w="1144"/>
        <w:gridCol w:w="1287"/>
        <w:gridCol w:w="2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482"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科室</w:t>
            </w:r>
            <w:r>
              <w:rPr>
                <w:rFonts w:hint="eastAsia" w:ascii="仿宋_GB2312" w:hAnsi="仿宋_GB2312" w:eastAsia="仿宋_GB2312" w:cs="仿宋_GB2312"/>
                <w:b/>
                <w:bCs/>
                <w:kern w:val="0"/>
                <w:sz w:val="32"/>
                <w:szCs w:val="32"/>
              </w:rPr>
              <w:t>名称</w:t>
            </w:r>
          </w:p>
        </w:tc>
        <w:tc>
          <w:tcPr>
            <w:tcW w:w="1144" w:type="dxa"/>
            <w:vMerge w:val="restart"/>
            <w:tcBorders>
              <w:top w:val="single" w:color="000000" w:sz="6" w:space="0"/>
              <w:left w:val="nil"/>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科室</w:t>
            </w:r>
            <w:r>
              <w:rPr>
                <w:rFonts w:hint="eastAsia" w:ascii="仿宋_GB2312" w:hAnsi="仿宋_GB2312" w:eastAsia="仿宋_GB2312" w:cs="仿宋_GB2312"/>
                <w:b/>
                <w:bCs/>
                <w:kern w:val="0"/>
                <w:sz w:val="32"/>
                <w:szCs w:val="32"/>
              </w:rPr>
              <w:t>性质</w:t>
            </w:r>
          </w:p>
        </w:tc>
        <w:tc>
          <w:tcPr>
            <w:tcW w:w="1287" w:type="dxa"/>
            <w:vMerge w:val="restart"/>
            <w:tcBorders>
              <w:top w:val="single" w:color="000000" w:sz="6" w:space="0"/>
              <w:left w:val="nil"/>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规格</w:t>
            </w:r>
          </w:p>
        </w:tc>
        <w:tc>
          <w:tcPr>
            <w:tcW w:w="2927" w:type="dxa"/>
            <w:vMerge w:val="restart"/>
            <w:tcBorders>
              <w:top w:val="single" w:color="000000" w:sz="6" w:space="0"/>
              <w:left w:val="nil"/>
              <w:bottom w:val="single" w:color="000000" w:sz="6" w:space="0"/>
              <w:right w:val="single" w:color="000000" w:sz="6" w:space="0"/>
            </w:tcBorders>
            <w:noWrap w:val="0"/>
            <w:vAlign w:val="center"/>
          </w:tcPr>
          <w:p>
            <w:pPr>
              <w:widowControl/>
              <w:spacing w:line="300" w:lineRule="atLeas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448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c>
          <w:tcPr>
            <w:tcW w:w="1144"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c>
          <w:tcPr>
            <w:tcW w:w="128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c>
          <w:tcPr>
            <w:tcW w:w="292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办公室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行政</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政治和法律教研室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经济学教研室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党史党建教研室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社会科学教研室</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事业</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教务科</w:t>
            </w: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行政</w:t>
            </w: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股级</w:t>
            </w: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财政资金基本保障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48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144"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128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c>
          <w:tcPr>
            <w:tcW w:w="2927" w:type="dxa"/>
            <w:tcBorders>
              <w:top w:val="single" w:color="000000" w:sz="6" w:space="0"/>
              <w:left w:val="nil"/>
              <w:bottom w:val="single" w:color="000000" w:sz="6" w:space="0"/>
              <w:right w:val="single" w:color="000000" w:sz="6" w:space="0"/>
            </w:tcBorders>
            <w:noWrap w:val="0"/>
            <w:vAlign w:val="center"/>
          </w:tcPr>
          <w:p>
            <w:pPr>
              <w:widowControl/>
              <w:spacing w:line="300" w:lineRule="atLeast"/>
              <w:jc w:val="left"/>
              <w:rPr>
                <w:rFonts w:hint="eastAsia" w:ascii="仿宋_GB2312" w:hAnsi="仿宋_GB2312" w:eastAsia="仿宋_GB2312" w:cs="仿宋_GB2312"/>
                <w:kern w:val="0"/>
                <w:sz w:val="32"/>
                <w:szCs w:val="32"/>
              </w:rPr>
            </w:pPr>
          </w:p>
        </w:tc>
      </w:tr>
    </w:tbl>
    <w:p>
      <w:pPr>
        <w:widowControl/>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二、部门预算安排的总体情况</w:t>
      </w:r>
    </w:p>
    <w:p>
      <w:pPr>
        <w:widowControl/>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按照预算管理有关规定，目前我</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部门预算的编制实行综合预算制度，即全部收入和支出都反映在预算中。下面对我校20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年预算安排情况做如下说明：</w:t>
      </w:r>
    </w:p>
    <w:p>
      <w:pPr>
        <w:widowControl/>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1、收入说明</w:t>
      </w:r>
    </w:p>
    <w:p>
      <w:pPr>
        <w:widowControl/>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w:t>
      </w:r>
      <w:r>
        <w:rPr>
          <w:rFonts w:hint="eastAsia" w:ascii="仿宋_GB2312" w:hAnsi="仿宋_GB2312" w:eastAsia="仿宋_GB2312" w:cs="仿宋_GB2312"/>
          <w:kern w:val="0"/>
          <w:sz w:val="32"/>
          <w:szCs w:val="32"/>
          <w:lang w:eastAsia="zh-CN"/>
        </w:rPr>
        <w:t>乐亭县</w:t>
      </w:r>
      <w:r>
        <w:rPr>
          <w:rFonts w:hint="eastAsia" w:ascii="仿宋_GB2312" w:hAnsi="仿宋_GB2312" w:eastAsia="仿宋_GB2312" w:cs="仿宋_GB2312"/>
          <w:kern w:val="0"/>
          <w:sz w:val="32"/>
          <w:szCs w:val="32"/>
        </w:rPr>
        <w:t>委党校（281</w:t>
      </w:r>
      <w:r>
        <w:rPr>
          <w:rFonts w:hint="eastAsia" w:ascii="仿宋_GB2312" w:hAnsi="仿宋_GB2312" w:eastAsia="仿宋_GB2312" w:cs="仿宋_GB2312"/>
          <w:kern w:val="0"/>
          <w:sz w:val="32"/>
          <w:szCs w:val="32"/>
          <w:lang w:val="en-US" w:eastAsia="zh-CN"/>
        </w:rPr>
        <w:t>002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年预算收入</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万元，其中：一般公共预算</w:t>
      </w:r>
      <w:r>
        <w:rPr>
          <w:rFonts w:hint="eastAsia" w:ascii="仿宋_GB2312" w:hAnsi="仿宋_GB2312" w:eastAsia="仿宋_GB2312" w:cs="仿宋_GB2312"/>
          <w:kern w:val="0"/>
          <w:sz w:val="32"/>
          <w:szCs w:val="32"/>
          <w:lang w:eastAsia="zh-CN"/>
        </w:rPr>
        <w:t>财政拨款</w:t>
      </w:r>
      <w:r>
        <w:rPr>
          <w:rFonts w:hint="eastAsia" w:ascii="仿宋_GB2312" w:hAnsi="仿宋_GB2312" w:eastAsia="仿宋_GB2312" w:cs="仿宋_GB2312"/>
          <w:kern w:val="0"/>
          <w:sz w:val="32"/>
          <w:szCs w:val="32"/>
        </w:rPr>
        <w:t>收入</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w:t>
      </w:r>
    </w:p>
    <w:p>
      <w:pPr>
        <w:widowControl/>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2、支出说明</w:t>
      </w:r>
    </w:p>
    <w:p>
      <w:pPr>
        <w:widowControl/>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收支预算总表支出栏、基本支出表按经济分类和支出功能分类科目编制，反映中共</w:t>
      </w:r>
      <w:r>
        <w:rPr>
          <w:rFonts w:hint="eastAsia" w:ascii="仿宋_GB2312" w:hAnsi="仿宋_GB2312" w:eastAsia="仿宋_GB2312" w:cs="仿宋_GB2312"/>
          <w:kern w:val="0"/>
          <w:sz w:val="32"/>
          <w:szCs w:val="32"/>
          <w:lang w:eastAsia="zh-CN"/>
        </w:rPr>
        <w:t>乐亭县</w:t>
      </w:r>
      <w:r>
        <w:rPr>
          <w:rFonts w:hint="eastAsia" w:ascii="仿宋_GB2312" w:hAnsi="仿宋_GB2312" w:eastAsia="仿宋_GB2312" w:cs="仿宋_GB2312"/>
          <w:kern w:val="0"/>
          <w:sz w:val="32"/>
          <w:szCs w:val="32"/>
        </w:rPr>
        <w:t>委党校20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年度部门预算中支出预算的总体情况。20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年支出预算</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万元，包括人员经费</w:t>
      </w:r>
      <w:r>
        <w:rPr>
          <w:rFonts w:hint="eastAsia" w:ascii="仿宋_GB2312" w:hAnsi="仿宋_GB2312" w:eastAsia="仿宋_GB2312" w:cs="仿宋_GB2312"/>
          <w:kern w:val="0"/>
          <w:sz w:val="32"/>
          <w:szCs w:val="32"/>
          <w:lang w:val="en-US" w:eastAsia="zh-CN"/>
        </w:rPr>
        <w:t>302.49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日常公用经费</w:t>
      </w:r>
      <w:r>
        <w:rPr>
          <w:rFonts w:hint="eastAsia" w:ascii="仿宋_GB2312" w:hAnsi="仿宋_GB2312" w:eastAsia="仿宋_GB2312" w:cs="仿宋_GB2312"/>
          <w:kern w:val="0"/>
          <w:sz w:val="32"/>
          <w:szCs w:val="32"/>
          <w:lang w:val="en-US" w:eastAsia="zh-CN"/>
        </w:rPr>
        <w:t>31.71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widowControl/>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3、比上年增减情况</w:t>
      </w:r>
    </w:p>
    <w:p>
      <w:pPr>
        <w:widowControl/>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年预算收支安排</w:t>
      </w:r>
      <w:r>
        <w:rPr>
          <w:rFonts w:hint="eastAsia" w:ascii="仿宋_GB2312" w:hAnsi="仿宋_GB2312" w:eastAsia="仿宋_GB2312" w:cs="仿宋_GB2312"/>
          <w:kern w:val="0"/>
          <w:sz w:val="32"/>
          <w:szCs w:val="32"/>
          <w:lang w:val="en-US" w:eastAsia="zh-CN"/>
        </w:rPr>
        <w:t>334.2</w:t>
      </w:r>
      <w:r>
        <w:rPr>
          <w:rFonts w:hint="eastAsia" w:ascii="仿宋_GB2312" w:hAnsi="仿宋_GB2312" w:eastAsia="仿宋_GB2312" w:cs="仿宋_GB2312"/>
          <w:kern w:val="0"/>
          <w:sz w:val="32"/>
          <w:szCs w:val="32"/>
        </w:rPr>
        <w:t>万元，较201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294.83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增加了</w:t>
      </w:r>
      <w:r>
        <w:rPr>
          <w:rFonts w:hint="eastAsia" w:ascii="仿宋_GB2312" w:hAnsi="仿宋_GB2312" w:eastAsia="仿宋_GB2312" w:cs="仿宋_GB2312"/>
          <w:kern w:val="0"/>
          <w:sz w:val="32"/>
          <w:szCs w:val="32"/>
          <w:lang w:val="en-US" w:eastAsia="zh-CN"/>
        </w:rPr>
        <w:t>39.37</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val="en-US" w:eastAsia="zh-CN"/>
        </w:rPr>
        <w:t>39.37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其中</w:t>
      </w:r>
      <w:r>
        <w:rPr>
          <w:rFonts w:hint="eastAsia" w:ascii="仿宋_GB2312" w:hAnsi="仿宋_GB2312" w:eastAsia="仿宋_GB2312" w:cs="仿宋_GB2312"/>
          <w:kern w:val="0"/>
          <w:sz w:val="32"/>
          <w:szCs w:val="32"/>
        </w:rPr>
        <w:t>人员经费</w:t>
      </w:r>
      <w:r>
        <w:rPr>
          <w:rFonts w:hint="eastAsia" w:ascii="仿宋_GB2312" w:hAnsi="仿宋_GB2312" w:eastAsia="仿宋_GB2312" w:cs="仿宋_GB2312"/>
          <w:kern w:val="0"/>
          <w:sz w:val="32"/>
          <w:szCs w:val="32"/>
          <w:lang w:eastAsia="zh-CN"/>
        </w:rPr>
        <w:t>增加了</w:t>
      </w:r>
      <w:r>
        <w:rPr>
          <w:rFonts w:hint="eastAsia" w:ascii="仿宋_GB2312" w:hAnsi="仿宋_GB2312" w:eastAsia="仿宋_GB2312" w:cs="仿宋_GB2312"/>
          <w:kern w:val="0"/>
          <w:sz w:val="32"/>
          <w:szCs w:val="32"/>
          <w:lang w:val="en-US" w:eastAsia="zh-CN"/>
        </w:rPr>
        <w:t>46.36</w:t>
      </w:r>
      <w:r>
        <w:rPr>
          <w:rFonts w:hint="eastAsia" w:ascii="仿宋_GB2312" w:hAnsi="仿宋_GB2312" w:eastAsia="仿宋_GB2312" w:cs="仿宋_GB2312"/>
          <w:kern w:val="0"/>
          <w:sz w:val="32"/>
          <w:szCs w:val="32"/>
        </w:rPr>
        <w:t>万元、正常公用经费</w:t>
      </w:r>
      <w:r>
        <w:rPr>
          <w:rFonts w:hint="eastAsia" w:ascii="仿宋_GB2312" w:hAnsi="仿宋_GB2312" w:eastAsia="仿宋_GB2312" w:cs="仿宋_GB2312"/>
          <w:kern w:val="0"/>
          <w:sz w:val="32"/>
          <w:szCs w:val="32"/>
          <w:lang w:eastAsia="zh-CN"/>
        </w:rPr>
        <w:t>减少了</w:t>
      </w:r>
      <w:r>
        <w:rPr>
          <w:rFonts w:hint="eastAsia" w:ascii="仿宋_GB2312" w:hAnsi="仿宋_GB2312" w:eastAsia="仿宋_GB2312" w:cs="仿宋_GB2312"/>
          <w:kern w:val="0"/>
          <w:sz w:val="32"/>
          <w:szCs w:val="32"/>
          <w:lang w:val="en-US" w:eastAsia="zh-CN"/>
        </w:rPr>
        <w:t>6.99万元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w:t>
      </w:r>
      <w:r>
        <w:rPr>
          <w:rFonts w:hint="eastAsia" w:ascii="仿宋_GB2312" w:hAnsi="仿宋_GB2312" w:eastAsia="仿宋_GB2312" w:cs="仿宋_GB2312"/>
          <w:kern w:val="0"/>
          <w:sz w:val="32"/>
          <w:szCs w:val="32"/>
          <w:lang w:eastAsia="zh-CN"/>
        </w:rPr>
        <w:t>原因人员经费支出个人部分人员工资正常晋升，各种保险费用、调整，</w:t>
      </w:r>
      <w:r>
        <w:rPr>
          <w:rFonts w:hint="eastAsia" w:ascii="仿宋_GB2312" w:hAnsi="仿宋_GB2312" w:eastAsia="仿宋_GB2312" w:cs="仿宋_GB2312"/>
          <w:kern w:val="0"/>
          <w:sz w:val="32"/>
          <w:szCs w:val="32"/>
          <w:lang w:val="en-US" w:eastAsia="zh-CN"/>
        </w:rPr>
        <w:t>2020年调入2人</w:t>
      </w:r>
      <w:r>
        <w:rPr>
          <w:rFonts w:hint="eastAsia" w:ascii="仿宋_GB2312" w:hAnsi="仿宋_GB2312" w:eastAsia="仿宋_GB2312" w:cs="仿宋_GB2312"/>
          <w:kern w:val="0"/>
          <w:sz w:val="32"/>
          <w:szCs w:val="32"/>
          <w:lang w:eastAsia="zh-CN"/>
        </w:rPr>
        <w:t>。正常公用经费本年减少劳务费</w:t>
      </w:r>
      <w:r>
        <w:rPr>
          <w:rFonts w:hint="eastAsia" w:ascii="仿宋_GB2312" w:hAnsi="仿宋_GB2312" w:eastAsia="仿宋_GB2312" w:cs="仿宋_GB2312"/>
          <w:kern w:val="0"/>
          <w:sz w:val="32"/>
          <w:szCs w:val="32"/>
          <w:lang w:val="en-US" w:eastAsia="zh-CN"/>
        </w:rPr>
        <w:t>9.6万元，办公经费因调入2人，本年略有增加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2021年没有安排项目支出</w:t>
      </w:r>
      <w:r>
        <w:rPr>
          <w:rFonts w:hint="eastAsia" w:ascii="仿宋_GB2312" w:hAnsi="仿宋_GB2312" w:eastAsia="仿宋_GB2312" w:cs="仿宋_GB2312"/>
          <w:kern w:val="0"/>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三、机关运行经费安排情况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31.71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比去年减少了6.99万元。</w:t>
      </w:r>
      <w:r>
        <w:rPr>
          <w:rFonts w:hint="eastAsia" w:ascii="仿宋_GB2312" w:hAnsi="仿宋_GB2312" w:eastAsia="仿宋_GB2312" w:cs="仿宋_GB2312"/>
          <w:sz w:val="32"/>
          <w:szCs w:val="32"/>
        </w:rPr>
        <w:t>主要用于保证正常办公的基本需要和维持单位日常业务运转，包括：办公费</w:t>
      </w:r>
      <w:r>
        <w:rPr>
          <w:rFonts w:hint="eastAsia" w:ascii="仿宋_GB2312" w:hAnsi="仿宋_GB2312" w:eastAsia="仿宋_GB2312" w:cs="仿宋_GB2312"/>
          <w:sz w:val="32"/>
          <w:szCs w:val="32"/>
          <w:lang w:val="en-US" w:eastAsia="zh-CN"/>
        </w:rPr>
        <w:t>0.89万元，印刷费0.17万元，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1.62万元，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1.07万元，</w:t>
      </w:r>
      <w:r>
        <w:rPr>
          <w:rFonts w:hint="eastAsia" w:ascii="仿宋_GB2312" w:hAnsi="仿宋_GB2312" w:eastAsia="仿宋_GB2312" w:cs="仿宋_GB2312"/>
          <w:sz w:val="32"/>
          <w:szCs w:val="32"/>
          <w:lang w:eastAsia="zh-CN"/>
        </w:rPr>
        <w:t>水费</w:t>
      </w:r>
      <w:r>
        <w:rPr>
          <w:rFonts w:hint="eastAsia" w:ascii="仿宋_GB2312" w:hAnsi="仿宋_GB2312" w:eastAsia="仿宋_GB2312" w:cs="仿宋_GB2312"/>
          <w:sz w:val="32"/>
          <w:szCs w:val="32"/>
          <w:lang w:val="en-US" w:eastAsia="zh-CN"/>
        </w:rPr>
        <w:t>0.2万元</w:t>
      </w:r>
      <w:r>
        <w:rPr>
          <w:rFonts w:hint="eastAsia" w:ascii="仿宋_GB2312" w:hAnsi="仿宋_GB2312" w:eastAsia="仿宋_GB2312" w:cs="仿宋_GB2312"/>
          <w:sz w:val="32"/>
          <w:szCs w:val="32"/>
          <w:lang w:eastAsia="zh-CN"/>
        </w:rPr>
        <w:t>，电费</w:t>
      </w:r>
      <w:r>
        <w:rPr>
          <w:rFonts w:hint="eastAsia" w:ascii="仿宋_GB2312" w:hAnsi="仿宋_GB2312" w:eastAsia="仿宋_GB2312" w:cs="仿宋_GB2312"/>
          <w:sz w:val="32"/>
          <w:szCs w:val="32"/>
          <w:lang w:val="en-US" w:eastAsia="zh-CN"/>
        </w:rPr>
        <w:t>1.52万元</w:t>
      </w:r>
      <w:r>
        <w:rPr>
          <w:rFonts w:hint="eastAsia" w:ascii="仿宋_GB2312" w:hAnsi="仿宋_GB2312" w:eastAsia="仿宋_GB2312" w:cs="仿宋_GB2312"/>
          <w:sz w:val="32"/>
          <w:szCs w:val="32"/>
          <w:lang w:eastAsia="zh-CN"/>
        </w:rPr>
        <w:t>，取暖费</w:t>
      </w:r>
      <w:r>
        <w:rPr>
          <w:rFonts w:hint="eastAsia" w:ascii="仿宋_GB2312" w:hAnsi="仿宋_GB2312" w:eastAsia="仿宋_GB2312" w:cs="仿宋_GB2312"/>
          <w:sz w:val="32"/>
          <w:szCs w:val="32"/>
          <w:lang w:val="en-US" w:eastAsia="zh-CN"/>
        </w:rPr>
        <w:t>6.73万元，汽车租赁费2.8万元，交通补贴4.5万元，</w:t>
      </w:r>
      <w:r>
        <w:rPr>
          <w:rFonts w:hint="eastAsia" w:ascii="仿宋_GB2312" w:hAnsi="仿宋_GB2312" w:eastAsia="仿宋_GB2312" w:cs="仿宋_GB2312"/>
          <w:sz w:val="32"/>
          <w:szCs w:val="32"/>
          <w:lang w:eastAsia="zh-CN"/>
        </w:rPr>
        <w:t>公车运行与维护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2.84万元,劳务费2万元，会议费0.36万元，培训费0.71万元，招待费0.3万元，其他商品和服务支出6万元等</w:t>
      </w:r>
      <w:r>
        <w:rPr>
          <w:rFonts w:hint="eastAsia" w:ascii="仿宋_GB2312" w:hAnsi="仿宋_GB2312" w:eastAsia="仿宋_GB2312" w:cs="仿宋_GB2312"/>
          <w:sz w:val="32"/>
          <w:szCs w:val="32"/>
        </w:rPr>
        <w:t>日常运行支出。</w:t>
      </w:r>
    </w:p>
    <w:p>
      <w:pPr>
        <w:autoSpaceDE w:val="0"/>
        <w:autoSpaceDN w:val="0"/>
        <w:adjustRightInd w:val="0"/>
        <w:ind w:left="198"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四、财政拨款“三公”经费预算情况及增减变化原因</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因公出国（境）费0万元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；公务用车购置及运维费</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（其中：公务用车购置费为0万元，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lang w:eastAsia="zh-CN"/>
        </w:rPr>
        <w:t>运行维护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与上年持平。</w:t>
      </w:r>
    </w:p>
    <w:p>
      <w:pPr>
        <w:widowControl/>
        <w:snapToGrid w:val="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“三公”经费与20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年相比</w:t>
      </w:r>
      <w:r>
        <w:rPr>
          <w:rFonts w:hint="eastAsia" w:ascii="仿宋_GB2312" w:hAnsi="仿宋_GB2312" w:eastAsia="仿宋_GB2312" w:cs="仿宋_GB2312"/>
          <w:kern w:val="0"/>
          <w:sz w:val="32"/>
          <w:szCs w:val="32"/>
          <w:lang w:eastAsia="zh-CN"/>
        </w:rPr>
        <w:t>，没有变化。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1、按照年初预算，公务用车运行维护费与上年相比没有变化。2、</w:t>
      </w:r>
      <w:r>
        <w:rPr>
          <w:rFonts w:hint="eastAsia" w:ascii="仿宋_GB2312" w:hAnsi="仿宋_GB2312" w:eastAsia="仿宋_GB2312" w:cs="仿宋_GB2312"/>
          <w:kern w:val="0"/>
          <w:sz w:val="32"/>
          <w:szCs w:val="32"/>
          <w:lang w:eastAsia="zh-CN"/>
        </w:rPr>
        <w:t>本年按照县内相关政策安排</w:t>
      </w:r>
      <w:r>
        <w:rPr>
          <w:rFonts w:hint="eastAsia" w:ascii="仿宋_GB2312" w:hAnsi="仿宋_GB2312" w:eastAsia="仿宋_GB2312" w:cs="仿宋_GB2312"/>
          <w:kern w:val="0"/>
          <w:sz w:val="32"/>
          <w:szCs w:val="32"/>
          <w:lang w:val="en-US" w:eastAsia="zh-CN"/>
        </w:rPr>
        <w:t>0.3万元招待费，</w:t>
      </w:r>
      <w:r>
        <w:rPr>
          <w:rFonts w:hint="eastAsia" w:ascii="仿宋_GB2312" w:hAnsi="仿宋_GB2312" w:eastAsia="仿宋_GB2312" w:cs="仿宋_GB2312"/>
          <w:kern w:val="0"/>
          <w:sz w:val="32"/>
          <w:szCs w:val="32"/>
          <w:lang w:eastAsia="zh-CN"/>
        </w:rPr>
        <w:t>按照公用经费</w:t>
      </w:r>
      <w:r>
        <w:rPr>
          <w:rFonts w:hint="eastAsia" w:ascii="仿宋_GB2312" w:hAnsi="仿宋_GB2312" w:eastAsia="仿宋_GB2312" w:cs="仿宋_GB2312"/>
          <w:kern w:val="0"/>
          <w:sz w:val="32"/>
          <w:szCs w:val="32"/>
          <w:lang w:val="en-US" w:eastAsia="zh-CN"/>
        </w:rPr>
        <w:t>2%比例计提安排本年招待费用</w:t>
      </w:r>
    </w:p>
    <w:p>
      <w:pPr>
        <w:numPr>
          <w:ilvl w:val="0"/>
          <w:numId w:val="1"/>
        </w:num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绩效预算信息</w:t>
      </w:r>
    </w:p>
    <w:p>
      <w:pPr>
        <w:widowControl/>
        <w:ind w:firstLine="6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总体绩效目标</w:t>
      </w:r>
    </w:p>
    <w:p>
      <w:pPr>
        <w:widowControl/>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、年度发展规划目标</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总体目标：</w:t>
      </w:r>
      <w:r>
        <w:rPr>
          <w:rFonts w:hint="eastAsia" w:ascii="仿宋_GB2312" w:hAnsi="仿宋_GB2312" w:eastAsia="仿宋_GB2312" w:cs="仿宋_GB2312"/>
          <w:sz w:val="32"/>
          <w:szCs w:val="32"/>
        </w:rPr>
        <w:t xml:space="preserve"> 乐亭县委党校部门年度发展规划目标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在县委的正确领导下，按照省市委关于“解放思想、抢抓机遇、奋发有为、协同发展”的决策部署，以创新争优为导向，以学习、宣传和贯彻落实党的</w:t>
      </w:r>
      <w:r>
        <w:rPr>
          <w:rFonts w:hint="eastAsia" w:ascii="仿宋_GB2312" w:hAnsi="仿宋_GB2312" w:eastAsia="仿宋_GB2312" w:cs="仿宋_GB2312"/>
          <w:sz w:val="32"/>
          <w:szCs w:val="32"/>
          <w:lang w:eastAsia="zh-CN"/>
        </w:rPr>
        <w:t>十九大</w:t>
      </w:r>
      <w:r>
        <w:rPr>
          <w:rFonts w:hint="eastAsia" w:ascii="仿宋_GB2312" w:hAnsi="仿宋_GB2312" w:eastAsia="仿宋_GB2312" w:cs="仿宋_GB2312"/>
          <w:sz w:val="32"/>
          <w:szCs w:val="32"/>
        </w:rPr>
        <w:t>精神为主线，进一步拓展干训空间，充分发挥好干部培训主渠道、理论研究主阵地和理论宣传主力军作用,为建设沿海强县、美丽乐亭提供强有力的智力支持和人才保障。</w:t>
      </w:r>
    </w:p>
    <w:p>
      <w:pPr>
        <w:numPr>
          <w:ilvl w:val="0"/>
          <w:numId w:val="0"/>
        </w:numPr>
        <w:ind w:firstLine="640" w:firstLineChars="200"/>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color w:val="auto"/>
          <w:sz w:val="32"/>
          <w:szCs w:val="32"/>
          <w:lang w:eastAsia="zh-CN"/>
        </w:rPr>
        <w:t>做好</w:t>
      </w:r>
      <w:r>
        <w:rPr>
          <w:rFonts w:hint="eastAsia" w:ascii="仿宋_GB2312" w:hAnsi="仿宋_GB2312" w:eastAsia="仿宋_GB2312" w:cs="仿宋_GB2312"/>
          <w:b w:val="0"/>
          <w:bCs w:val="0"/>
          <w:color w:val="auto"/>
          <w:sz w:val="32"/>
          <w:szCs w:val="32"/>
          <w:lang w:val="en-US" w:eastAsia="zh-CN"/>
        </w:rPr>
        <w:t>十九届</w:t>
      </w:r>
      <w:r>
        <w:rPr>
          <w:rFonts w:hint="eastAsia" w:ascii="仿宋_GB2312" w:hAnsi="仿宋_GB2312" w:eastAsia="仿宋_GB2312" w:cs="仿宋_GB2312"/>
          <w:i w:val="0"/>
          <w:caps w:val="0"/>
          <w:color w:val="auto"/>
          <w:spacing w:val="0"/>
          <w:sz w:val="32"/>
          <w:szCs w:val="32"/>
          <w:lang w:eastAsia="zh-CN"/>
        </w:rPr>
        <w:t>五</w:t>
      </w:r>
      <w:r>
        <w:rPr>
          <w:rFonts w:hint="eastAsia" w:ascii="仿宋_GB2312" w:hAnsi="仿宋_GB2312" w:eastAsia="仿宋_GB2312" w:cs="仿宋_GB2312"/>
          <w:i w:val="0"/>
          <w:caps w:val="0"/>
          <w:color w:val="auto"/>
          <w:spacing w:val="0"/>
          <w:sz w:val="32"/>
          <w:szCs w:val="32"/>
        </w:rPr>
        <w:t>中全会精神</w:t>
      </w:r>
      <w:r>
        <w:rPr>
          <w:rFonts w:hint="eastAsia" w:ascii="仿宋_GB2312" w:hAnsi="仿宋_GB2312" w:eastAsia="仿宋_GB2312" w:cs="仿宋_GB2312"/>
          <w:i w:val="0"/>
          <w:caps w:val="0"/>
          <w:color w:val="auto"/>
          <w:spacing w:val="0"/>
          <w:sz w:val="32"/>
          <w:szCs w:val="32"/>
          <w:lang w:eastAsia="zh-CN"/>
        </w:rPr>
        <w:t>宣讲</w:t>
      </w:r>
      <w:r>
        <w:rPr>
          <w:rFonts w:hint="eastAsia" w:ascii="仿宋_GB2312" w:hAnsi="仿宋_GB2312" w:eastAsia="仿宋_GB2312" w:cs="仿宋_GB2312"/>
          <w:b w:val="0"/>
          <w:bCs w:val="0"/>
          <w:i w:val="0"/>
          <w:caps w:val="0"/>
          <w:color w:val="auto"/>
          <w:spacing w:val="0"/>
          <w:sz w:val="32"/>
          <w:szCs w:val="32"/>
          <w:shd w:val="clear" w:color="auto" w:fill="FFFFFF"/>
          <w:lang w:eastAsia="zh-CN"/>
        </w:rPr>
        <w:t>培训工作，教育党员干部</w:t>
      </w:r>
      <w:r>
        <w:rPr>
          <w:rFonts w:hint="eastAsia" w:ascii="仿宋_GB2312" w:hAnsi="仿宋_GB2312" w:eastAsia="仿宋_GB2312" w:cs="仿宋_GB2312"/>
          <w:i w:val="0"/>
          <w:caps w:val="0"/>
          <w:color w:val="auto"/>
          <w:spacing w:val="0"/>
          <w:sz w:val="32"/>
          <w:szCs w:val="32"/>
        </w:rPr>
        <w:t>自觉把思想和行动统一到党中央的部署要求上来，增强“四个意识”</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坚定“四个自信”</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做到“两个维护”</w:t>
      </w:r>
      <w:r>
        <w:rPr>
          <w:rFonts w:hint="eastAsia" w:ascii="仿宋_GB2312" w:hAnsi="仿宋_GB2312" w:eastAsia="仿宋_GB2312" w:cs="仿宋_GB2312"/>
          <w:i w:val="0"/>
          <w:caps w:val="0"/>
          <w:color w:val="auto"/>
          <w:spacing w:val="0"/>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高质量进行李大钊干部学院基础设施建设，严格监督施工，确保工程质量。</w:t>
      </w:r>
    </w:p>
    <w:p>
      <w:pPr>
        <w:ind w:firstLine="321" w:firstLineChars="100"/>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职责分类绩效目标：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部门职责分类绩效目标情况说明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学习好、宣传好、贯彻好党的十九届五中全会精神。重点围绕习近平总书记在全会上的重要讲话和全会《建议》，原原本本学、全面系统学、深入思考学、联系实际学，努力掌握全会精神的丰富内涵和核心要义。要</w:t>
      </w:r>
      <w:r>
        <w:rPr>
          <w:rFonts w:hint="eastAsia" w:ascii="方正仿宋简体" w:hAnsi="方正仿宋简体" w:eastAsia="方正仿宋简体" w:cs="方正仿宋简体"/>
          <w:color w:val="000000"/>
          <w:sz w:val="32"/>
          <w:szCs w:val="32"/>
          <w:lang w:val="en-US" w:eastAsia="zh-CN"/>
        </w:rPr>
        <w:t>选派骨干教师，</w:t>
      </w:r>
      <w:r>
        <w:rPr>
          <w:rFonts w:hint="eastAsia" w:ascii="方正仿宋简体" w:hAnsi="方正仿宋简体" w:eastAsia="方正仿宋简体" w:cs="方正仿宋简体"/>
          <w:color w:val="000000"/>
          <w:sz w:val="32"/>
          <w:szCs w:val="32"/>
          <w:lang w:eastAsia="zh-CN"/>
        </w:rPr>
        <w:t>深入开展面向基层的对象化、互动化宣讲，扩大宣讲覆盖面和影响力，推动广大干部群众切实把思想和行动统一到全会精神上来，把智慧和力量凝聚到落实全会确定的各项任务上来。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2、集中主要力量做好李大钊干部学院工程建设。协调配合相关部门，加快解决工程建设中遇到的各种问题，力争工程建设又快又好。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3、发挥干训主渠道作用，积极落实组织部门的干训安排</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计划</w:t>
      </w:r>
      <w:r>
        <w:rPr>
          <w:rFonts w:hint="eastAsia" w:ascii="方正仿宋简体" w:hAnsi="方正仿宋简体" w:eastAsia="方正仿宋简体" w:cs="方正仿宋简体"/>
          <w:sz w:val="32"/>
          <w:szCs w:val="32"/>
          <w:lang w:eastAsia="zh-CN"/>
        </w:rPr>
        <w:t>举办</w:t>
      </w:r>
      <w:r>
        <w:rPr>
          <w:rFonts w:hint="eastAsia" w:ascii="方正仿宋简体" w:hAnsi="方正仿宋简体" w:eastAsia="方正仿宋简体" w:cs="方正仿宋简体"/>
          <w:sz w:val="32"/>
          <w:szCs w:val="32"/>
          <w:lang w:val="en-US" w:eastAsia="zh-CN"/>
        </w:rPr>
        <w:t>十九届五中全会精神轮训班、中青年干部培训班、党务干部培训班等</w:t>
      </w:r>
      <w:r>
        <w:rPr>
          <w:rFonts w:hint="eastAsia" w:ascii="方正仿宋简体" w:hAnsi="方正仿宋简体" w:eastAsia="方正仿宋简体" w:cs="方正仿宋简体"/>
          <w:sz w:val="32"/>
          <w:szCs w:val="32"/>
          <w:lang w:eastAsia="zh-CN"/>
        </w:rPr>
        <w:t>各类培训班</w:t>
      </w:r>
      <w:r>
        <w:rPr>
          <w:rFonts w:hint="eastAsia" w:ascii="方正仿宋简体" w:hAnsi="方正仿宋简体" w:eastAsia="方正仿宋简体" w:cs="方正仿宋简体"/>
          <w:sz w:val="32"/>
          <w:szCs w:val="32"/>
          <w:lang w:val="en-US" w:eastAsia="zh-CN"/>
        </w:rPr>
        <w:t>10期</w:t>
      </w:r>
      <w:r>
        <w:rPr>
          <w:rFonts w:hint="eastAsia" w:ascii="方正仿宋简体" w:hAnsi="方正仿宋简体" w:eastAsia="方正仿宋简体" w:cs="方正仿宋简体"/>
          <w:sz w:val="32"/>
          <w:szCs w:val="32"/>
          <w:lang w:eastAsia="zh-CN"/>
        </w:rPr>
        <w:t>，培训</w:t>
      </w:r>
      <w:r>
        <w:rPr>
          <w:rFonts w:hint="eastAsia" w:ascii="方正仿宋简体" w:hAnsi="方正仿宋简体" w:eastAsia="方正仿宋简体" w:cs="方正仿宋简体"/>
          <w:sz w:val="32"/>
          <w:szCs w:val="32"/>
          <w:lang w:val="en-US" w:eastAsia="zh-CN"/>
        </w:rPr>
        <w:t>学员2000人次。</w:t>
      </w:r>
      <w:r>
        <w:rPr>
          <w:rFonts w:hint="eastAsia" w:ascii="方正仿宋简体" w:hAnsi="方正仿宋简体" w:eastAsia="方正仿宋简体" w:cs="方正仿宋简体"/>
          <w:sz w:val="32"/>
          <w:szCs w:val="32"/>
        </w:rPr>
        <w:t>以习近平新时代中国特色社会主义思想和十九届四中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五中</w:t>
      </w:r>
      <w:r>
        <w:rPr>
          <w:rFonts w:hint="eastAsia" w:ascii="方正仿宋简体" w:hAnsi="方正仿宋简体" w:eastAsia="方正仿宋简体" w:cs="方正仿宋简体"/>
          <w:sz w:val="32"/>
          <w:szCs w:val="32"/>
        </w:rPr>
        <w:t>全会精神作为送课重点。在全县范围内大力开展“下基层讲党课”活动，</w:t>
      </w:r>
      <w:r>
        <w:rPr>
          <w:rFonts w:hint="eastAsia" w:ascii="方正仿宋简体" w:hAnsi="方正仿宋简体" w:eastAsia="方正仿宋简体" w:cs="方正仿宋简体"/>
          <w:sz w:val="32"/>
          <w:szCs w:val="32"/>
          <w:lang w:val="en-US" w:eastAsia="zh-CN"/>
        </w:rPr>
        <w:t>计划送课30个单位，培训学员3000人</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4、深入基层调研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提高服务县委县政府科学决策的能力。根据县委县政府中心工作需要，确定调研专题，</w:t>
      </w:r>
      <w:r>
        <w:rPr>
          <w:rFonts w:hint="eastAsia" w:ascii="方正仿宋简体" w:hAnsi="方正仿宋简体" w:eastAsia="方正仿宋简体" w:cs="方正仿宋简体"/>
          <w:sz w:val="32"/>
          <w:szCs w:val="32"/>
        </w:rPr>
        <w:t>组成调研组</w:t>
      </w:r>
      <w:r>
        <w:rPr>
          <w:rFonts w:hint="eastAsia" w:ascii="方正仿宋简体" w:hAnsi="方正仿宋简体" w:eastAsia="方正仿宋简体" w:cs="方正仿宋简体"/>
          <w:sz w:val="32"/>
          <w:szCs w:val="32"/>
          <w:lang w:val="en-US" w:eastAsia="zh-CN"/>
        </w:rPr>
        <w:t>深入基层</w:t>
      </w:r>
      <w:r>
        <w:rPr>
          <w:rFonts w:hint="eastAsia" w:ascii="方正仿宋简体" w:hAnsi="方正仿宋简体" w:eastAsia="方正仿宋简体" w:cs="方正仿宋简体"/>
          <w:sz w:val="32"/>
          <w:szCs w:val="32"/>
        </w:rPr>
        <w:t>调</w:t>
      </w:r>
      <w:r>
        <w:rPr>
          <w:rFonts w:hint="eastAsia" w:ascii="方正仿宋简体" w:hAnsi="方正仿宋简体" w:eastAsia="方正仿宋简体" w:cs="方正仿宋简体"/>
          <w:sz w:val="32"/>
          <w:szCs w:val="32"/>
          <w:lang w:val="en-US" w:eastAsia="zh-CN"/>
        </w:rPr>
        <w:t>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撰写</w:t>
      </w:r>
      <w:r>
        <w:rPr>
          <w:rFonts w:hint="eastAsia" w:ascii="方正仿宋简体" w:hAnsi="方正仿宋简体" w:eastAsia="方正仿宋简体" w:cs="方正仿宋简体"/>
          <w:sz w:val="32"/>
          <w:szCs w:val="32"/>
          <w:lang w:eastAsia="zh-CN"/>
        </w:rPr>
        <w:t>有价值的调查报告</w:t>
      </w:r>
      <w:r>
        <w:rPr>
          <w:rFonts w:hint="eastAsia" w:ascii="方正仿宋简体" w:hAnsi="方正仿宋简体" w:eastAsia="方正仿宋简体" w:cs="方正仿宋简体"/>
          <w:sz w:val="32"/>
          <w:szCs w:val="32"/>
          <w:lang w:val="en-US" w:eastAsia="zh-CN"/>
        </w:rPr>
        <w:t>提交有关部门参考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    </w:t>
      </w:r>
    </w:p>
    <w:p>
      <w:pPr>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深</w:t>
      </w:r>
      <w:r>
        <w:rPr>
          <w:rFonts w:hint="eastAsia" w:ascii="方正仿宋简体" w:hAnsi="方正仿宋简体" w:eastAsia="方正仿宋简体" w:cs="方正仿宋简体"/>
          <w:sz w:val="32"/>
          <w:szCs w:val="32"/>
          <w:lang w:eastAsia="zh-CN"/>
        </w:rPr>
        <w:t>入</w:t>
      </w:r>
      <w:r>
        <w:rPr>
          <w:rFonts w:hint="eastAsia" w:ascii="方正仿宋简体" w:hAnsi="方正仿宋简体" w:eastAsia="方正仿宋简体" w:cs="方正仿宋简体"/>
          <w:sz w:val="32"/>
          <w:szCs w:val="32"/>
        </w:rPr>
        <w:t>挖掘大钊</w:t>
      </w:r>
      <w:r>
        <w:rPr>
          <w:rFonts w:hint="eastAsia" w:ascii="方正仿宋简体" w:hAnsi="方正仿宋简体" w:eastAsia="方正仿宋简体" w:cs="方正仿宋简体"/>
          <w:sz w:val="32"/>
          <w:szCs w:val="32"/>
          <w:lang w:val="en-US" w:eastAsia="zh-CN"/>
        </w:rPr>
        <w:t>故乡红色资源</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储备</w:t>
      </w:r>
      <w:r>
        <w:rPr>
          <w:rFonts w:hint="eastAsia" w:ascii="方正仿宋简体" w:hAnsi="方正仿宋简体" w:eastAsia="方正仿宋简体" w:cs="方正仿宋简体"/>
          <w:sz w:val="32"/>
          <w:szCs w:val="32"/>
        </w:rPr>
        <w:t>“不忘初心</w:t>
      </w:r>
      <w:r>
        <w:rPr>
          <w:rFonts w:hint="eastAsia" w:ascii="方正仿宋简体" w:hAnsi="方正仿宋简体" w:eastAsia="方正仿宋简体" w:cs="方正仿宋简体"/>
          <w:sz w:val="32"/>
          <w:szCs w:val="32"/>
          <w:lang w:eastAsia="zh-CN"/>
        </w:rPr>
        <w:t>、牢记使命”特色</w:t>
      </w:r>
      <w:r>
        <w:rPr>
          <w:rFonts w:hint="eastAsia" w:ascii="方正仿宋简体" w:hAnsi="方正仿宋简体" w:eastAsia="方正仿宋简体" w:cs="方正仿宋简体"/>
          <w:sz w:val="32"/>
          <w:szCs w:val="32"/>
        </w:rPr>
        <w:t>课</w:t>
      </w:r>
      <w:r>
        <w:rPr>
          <w:rFonts w:hint="eastAsia" w:ascii="方正仿宋简体" w:hAnsi="方正仿宋简体" w:eastAsia="方正仿宋简体" w:cs="方正仿宋简体"/>
          <w:sz w:val="32"/>
          <w:szCs w:val="32"/>
          <w:lang w:val="en-US" w:eastAsia="zh-CN"/>
        </w:rPr>
        <w:t>程</w:t>
      </w:r>
      <w:r>
        <w:rPr>
          <w:rFonts w:hint="eastAsia" w:ascii="方正仿宋简体" w:hAnsi="方正仿宋简体" w:eastAsia="方正仿宋简体" w:cs="方正仿宋简体"/>
          <w:sz w:val="32"/>
          <w:szCs w:val="32"/>
        </w:rPr>
        <w:t>。深入</w:t>
      </w:r>
      <w:r>
        <w:rPr>
          <w:rFonts w:hint="eastAsia" w:ascii="方正仿宋简体" w:hAnsi="方正仿宋简体" w:eastAsia="方正仿宋简体" w:cs="方正仿宋简体"/>
          <w:sz w:val="32"/>
          <w:szCs w:val="32"/>
          <w:lang w:val="en-US" w:eastAsia="zh-CN"/>
        </w:rPr>
        <w:t>学习研究</w:t>
      </w:r>
      <w:r>
        <w:rPr>
          <w:rFonts w:hint="eastAsia" w:ascii="方正仿宋简体" w:hAnsi="方正仿宋简体" w:eastAsia="方正仿宋简体" w:cs="方正仿宋简体"/>
          <w:sz w:val="32"/>
          <w:szCs w:val="32"/>
        </w:rPr>
        <w:t>大钊</w:t>
      </w:r>
      <w:r>
        <w:rPr>
          <w:rFonts w:hint="eastAsia" w:ascii="方正仿宋简体" w:hAnsi="方正仿宋简体" w:eastAsia="方正仿宋简体" w:cs="方正仿宋简体"/>
          <w:sz w:val="32"/>
          <w:szCs w:val="32"/>
          <w:lang w:val="en-US" w:eastAsia="zh-CN"/>
        </w:rPr>
        <w:t>精神</w:t>
      </w:r>
      <w:r>
        <w:rPr>
          <w:rFonts w:hint="eastAsia" w:ascii="方正仿宋简体" w:hAnsi="方正仿宋简体" w:eastAsia="方正仿宋简体" w:cs="方正仿宋简体"/>
          <w:sz w:val="32"/>
          <w:szCs w:val="32"/>
        </w:rPr>
        <w:t>，积极参加各类大钊思想、大钊精神学术研讨活动，积极吸收先进研究成果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将这些成果</w:t>
      </w:r>
      <w:r>
        <w:rPr>
          <w:rFonts w:hint="eastAsia" w:ascii="方正仿宋简体" w:hAnsi="方正仿宋简体" w:eastAsia="方正仿宋简体" w:cs="方正仿宋简体"/>
          <w:sz w:val="32"/>
          <w:szCs w:val="32"/>
          <w:lang w:eastAsia="zh-CN"/>
        </w:rPr>
        <w:t>转化</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储备</w:t>
      </w:r>
      <w:r>
        <w:rPr>
          <w:rFonts w:hint="eastAsia" w:ascii="方正仿宋简体" w:hAnsi="方正仿宋简体" w:eastAsia="方正仿宋简体" w:cs="方正仿宋简体"/>
          <w:sz w:val="32"/>
          <w:szCs w:val="32"/>
          <w:lang w:eastAsia="zh-CN"/>
        </w:rPr>
        <w:t>特色课，</w:t>
      </w:r>
      <w:r>
        <w:rPr>
          <w:rFonts w:hint="eastAsia" w:ascii="方正仿宋简体" w:hAnsi="方正仿宋简体" w:eastAsia="方正仿宋简体" w:cs="方正仿宋简体"/>
          <w:sz w:val="32"/>
          <w:szCs w:val="32"/>
          <w:lang w:val="en-US" w:eastAsia="zh-CN"/>
        </w:rPr>
        <w:t>满足李大钊干部学</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、实现年度发展规划目标的保障措施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（1）、加强班子队伍建设，提供组织保障。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（2）、讲究时效，强化后勤工作保障。通过有效的行政后勤管理，完善教学设施和服务网络，提高保障水平，促进教学活动和学员培训水平的提高。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（3）、积极调动本单位员工积极性，服务大局，不断提高教学水平，为积极开展各项工作提供保障。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281党校</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职责活动</w:t>
            </w:r>
          </w:p>
        </w:tc>
        <w:tc>
          <w:tcPr>
            <w:tcW w:w="1276"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年度预算数</w:t>
            </w:r>
          </w:p>
        </w:tc>
        <w:tc>
          <w:tcPr>
            <w:tcW w:w="2976"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内容描述</w:t>
            </w:r>
          </w:p>
        </w:tc>
        <w:tc>
          <w:tcPr>
            <w:tcW w:w="2976"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绩效目标</w:t>
            </w:r>
          </w:p>
        </w:tc>
        <w:tc>
          <w:tcPr>
            <w:tcW w:w="1417" w:type="dxa"/>
            <w:vMerge w:val="restart"/>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绩效指标</w:t>
            </w:r>
          </w:p>
        </w:tc>
        <w:tc>
          <w:tcPr>
            <w:tcW w:w="2948" w:type="dxa"/>
            <w:gridSpan w:val="4"/>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1276"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1417" w:type="dxa"/>
            <w:vMerge w:val="continue"/>
            <w:noWrap w:val="0"/>
            <w:vAlign w:val="center"/>
          </w:tcPr>
          <w:p>
            <w:pPr>
              <w:spacing w:line="300" w:lineRule="exact"/>
              <w:jc w:val="left"/>
              <w:outlineLvl w:val="0"/>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优</w:t>
            </w:r>
          </w:p>
        </w:tc>
        <w:tc>
          <w:tcPr>
            <w:tcW w:w="737" w:type="dxa"/>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良</w:t>
            </w:r>
          </w:p>
        </w:tc>
        <w:tc>
          <w:tcPr>
            <w:tcW w:w="737" w:type="dxa"/>
            <w:noWrap w:val="0"/>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中</w:t>
            </w:r>
          </w:p>
        </w:tc>
        <w:tc>
          <w:tcPr>
            <w:tcW w:w="737" w:type="dxa"/>
            <w:noWrap w:val="0"/>
            <w:vAlign w:val="center"/>
          </w:tcPr>
          <w:p>
            <w:pPr>
              <w:spacing w:line="3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培训教育</w:t>
            </w:r>
          </w:p>
        </w:tc>
        <w:tc>
          <w:tcPr>
            <w:tcW w:w="1276" w:type="dxa"/>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根据县委、县政府有关要求，有计划地轮训和培训全县各级党政领导干部和理论骨干，负责对学员在党校学习期间的表现进行考核</w:t>
            </w: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noWrap w:val="0"/>
            <w:vAlign w:val="center"/>
          </w:tcPr>
          <w:p>
            <w:pPr>
              <w:spacing w:line="300" w:lineRule="exact"/>
              <w:jc w:val="left"/>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24"/>
                <w:szCs w:val="24"/>
              </w:rPr>
            </w:pPr>
          </w:p>
        </w:tc>
        <w:tc>
          <w:tcPr>
            <w:tcW w:w="737" w:type="dxa"/>
            <w:noWrap w:val="0"/>
            <w:vAlign w:val="center"/>
          </w:tcPr>
          <w:p>
            <w:pPr>
              <w:spacing w:line="300" w:lineRule="exact"/>
              <w:jc w:val="center"/>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组织培训班</w:t>
            </w:r>
          </w:p>
        </w:tc>
        <w:tc>
          <w:tcPr>
            <w:tcW w:w="1276" w:type="dxa"/>
            <w:vMerge w:val="restart"/>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vMerge w:val="restart"/>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根据县委组织部的干训计划，培训、轮训领导干部和理论骨干；受县委、县政府及有关职能部门委托，举办各种专题培训、研讨班、大讲堂等。组织专职教师定期送课下乡。组织外地现场教学、联合办学等。</w:t>
            </w:r>
          </w:p>
        </w:tc>
        <w:tc>
          <w:tcPr>
            <w:tcW w:w="2976" w:type="dxa"/>
            <w:vMerge w:val="restart"/>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通过外请专家、学者授课，开拓学员思路；通过开展现场教学、情景模拟教学、案例教学、特色教学，有效提高培训质量，提高学员解决实际问题的能力</w:t>
            </w: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培训任务完成率</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仿宋_GB2312" w:hAnsi="仿宋_GB2312" w:eastAsia="仿宋_GB2312" w:cs="仿宋_GB2312"/>
                <w:b/>
                <w:sz w:val="24"/>
                <w:szCs w:val="24"/>
              </w:rPr>
            </w:pPr>
          </w:p>
        </w:tc>
        <w:tc>
          <w:tcPr>
            <w:tcW w:w="1276" w:type="dxa"/>
            <w:vMerge w:val="continue"/>
            <w:noWrap w:val="0"/>
            <w:vAlign w:val="center"/>
          </w:tcPr>
          <w:p>
            <w:pPr>
              <w:spacing w:line="300" w:lineRule="exact"/>
              <w:jc w:val="left"/>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rPr>
                <w:rFonts w:hint="eastAsia" w:ascii="仿宋_GB2312" w:hAnsi="仿宋_GB2312" w:eastAsia="仿宋_GB2312" w:cs="仿宋_GB2312"/>
                <w:sz w:val="24"/>
                <w:szCs w:val="24"/>
              </w:rPr>
            </w:pPr>
          </w:p>
        </w:tc>
        <w:tc>
          <w:tcPr>
            <w:tcW w:w="2976" w:type="dxa"/>
            <w:vMerge w:val="continue"/>
            <w:noWrap w:val="0"/>
            <w:vAlign w:val="center"/>
          </w:tcPr>
          <w:p>
            <w:pPr>
              <w:spacing w:line="300" w:lineRule="exact"/>
              <w:jc w:val="left"/>
              <w:rPr>
                <w:rFonts w:hint="eastAsia" w:ascii="仿宋_GB2312" w:hAnsi="仿宋_GB2312" w:eastAsia="仿宋_GB2312" w:cs="仿宋_GB2312"/>
                <w:sz w:val="24"/>
                <w:szCs w:val="24"/>
              </w:rPr>
            </w:pP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学员教学满意率</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师资与学科建设</w:t>
            </w:r>
          </w:p>
        </w:tc>
        <w:tc>
          <w:tcPr>
            <w:tcW w:w="1276" w:type="dxa"/>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加强学科建设和学科培育，形成有党校特色的优势学科、重点学科和教学基地。加强师资力量培训力度。</w:t>
            </w: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通过重点培育和建设，形成几门有党校特色的优势学科和重点学科</w:t>
            </w: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建设几门党校特色的优势学科</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教学事务管理</w:t>
            </w:r>
          </w:p>
        </w:tc>
        <w:tc>
          <w:tcPr>
            <w:tcW w:w="1276" w:type="dxa"/>
            <w:noWrap w:val="0"/>
            <w:vAlign w:val="center"/>
          </w:tcPr>
          <w:p>
            <w:pPr>
              <w:spacing w:line="300" w:lineRule="exact"/>
              <w:jc w:val="left"/>
              <w:rPr>
                <w:rFonts w:hint="eastAsia" w:ascii="仿宋_GB2312" w:hAnsi="仿宋_GB2312" w:eastAsia="仿宋_GB2312" w:cs="仿宋_GB2312"/>
                <w:sz w:val="24"/>
                <w:szCs w:val="24"/>
                <w:lang w:val="en-US" w:eastAsia="zh-CN"/>
              </w:rPr>
            </w:pP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组织实施综合管理和后勤保障事务。</w:t>
            </w:r>
          </w:p>
        </w:tc>
        <w:tc>
          <w:tcPr>
            <w:tcW w:w="2976"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通过有效的行政后勤管理，完善教学设施和服务网络，提高保障水平，促进教学活动和学员培训水平的提高</w:t>
            </w:r>
          </w:p>
        </w:tc>
        <w:tc>
          <w:tcPr>
            <w:tcW w:w="1417" w:type="dxa"/>
            <w:noWrap w:val="0"/>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学员对综合事务管理满意度</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737" w:type="dxa"/>
            <w:noWrap w:val="0"/>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r>
    </w:tbl>
    <w:p>
      <w:pPr>
        <w:spacing w:line="300" w:lineRule="exact"/>
        <w:jc w:val="left"/>
        <w:outlineLvl w:val="0"/>
        <w:rPr>
          <w:rFonts w:hint="eastAsia" w:ascii="仿宋_GB2312" w:hAnsi="仿宋_GB2312" w:eastAsia="仿宋_GB2312" w:cs="仿宋_GB2312"/>
          <w:sz w:val="32"/>
          <w:szCs w:val="32"/>
        </w:rPr>
      </w:pPr>
    </w:p>
    <w:p>
      <w:pPr>
        <w:spacing w:line="300" w:lineRule="exact"/>
        <w:jc w:val="left"/>
        <w:outlineLvl w:val="0"/>
        <w:rPr>
          <w:rFonts w:hint="eastAsia" w:ascii="仿宋_GB2312" w:hAnsi="仿宋_GB2312" w:eastAsia="仿宋_GB2312" w:cs="仿宋_GB2312"/>
          <w:sz w:val="32"/>
          <w:szCs w:val="32"/>
        </w:rPr>
      </w:pPr>
    </w:p>
    <w:p>
      <w:pPr>
        <w:spacing w:line="300" w:lineRule="exact"/>
        <w:jc w:val="left"/>
        <w:outlineLvl w:val="0"/>
        <w:rPr>
          <w:rFonts w:hint="eastAsia" w:ascii="仿宋_GB2312" w:hAnsi="仿宋_GB2312" w:eastAsia="仿宋_GB2312" w:cs="仿宋_GB2312"/>
          <w:sz w:val="32"/>
          <w:szCs w:val="32"/>
        </w:rPr>
      </w:pPr>
    </w:p>
    <w:p>
      <w:pPr>
        <w:widowControl/>
        <w:snapToGrid w:val="0"/>
        <w:ind w:firstLine="640"/>
        <w:jc w:val="left"/>
        <w:rPr>
          <w:rFonts w:hint="eastAsia" w:ascii="仿宋_GB2312" w:hAnsi="仿宋_GB2312" w:eastAsia="仿宋_GB2312" w:cs="仿宋_GB2312"/>
          <w:kern w:val="0"/>
          <w:sz w:val="32"/>
          <w:szCs w:val="32"/>
          <w:lang w:eastAsia="zh-CN"/>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p>
    <w:p>
      <w:pPr>
        <w:autoSpaceDE w:val="0"/>
        <w:autoSpaceDN w:val="0"/>
        <w:adjustRightInd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六、政府采购预算情况</w:t>
      </w:r>
    </w:p>
    <w:p>
      <w:pPr>
        <w:ind w:firstLine="640"/>
        <w:outlineLvl w:val="0"/>
        <w:rPr>
          <w:rFonts w:hint="eastAsia" w:ascii="仿宋_GB2312" w:hAnsi="仿宋_GB2312" w:eastAsia="仿宋_GB2312" w:cs="仿宋_GB2312"/>
          <w:sz w:val="32"/>
          <w:szCs w:val="32"/>
        </w:rPr>
      </w:pPr>
      <w:bookmarkStart w:id="0" w:name="_Toc471398468"/>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年，安排政府采购预算</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万元。具体内容见下表。</w:t>
      </w:r>
      <w:bookmarkStart w:id="1" w:name="_Toc476829145"/>
    </w:p>
    <w:p>
      <w:pPr>
        <w:jc w:val="center"/>
        <w:outlineLvl w:val="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p>
    <w:tbl>
      <w:tblPr>
        <w:tblStyle w:val="8"/>
        <w:tblpPr w:leftFromText="180" w:rightFromText="180" w:vertAnchor="text" w:horzAnchor="page" w:tblpX="1328" w:tblpY="1"/>
        <w:tblOverlap w:val="never"/>
        <w:tblW w:w="1449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1087"/>
        <w:gridCol w:w="899"/>
        <w:gridCol w:w="983"/>
        <w:gridCol w:w="899"/>
        <w:gridCol w:w="899"/>
        <w:gridCol w:w="922"/>
        <w:gridCol w:w="925"/>
        <w:gridCol w:w="925"/>
        <w:gridCol w:w="925"/>
        <w:gridCol w:w="899"/>
        <w:gridCol w:w="899"/>
        <w:gridCol w:w="902"/>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100"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205中共乐亭县委党校</w:t>
            </w:r>
          </w:p>
        </w:tc>
        <w:tc>
          <w:tcPr>
            <w:tcW w:w="639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3498" w:type="dxa"/>
            <w:gridSpan w:val="2"/>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政府采购项目来源</w:t>
            </w:r>
          </w:p>
        </w:tc>
        <w:tc>
          <w:tcPr>
            <w:tcW w:w="899"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采购物品名称</w:t>
            </w:r>
          </w:p>
        </w:tc>
        <w:tc>
          <w:tcPr>
            <w:tcW w:w="983"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政府采购目录序号</w:t>
            </w:r>
          </w:p>
        </w:tc>
        <w:tc>
          <w:tcPr>
            <w:tcW w:w="899"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  单位</w:t>
            </w:r>
          </w:p>
        </w:tc>
        <w:tc>
          <w:tcPr>
            <w:tcW w:w="899"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922"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单价</w:t>
            </w:r>
          </w:p>
        </w:tc>
        <w:tc>
          <w:tcPr>
            <w:tcW w:w="6397" w:type="dxa"/>
            <w:gridSpan w:val="7"/>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411"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项目名称</w:t>
            </w:r>
          </w:p>
        </w:tc>
        <w:tc>
          <w:tcPr>
            <w:tcW w:w="1087"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预算资金</w:t>
            </w: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83"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2"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5"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总计</w:t>
            </w:r>
          </w:p>
        </w:tc>
        <w:tc>
          <w:tcPr>
            <w:tcW w:w="4550" w:type="dxa"/>
            <w:gridSpan w:val="5"/>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当年部门预算安排资金</w:t>
            </w:r>
          </w:p>
        </w:tc>
        <w:tc>
          <w:tcPr>
            <w:tcW w:w="922" w:type="dxa"/>
            <w:vMerge w:val="restart"/>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411"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1087"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83"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899"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2"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5"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c>
          <w:tcPr>
            <w:tcW w:w="925"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合计</w:t>
            </w:r>
          </w:p>
        </w:tc>
        <w:tc>
          <w:tcPr>
            <w:tcW w:w="925"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一般公共预算拨款</w:t>
            </w:r>
          </w:p>
        </w:tc>
        <w:tc>
          <w:tcPr>
            <w:tcW w:w="899"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基金预算拨款</w:t>
            </w:r>
          </w:p>
        </w:tc>
        <w:tc>
          <w:tcPr>
            <w:tcW w:w="899"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财政专户核拨</w:t>
            </w:r>
          </w:p>
        </w:tc>
        <w:tc>
          <w:tcPr>
            <w:tcW w:w="902" w:type="dxa"/>
            <w:shd w:val="clear" w:color="auto" w:fill="auto"/>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其他来源收入</w:t>
            </w:r>
          </w:p>
        </w:tc>
        <w:tc>
          <w:tcPr>
            <w:tcW w:w="922" w:type="dxa"/>
            <w:vMerge w:val="continue"/>
            <w:shd w:val="clear" w:color="auto" w:fill="auto"/>
            <w:vAlign w:val="center"/>
          </w:tcPr>
          <w:p>
            <w:pPr>
              <w:spacing w:line="300" w:lineRule="exact"/>
              <w:jc w:val="left"/>
              <w:outlineLvl w:val="0"/>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A3打印机</w:t>
            </w:r>
          </w:p>
        </w:tc>
        <w:tc>
          <w:tcPr>
            <w:tcW w:w="1087" w:type="dxa"/>
            <w:shd w:val="clear" w:color="auto" w:fill="auto"/>
            <w:vAlign w:val="center"/>
          </w:tcPr>
          <w:p>
            <w:pPr>
              <w:spacing w:line="300" w:lineRule="exact"/>
              <w:jc w:val="righ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0.8</w:t>
            </w:r>
          </w:p>
        </w:tc>
        <w:tc>
          <w:tcPr>
            <w:tcW w:w="899" w:type="dxa"/>
            <w:shd w:val="clear" w:color="auto" w:fill="auto"/>
            <w:vAlign w:val="center"/>
          </w:tcPr>
          <w:p>
            <w:pPr>
              <w:spacing w:line="300" w:lineRule="exact"/>
              <w:jc w:val="left"/>
              <w:rPr>
                <w:rFonts w:hint="eastAsia" w:ascii="仿宋_GB2312" w:hAnsi="仿宋_GB2312" w:eastAsia="仿宋_GB2312" w:cs="仿宋_GB2312"/>
                <w:b/>
                <w:sz w:val="24"/>
                <w:szCs w:val="24"/>
              </w:rPr>
            </w:pPr>
          </w:p>
        </w:tc>
        <w:tc>
          <w:tcPr>
            <w:tcW w:w="983" w:type="dxa"/>
            <w:shd w:val="clear" w:color="auto" w:fill="auto"/>
            <w:vAlign w:val="center"/>
          </w:tcPr>
          <w:p>
            <w:pPr>
              <w:spacing w:line="300" w:lineRule="exact"/>
              <w:jc w:val="left"/>
              <w:rPr>
                <w:rFonts w:hint="eastAsia" w:ascii="仿宋_GB2312" w:hAnsi="仿宋_GB2312" w:eastAsia="仿宋_GB2312" w:cs="仿宋_GB2312"/>
                <w:b/>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b/>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922" w:type="dxa"/>
            <w:shd w:val="clear" w:color="auto" w:fill="auto"/>
            <w:vAlign w:val="center"/>
          </w:tcPr>
          <w:p>
            <w:pPr>
              <w:spacing w:line="300" w:lineRule="exact"/>
              <w:jc w:val="righ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0.8</w:t>
            </w:r>
          </w:p>
        </w:tc>
        <w:tc>
          <w:tcPr>
            <w:tcW w:w="925" w:type="dxa"/>
            <w:shd w:val="clear" w:color="auto" w:fill="auto"/>
            <w:vAlign w:val="center"/>
          </w:tcPr>
          <w:p>
            <w:pPr>
              <w:spacing w:line="300" w:lineRule="exact"/>
              <w:jc w:val="right"/>
              <w:rPr>
                <w:rFonts w:hint="eastAsia" w:ascii="仿宋_GB2312" w:hAnsi="仿宋_GB2312" w:eastAsia="仿宋_GB2312" w:cs="仿宋_GB2312"/>
                <w:b/>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b/>
                <w:sz w:val="24"/>
                <w:szCs w:val="24"/>
                <w:lang w:val="en-US" w:eastAsia="zh-CN"/>
              </w:rPr>
            </w:pPr>
          </w:p>
        </w:tc>
        <w:tc>
          <w:tcPr>
            <w:tcW w:w="925" w:type="dxa"/>
            <w:shd w:val="clear" w:color="auto" w:fill="auto"/>
            <w:vAlign w:val="center"/>
          </w:tcPr>
          <w:p>
            <w:pPr>
              <w:spacing w:line="300" w:lineRule="exact"/>
              <w:jc w:val="right"/>
              <w:rPr>
                <w:rFonts w:hint="default"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lang w:val="en-US" w:eastAsia="zh-CN"/>
              </w:rPr>
              <w:t>0.8</w:t>
            </w:r>
          </w:p>
        </w:tc>
        <w:tc>
          <w:tcPr>
            <w:tcW w:w="899" w:type="dxa"/>
            <w:shd w:val="clear" w:color="auto" w:fill="auto"/>
            <w:vAlign w:val="center"/>
          </w:tcPr>
          <w:p>
            <w:pPr>
              <w:spacing w:line="300" w:lineRule="exact"/>
              <w:jc w:val="right"/>
              <w:rPr>
                <w:rFonts w:hint="eastAsia" w:ascii="仿宋_GB2312" w:hAnsi="仿宋_GB2312" w:eastAsia="仿宋_GB2312" w:cs="仿宋_GB2312"/>
                <w:b/>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b/>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b/>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户外音箱</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lang w:val="en-US"/>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0.3</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2411"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电脑</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0.5</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传真机</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0.1</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60英寸电视机</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0.8</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22"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0.8</w:t>
            </w: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0.8</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411" w:type="dxa"/>
            <w:shd w:val="clear" w:color="auto" w:fill="auto"/>
            <w:vAlign w:val="center"/>
          </w:tcPr>
          <w:p>
            <w:pPr>
              <w:spacing w:line="3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087"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983" w:type="dxa"/>
            <w:shd w:val="clear" w:color="auto" w:fill="auto"/>
            <w:vAlign w:val="center"/>
          </w:tcPr>
          <w:p>
            <w:pPr>
              <w:spacing w:line="300" w:lineRule="exact"/>
              <w:jc w:val="lef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left"/>
              <w:rPr>
                <w:rFonts w:hint="eastAsia" w:ascii="仿宋_GB2312" w:hAnsi="仿宋_GB2312" w:eastAsia="仿宋_GB2312" w:cs="仿宋_GB2312"/>
                <w:sz w:val="24"/>
                <w:szCs w:val="24"/>
                <w:lang w:eastAsia="zh-CN"/>
              </w:rPr>
            </w:pPr>
          </w:p>
        </w:tc>
        <w:tc>
          <w:tcPr>
            <w:tcW w:w="899"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eastAsia" w:ascii="仿宋_GB2312" w:hAnsi="仿宋_GB2312" w:eastAsia="仿宋_GB2312" w:cs="仿宋_GB2312"/>
                <w:sz w:val="24"/>
                <w:szCs w:val="24"/>
                <w:lang w:val="en-US" w:eastAsia="zh-CN"/>
              </w:rPr>
            </w:pPr>
          </w:p>
        </w:tc>
        <w:tc>
          <w:tcPr>
            <w:tcW w:w="925" w:type="dxa"/>
            <w:shd w:val="clear" w:color="auto" w:fill="auto"/>
            <w:vAlign w:val="center"/>
          </w:tcPr>
          <w:p>
            <w:pPr>
              <w:spacing w:line="300" w:lineRule="exact"/>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899"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02" w:type="dxa"/>
            <w:shd w:val="clear" w:color="auto" w:fill="auto"/>
            <w:vAlign w:val="center"/>
          </w:tcPr>
          <w:p>
            <w:pPr>
              <w:spacing w:line="300" w:lineRule="exact"/>
              <w:jc w:val="right"/>
              <w:rPr>
                <w:rFonts w:hint="eastAsia" w:ascii="仿宋_GB2312" w:hAnsi="仿宋_GB2312" w:eastAsia="仿宋_GB2312" w:cs="仿宋_GB2312"/>
                <w:sz w:val="24"/>
                <w:szCs w:val="24"/>
              </w:rPr>
            </w:pPr>
          </w:p>
        </w:tc>
        <w:tc>
          <w:tcPr>
            <w:tcW w:w="922" w:type="dxa"/>
            <w:shd w:val="clear" w:color="auto" w:fill="auto"/>
            <w:vAlign w:val="center"/>
          </w:tcPr>
          <w:p>
            <w:pPr>
              <w:spacing w:line="300" w:lineRule="exact"/>
              <w:jc w:val="right"/>
              <w:rPr>
                <w:rFonts w:hint="eastAsia" w:ascii="仿宋_GB2312" w:hAnsi="仿宋_GB2312" w:eastAsia="仿宋_GB2312" w:cs="仿宋_GB2312"/>
                <w:sz w:val="24"/>
                <w:szCs w:val="24"/>
              </w:rPr>
            </w:pPr>
          </w:p>
        </w:tc>
      </w:tr>
    </w:tbl>
    <w:p>
      <w:pPr>
        <w:jc w:val="center"/>
        <w:outlineLvl w:val="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部门政府采购预算</w:t>
      </w:r>
      <w:bookmarkEnd w:id="1"/>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p>
      <w:pPr>
        <w:outlineLvl w:val="0"/>
        <w:rPr>
          <w:rFonts w:hint="eastAsia" w:ascii="仿宋_GB2312" w:hAnsi="仿宋_GB2312" w:eastAsia="仿宋_GB2312" w:cs="仿宋_GB2312"/>
          <w:sz w:val="32"/>
          <w:szCs w:val="32"/>
        </w:rPr>
      </w:pPr>
    </w:p>
    <w:bookmarkEnd w:id="0"/>
    <w:p>
      <w:pPr>
        <w:autoSpaceDE w:val="0"/>
        <w:autoSpaceDN w:val="0"/>
        <w:adjustRightInd w:val="0"/>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中共乐亭县委党校</w:t>
      </w:r>
      <w:r>
        <w:rPr>
          <w:rFonts w:hint="eastAsia" w:ascii="仿宋_GB2312" w:hAnsi="仿宋_GB2312" w:eastAsia="仿宋_GB2312" w:cs="仿宋_GB2312"/>
          <w:sz w:val="32"/>
          <w:szCs w:val="32"/>
        </w:rPr>
        <w:t>（含所属单位）上年末固定资产金额为</w:t>
      </w:r>
      <w:r>
        <w:rPr>
          <w:rFonts w:hint="eastAsia" w:ascii="仿宋_GB2312" w:hAnsi="仿宋_GB2312" w:eastAsia="仿宋_GB2312" w:cs="仿宋_GB2312"/>
          <w:sz w:val="32"/>
          <w:szCs w:val="32"/>
          <w:lang w:val="en-US" w:eastAsia="zh-CN"/>
        </w:rPr>
        <w:t>112.4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，其中房屋建筑物</w:t>
      </w:r>
      <w:r>
        <w:rPr>
          <w:rFonts w:hint="eastAsia" w:ascii="仿宋_GB2312" w:hAnsi="仿宋_GB2312" w:eastAsia="仿宋_GB2312" w:cs="仿宋_GB2312"/>
          <w:sz w:val="32"/>
          <w:szCs w:val="32"/>
          <w:lang w:val="en-US" w:eastAsia="zh-CN"/>
        </w:rPr>
        <w:t>2031平米，价值44.09万元，公务用车1辆，价值5万元，其他固定资产63.31万元。</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rPr>
        <w:t>固定资产预算安排</w:t>
      </w:r>
      <w:r>
        <w:rPr>
          <w:rFonts w:hint="eastAsia" w:ascii="仿宋_GB2312" w:hAnsi="仿宋_GB2312" w:eastAsia="仿宋_GB2312" w:cs="仿宋_GB2312"/>
          <w:sz w:val="32"/>
          <w:szCs w:val="32"/>
          <w:lang w:val="en-US" w:eastAsia="zh-CN"/>
        </w:rPr>
        <w:t>3.8万元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国有资产占用情况</w:t>
      </w:r>
      <w:r>
        <w:rPr>
          <w:rFonts w:hint="eastAsia" w:ascii="仿宋_GB2312" w:hAnsi="仿宋_GB2312" w:eastAsia="仿宋_GB2312" w:cs="仿宋_GB2312"/>
          <w:sz w:val="32"/>
          <w:szCs w:val="32"/>
        </w:rPr>
        <w:t>详见下表</w:t>
      </w: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ind w:firstLine="1606" w:firstLineChars="50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中共乐亭县委</w:t>
            </w:r>
            <w:r>
              <w:rPr>
                <w:rFonts w:hint="eastAsia" w:ascii="仿宋_GB2312" w:hAnsi="仿宋_GB2312" w:eastAsia="仿宋_GB2312" w:cs="仿宋_GB2312"/>
                <w:b/>
                <w:bCs/>
                <w:kern w:val="0"/>
                <w:sz w:val="32"/>
                <w:szCs w:val="32"/>
                <w:lang w:eastAsia="zh-CN"/>
              </w:rPr>
              <w:t>党校</w:t>
            </w:r>
            <w:r>
              <w:rPr>
                <w:rFonts w:hint="eastAsia" w:ascii="仿宋_GB2312" w:hAnsi="仿宋_GB2312" w:eastAsia="仿宋_GB2312" w:cs="仿宋_GB2312"/>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编制部门：</w:t>
            </w:r>
            <w:r>
              <w:rPr>
                <w:rFonts w:hint="eastAsia" w:ascii="仿宋_GB2312" w:hAnsi="仿宋_GB2312" w:eastAsia="仿宋_GB2312" w:cs="仿宋_GB2312"/>
                <w:b/>
                <w:bCs/>
                <w:kern w:val="0"/>
                <w:sz w:val="32"/>
                <w:szCs w:val="32"/>
                <w:lang w:val="en-US" w:eastAsia="zh-CN"/>
              </w:rPr>
              <w:t>中共乐亭县委</w:t>
            </w:r>
            <w:r>
              <w:rPr>
                <w:rFonts w:hint="eastAsia" w:ascii="仿宋_GB2312" w:hAnsi="仿宋_GB2312" w:eastAsia="仿宋_GB2312" w:cs="仿宋_GB2312"/>
                <w:b/>
                <w:bCs/>
                <w:kern w:val="0"/>
                <w:sz w:val="32"/>
                <w:szCs w:val="32"/>
                <w:lang w:eastAsia="zh-CN"/>
              </w:rPr>
              <w:t>党校</w:t>
            </w:r>
          </w:p>
        </w:tc>
        <w:tc>
          <w:tcPr>
            <w:tcW w:w="5103" w:type="dxa"/>
            <w:tcBorders>
              <w:top w:val="nil"/>
              <w:left w:val="nil"/>
              <w:bottom w:val="nil"/>
              <w:right w:val="nil"/>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资产总额</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2031</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44.09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2031</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44.09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2、通用设备（个、台、辆等）</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3、单价在20万元以上的设备</w:t>
            </w:r>
          </w:p>
        </w:tc>
        <w:tc>
          <w:tcPr>
            <w:tcW w:w="3155" w:type="dxa"/>
            <w:tcBorders>
              <w:top w:val="nil"/>
              <w:left w:val="nil"/>
              <w:bottom w:val="single" w:color="auto" w:sz="4" w:space="0"/>
              <w:right w:val="single" w:color="auto" w:sz="4" w:space="0"/>
            </w:tcBorders>
            <w:vAlign w:val="center"/>
          </w:tcPr>
          <w:p>
            <w:pPr>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103"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103" w:type="dxa"/>
            <w:tcBorders>
              <w:top w:val="nil"/>
              <w:left w:val="nil"/>
              <w:bottom w:val="single" w:color="auto" w:sz="4" w:space="0"/>
              <w:right w:val="single" w:color="auto" w:sz="4" w:space="0"/>
            </w:tcBorders>
            <w:vAlign w:val="center"/>
          </w:tcPr>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63.31</w:t>
            </w:r>
          </w:p>
        </w:tc>
      </w:tr>
    </w:tbl>
    <w:p>
      <w:pPr>
        <w:rPr>
          <w:rFonts w:hint="eastAsia" w:ascii="仿宋_GB2312" w:hAnsi="仿宋_GB2312" w:eastAsia="仿宋_GB2312" w:cs="仿宋_GB2312"/>
          <w:color w:val="FF0000"/>
          <w:sz w:val="32"/>
          <w:szCs w:val="32"/>
        </w:rPr>
      </w:pPr>
    </w:p>
    <w:p>
      <w:pPr>
        <w:autoSpaceDE w:val="0"/>
        <w:autoSpaceDN w:val="0"/>
        <w:adjustRightInd w:val="0"/>
        <w:ind w:left="198"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八、名词解释</w:t>
      </w:r>
    </w:p>
    <w:p>
      <w:pPr>
        <w:tabs>
          <w:tab w:val="left" w:pos="4557"/>
        </w:tabs>
        <w:ind w:firstLine="840" w:firstLineChars="3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1、财政拨款收入：指本年度从县级财政部门取得的财政拨款。</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2、事业收入：指事业单位开展专业业务活动及辅助活动所取得的收入。如：医院的各项收费收入。</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3、基本支出：指为保障机构正常运转、完成日常工作任务而发生的人员支出和公用支出。</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4、项目支出：指在基本支出之外为完成特定行政任务和事业发展目标所发生的支出。</w:t>
      </w:r>
    </w:p>
    <w:p>
      <w:pPr>
        <w:tabs>
          <w:tab w:val="left" w:pos="4557"/>
        </w:tabs>
        <w:ind w:left="147"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5、“三公”经费：指部门用财政拨款安排的因公出国（境）费、公务用车购置及运行维护费和公务接待费。</w:t>
      </w:r>
    </w:p>
    <w:p>
      <w:pPr>
        <w:tabs>
          <w:tab w:val="left" w:pos="4557"/>
        </w:tabs>
        <w:ind w:left="147" w:firstLine="56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rPr>
        <w:t>6、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九、其他需要说明的事项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年部门预算中未安排政府性基金预算，故政府性基金预算支出表为空。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年部门预算中未安排国有资本经营预算，故国有资本经营预算支出表为空。</w:t>
      </w:r>
    </w:p>
    <w:p>
      <w:pPr>
        <w:pStyle w:val="2"/>
        <w:rPr>
          <w:rFonts w:hint="default" w:eastAsia="仿宋_GB2312"/>
          <w:lang w:val="en-US" w:eastAsia="zh-CN"/>
        </w:rPr>
      </w:pPr>
      <w:r>
        <w:rPr>
          <w:rFonts w:hint="eastAsia" w:ascii="仿宋_GB2312" w:hAnsi="仿宋_GB2312" w:eastAsia="仿宋_GB2312" w:cs="仿宋_GB2312"/>
          <w:sz w:val="32"/>
          <w:szCs w:val="32"/>
          <w:lang w:val="en-US" w:eastAsia="zh-CN"/>
        </w:rPr>
        <w:t xml:space="preserve">    3、我单位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年部门预算中</w:t>
      </w:r>
      <w:r>
        <w:rPr>
          <w:rFonts w:hint="eastAsia" w:ascii="仿宋_GB2312" w:hAnsi="仿宋_GB2312" w:eastAsia="仿宋_GB2312" w:cs="仿宋_GB2312"/>
          <w:sz w:val="32"/>
          <w:szCs w:val="32"/>
          <w:lang w:val="en-US" w:eastAsia="zh-CN"/>
        </w:rPr>
        <w:t>未安排项目资金，故目录中缺少项目绩效申报，说明中无项目绩效申报。</w:t>
      </w:r>
    </w:p>
    <w:p>
      <w:pPr>
        <w:numPr>
          <w:ilvl w:val="0"/>
          <w:numId w:val="0"/>
        </w:numPr>
        <w:tabs>
          <w:tab w:val="left" w:pos="523"/>
        </w:tabs>
        <w:ind w:firstLine="964" w:firstLineChars="3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2021年预算全部公开</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Pr>
    <w:r>
      <w:fldChar w:fldCharType="begin"/>
    </w:r>
    <w:r>
      <w:rPr>
        <w:rStyle w:val="10"/>
      </w:rPr>
      <w:instrText xml:space="preserve"> PAGE  </w:instrText>
    </w:r>
    <w:r>
      <w:fldChar w:fldCharType="separate"/>
    </w:r>
    <w:r>
      <w:rPr>
        <w:rStyle w:val="10"/>
      </w:rPr>
      <w:t>2</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20B3A"/>
    <w:multiLevelType w:val="singleLevel"/>
    <w:tmpl w:val="F2620B3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ZGMxMzljZmE3ZTU4ZTBkZjI0ZjU0YTVhNzA2M2QifQ=="/>
  </w:docVars>
  <w:rsids>
    <w:rsidRoot w:val="00F66032"/>
    <w:rsid w:val="00037AF6"/>
    <w:rsid w:val="000428D7"/>
    <w:rsid w:val="00075D5F"/>
    <w:rsid w:val="00094605"/>
    <w:rsid w:val="000B529B"/>
    <w:rsid w:val="000C3A19"/>
    <w:rsid w:val="000D6D55"/>
    <w:rsid w:val="000E31B8"/>
    <w:rsid w:val="000F0B67"/>
    <w:rsid w:val="001076FD"/>
    <w:rsid w:val="00122C26"/>
    <w:rsid w:val="001245BB"/>
    <w:rsid w:val="001251A3"/>
    <w:rsid w:val="00142574"/>
    <w:rsid w:val="0014335A"/>
    <w:rsid w:val="00180AF6"/>
    <w:rsid w:val="001D1473"/>
    <w:rsid w:val="001F7873"/>
    <w:rsid w:val="002332EF"/>
    <w:rsid w:val="00233A91"/>
    <w:rsid w:val="00241FD4"/>
    <w:rsid w:val="00251B12"/>
    <w:rsid w:val="0027263A"/>
    <w:rsid w:val="00295493"/>
    <w:rsid w:val="00296113"/>
    <w:rsid w:val="002A673A"/>
    <w:rsid w:val="002B0868"/>
    <w:rsid w:val="002C5E13"/>
    <w:rsid w:val="002C62BC"/>
    <w:rsid w:val="002E0EB8"/>
    <w:rsid w:val="002E49E2"/>
    <w:rsid w:val="002E799A"/>
    <w:rsid w:val="002F3E58"/>
    <w:rsid w:val="0030542C"/>
    <w:rsid w:val="00311B7A"/>
    <w:rsid w:val="003A3A98"/>
    <w:rsid w:val="003F5E05"/>
    <w:rsid w:val="00413F08"/>
    <w:rsid w:val="00424943"/>
    <w:rsid w:val="0043175C"/>
    <w:rsid w:val="00437296"/>
    <w:rsid w:val="00451590"/>
    <w:rsid w:val="00451871"/>
    <w:rsid w:val="0046528E"/>
    <w:rsid w:val="004706DE"/>
    <w:rsid w:val="00472923"/>
    <w:rsid w:val="00497201"/>
    <w:rsid w:val="004B0C3A"/>
    <w:rsid w:val="004C3C07"/>
    <w:rsid w:val="004D5788"/>
    <w:rsid w:val="004E3066"/>
    <w:rsid w:val="004E74CD"/>
    <w:rsid w:val="005204D4"/>
    <w:rsid w:val="0052190D"/>
    <w:rsid w:val="00572067"/>
    <w:rsid w:val="00573562"/>
    <w:rsid w:val="00590ECE"/>
    <w:rsid w:val="005928B1"/>
    <w:rsid w:val="0061489A"/>
    <w:rsid w:val="00614A29"/>
    <w:rsid w:val="0062668B"/>
    <w:rsid w:val="00647FB6"/>
    <w:rsid w:val="00673D76"/>
    <w:rsid w:val="006854F0"/>
    <w:rsid w:val="006B1C4A"/>
    <w:rsid w:val="006B2372"/>
    <w:rsid w:val="006B610D"/>
    <w:rsid w:val="006D04D3"/>
    <w:rsid w:val="006D33B3"/>
    <w:rsid w:val="006D5B84"/>
    <w:rsid w:val="006E43E9"/>
    <w:rsid w:val="006E49F5"/>
    <w:rsid w:val="006E6C0F"/>
    <w:rsid w:val="007013C8"/>
    <w:rsid w:val="00724585"/>
    <w:rsid w:val="00753836"/>
    <w:rsid w:val="0075393C"/>
    <w:rsid w:val="00754592"/>
    <w:rsid w:val="00770CA9"/>
    <w:rsid w:val="00776C08"/>
    <w:rsid w:val="00796916"/>
    <w:rsid w:val="007C219A"/>
    <w:rsid w:val="007D43B7"/>
    <w:rsid w:val="007E1DA8"/>
    <w:rsid w:val="007F534E"/>
    <w:rsid w:val="007F6C26"/>
    <w:rsid w:val="0080591E"/>
    <w:rsid w:val="00813208"/>
    <w:rsid w:val="008334AE"/>
    <w:rsid w:val="00836FED"/>
    <w:rsid w:val="0083724E"/>
    <w:rsid w:val="00845859"/>
    <w:rsid w:val="00845CD2"/>
    <w:rsid w:val="00852B0D"/>
    <w:rsid w:val="00863ACD"/>
    <w:rsid w:val="00881692"/>
    <w:rsid w:val="008A6576"/>
    <w:rsid w:val="008B3CC5"/>
    <w:rsid w:val="008B52CD"/>
    <w:rsid w:val="008C711E"/>
    <w:rsid w:val="008E4261"/>
    <w:rsid w:val="008E6AF0"/>
    <w:rsid w:val="008F4662"/>
    <w:rsid w:val="00905D08"/>
    <w:rsid w:val="00925753"/>
    <w:rsid w:val="00936E77"/>
    <w:rsid w:val="009425F4"/>
    <w:rsid w:val="00955DF4"/>
    <w:rsid w:val="009615CE"/>
    <w:rsid w:val="00966C5C"/>
    <w:rsid w:val="00973104"/>
    <w:rsid w:val="00995AD6"/>
    <w:rsid w:val="00995BF0"/>
    <w:rsid w:val="009A16D5"/>
    <w:rsid w:val="009A353D"/>
    <w:rsid w:val="009B0B77"/>
    <w:rsid w:val="009B1E8A"/>
    <w:rsid w:val="009B391C"/>
    <w:rsid w:val="009B511E"/>
    <w:rsid w:val="009F1537"/>
    <w:rsid w:val="00A31644"/>
    <w:rsid w:val="00A44E3D"/>
    <w:rsid w:val="00A6232F"/>
    <w:rsid w:val="00A72D2E"/>
    <w:rsid w:val="00A74447"/>
    <w:rsid w:val="00A74C3B"/>
    <w:rsid w:val="00A74CE5"/>
    <w:rsid w:val="00A911E7"/>
    <w:rsid w:val="00A939D9"/>
    <w:rsid w:val="00AA0468"/>
    <w:rsid w:val="00AD66F8"/>
    <w:rsid w:val="00B157E6"/>
    <w:rsid w:val="00B20712"/>
    <w:rsid w:val="00B40D01"/>
    <w:rsid w:val="00B43238"/>
    <w:rsid w:val="00B45DD3"/>
    <w:rsid w:val="00B550E2"/>
    <w:rsid w:val="00B651B1"/>
    <w:rsid w:val="00B75216"/>
    <w:rsid w:val="00B91D52"/>
    <w:rsid w:val="00B9490F"/>
    <w:rsid w:val="00BA082A"/>
    <w:rsid w:val="00BA1ACD"/>
    <w:rsid w:val="00BD09F8"/>
    <w:rsid w:val="00BF1BFE"/>
    <w:rsid w:val="00C54D36"/>
    <w:rsid w:val="00C850A6"/>
    <w:rsid w:val="00CA7176"/>
    <w:rsid w:val="00CC6624"/>
    <w:rsid w:val="00CC75B0"/>
    <w:rsid w:val="00CD1111"/>
    <w:rsid w:val="00CD2773"/>
    <w:rsid w:val="00CE143B"/>
    <w:rsid w:val="00D01B0A"/>
    <w:rsid w:val="00D15975"/>
    <w:rsid w:val="00D27003"/>
    <w:rsid w:val="00D50E44"/>
    <w:rsid w:val="00D91FA6"/>
    <w:rsid w:val="00DE7697"/>
    <w:rsid w:val="00E167C7"/>
    <w:rsid w:val="00E26AED"/>
    <w:rsid w:val="00E32AD7"/>
    <w:rsid w:val="00E573CB"/>
    <w:rsid w:val="00E60720"/>
    <w:rsid w:val="00E715CA"/>
    <w:rsid w:val="00E738FA"/>
    <w:rsid w:val="00EB20F1"/>
    <w:rsid w:val="00EB3AB0"/>
    <w:rsid w:val="00EC47F6"/>
    <w:rsid w:val="00ED2F78"/>
    <w:rsid w:val="00F12AFF"/>
    <w:rsid w:val="00F2742C"/>
    <w:rsid w:val="00F66032"/>
    <w:rsid w:val="00F87C1E"/>
    <w:rsid w:val="00F958C2"/>
    <w:rsid w:val="00FD402E"/>
    <w:rsid w:val="03DB723B"/>
    <w:rsid w:val="05706008"/>
    <w:rsid w:val="082A3225"/>
    <w:rsid w:val="0C09094D"/>
    <w:rsid w:val="0C3C2133"/>
    <w:rsid w:val="0DED2935"/>
    <w:rsid w:val="0DF44803"/>
    <w:rsid w:val="0E07732B"/>
    <w:rsid w:val="0E932837"/>
    <w:rsid w:val="0EF443E7"/>
    <w:rsid w:val="10C60F96"/>
    <w:rsid w:val="12855604"/>
    <w:rsid w:val="14AF3070"/>
    <w:rsid w:val="19B961A3"/>
    <w:rsid w:val="1DAE58E6"/>
    <w:rsid w:val="240B1AEA"/>
    <w:rsid w:val="26900CF8"/>
    <w:rsid w:val="27345ED7"/>
    <w:rsid w:val="296A7561"/>
    <w:rsid w:val="2B224BC7"/>
    <w:rsid w:val="2B5323B6"/>
    <w:rsid w:val="2C0A0832"/>
    <w:rsid w:val="2D3D7D24"/>
    <w:rsid w:val="2F5B7B5F"/>
    <w:rsid w:val="2F7224EB"/>
    <w:rsid w:val="33E84413"/>
    <w:rsid w:val="35983C13"/>
    <w:rsid w:val="35E10251"/>
    <w:rsid w:val="371A506E"/>
    <w:rsid w:val="396C1A71"/>
    <w:rsid w:val="3BF439BD"/>
    <w:rsid w:val="3D2C3D5F"/>
    <w:rsid w:val="3EEF0ED5"/>
    <w:rsid w:val="3EFF751D"/>
    <w:rsid w:val="407C37B2"/>
    <w:rsid w:val="42AF6D95"/>
    <w:rsid w:val="43A24FC5"/>
    <w:rsid w:val="46653C45"/>
    <w:rsid w:val="496115D2"/>
    <w:rsid w:val="49717E32"/>
    <w:rsid w:val="4A3E7BC9"/>
    <w:rsid w:val="4AC837C6"/>
    <w:rsid w:val="4CE971E8"/>
    <w:rsid w:val="4E00157A"/>
    <w:rsid w:val="4E653322"/>
    <w:rsid w:val="4F447E4B"/>
    <w:rsid w:val="52CB7DAB"/>
    <w:rsid w:val="54715C7B"/>
    <w:rsid w:val="54A902D3"/>
    <w:rsid w:val="56D457CD"/>
    <w:rsid w:val="59E242B1"/>
    <w:rsid w:val="5CED2687"/>
    <w:rsid w:val="60584A3E"/>
    <w:rsid w:val="621E60EC"/>
    <w:rsid w:val="624F4331"/>
    <w:rsid w:val="627E4F70"/>
    <w:rsid w:val="62C722FC"/>
    <w:rsid w:val="648641D4"/>
    <w:rsid w:val="64E8096C"/>
    <w:rsid w:val="67362697"/>
    <w:rsid w:val="716A4C6F"/>
    <w:rsid w:val="738467A2"/>
    <w:rsid w:val="74B1430D"/>
    <w:rsid w:val="75373C66"/>
    <w:rsid w:val="76170B71"/>
    <w:rsid w:val="762F48B7"/>
    <w:rsid w:val="77C724DA"/>
    <w:rsid w:val="7D0C1DBF"/>
    <w:rsid w:val="7E3F065E"/>
    <w:rsid w:val="7FA77C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spacing w:line="240" w:lineRule="auto"/>
    </w:pPr>
    <w:rPr>
      <w:rFonts w:ascii="宋体" w:hAnsi="Courier New"/>
      <w:szCs w:val="20"/>
    </w:rPr>
  </w:style>
  <w:style w:type="paragraph" w:styleId="3">
    <w:name w:val="Balloon Text"/>
    <w:basedOn w:val="1"/>
    <w:link w:val="13"/>
    <w:semiHidden/>
    <w:qFormat/>
    <w:uiPriority w:val="99"/>
    <w:rPr>
      <w:rFonts w:cs="Times New Roman"/>
      <w:kern w:val="0"/>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6">
    <w:name w:val="toc 1"/>
    <w:basedOn w:val="1"/>
    <w:next w:val="1"/>
    <w:semiHidden/>
    <w:qFormat/>
    <w:uiPriority w:val="99"/>
    <w:rPr>
      <w:rFonts w:ascii="Times New Roman" w:hAnsi="Times New Roman" w:cs="Times New Roman"/>
    </w:rPr>
  </w:style>
  <w:style w:type="paragraph" w:styleId="7">
    <w:name w:val="toc 2"/>
    <w:basedOn w:val="1"/>
    <w:next w:val="1"/>
    <w:semiHidden/>
    <w:qFormat/>
    <w:uiPriority w:val="99"/>
    <w:pPr>
      <w:ind w:left="420" w:leftChars="200"/>
    </w:pPr>
    <w:rPr>
      <w:rFonts w:ascii="Times New Roman" w:hAnsi="Times New Roman" w:cs="Times New Roman"/>
    </w:rPr>
  </w:style>
  <w:style w:type="character" w:styleId="10">
    <w:name w:val="page number"/>
    <w:basedOn w:val="9"/>
    <w:autoRedefine/>
    <w:qFormat/>
    <w:uiPriority w:val="0"/>
  </w:style>
  <w:style w:type="character" w:customStyle="1" w:styleId="11">
    <w:name w:val="页眉 Char"/>
    <w:link w:val="5"/>
    <w:autoRedefine/>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批注框文本 Char"/>
    <w:link w:val="3"/>
    <w:semiHidden/>
    <w:qFormat/>
    <w:locked/>
    <w:uiPriority w:val="99"/>
    <w:rPr>
      <w:sz w:val="18"/>
      <w:szCs w:val="18"/>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55ADD3-4015-4FCF-B66A-1C4286B378B8}">
  <ds:schemaRefs/>
</ds:datastoreItem>
</file>

<file path=docProps/app.xml><?xml version="1.0" encoding="utf-8"?>
<Properties xmlns="http://schemas.openxmlformats.org/officeDocument/2006/extended-properties" xmlns:vt="http://schemas.openxmlformats.org/officeDocument/2006/docPropsVTypes">
  <Template>Normal</Template>
  <Pages>14</Pages>
  <Words>4154</Words>
  <Characters>4478</Characters>
  <Lines>46</Lines>
  <Paragraphs>13</Paragraphs>
  <TotalTime>2</TotalTime>
  <ScaleCrop>false</ScaleCrop>
  <LinksUpToDate>false</LinksUpToDate>
  <CharactersWithSpaces>4514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foolish</cp:lastModifiedBy>
  <cp:lastPrinted>2018-03-06T02:51:00Z</cp:lastPrinted>
  <dcterms:modified xsi:type="dcterms:W3CDTF">2024-05-13T06:15:59Z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A5DD9D531AA6446FB72BE35AECE9ADC8_13</vt:lpwstr>
  </property>
</Properties>
</file>