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jc w:val="both"/>
        <w:rPr>
          <w:rFonts w:hint="eastAsia" w:ascii="仿宋" w:hAnsi="仿宋" w:eastAsia="仿宋" w:cs="仿宋"/>
          <w:color w:val="auto"/>
          <w:sz w:val="32"/>
          <w:szCs w:val="32"/>
        </w:rPr>
      </w:pPr>
      <w:r>
        <w:rPr>
          <w:rFonts w:hint="eastAsia" w:ascii="仿宋" w:hAnsi="仿宋" w:eastAsia="仿宋" w:cs="仿宋"/>
          <w:color w:val="auto"/>
          <w:sz w:val="32"/>
          <w:szCs w:val="32"/>
        </w:rPr>
        <w:t>乐亭县残疾人就业保障金收费公示</w:t>
      </w:r>
    </w:p>
    <w:p>
      <w:pPr>
        <w:ind w:firstLine="560" w:firstLineChars="200"/>
        <w:rPr>
          <w:rFonts w:hint="eastAsia" w:ascii="仿宋" w:hAnsi="仿宋" w:eastAsia="仿宋" w:cs="仿宋"/>
          <w:color w:val="auto"/>
          <w:sz w:val="28"/>
          <w:szCs w:val="28"/>
        </w:rPr>
      </w:pP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一、收费项目：残疾人就业保障金</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二、收费标准：残保金年缴纳额=（上年用人单位在职职工人数×1.5%－上年用人单位实际安排残疾人就业人数）×上年用人单位在职职工年平均工资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三、收费主体：国家税务总局乐亭县税务局</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四、计费单位：元</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五、收费依据:《残疾人就业保障金征收使用管理办法》、《河北省残疾人就业保障金征收使用管理实施办法》</w:t>
      </w:r>
      <w:r>
        <w:rPr>
          <w:rFonts w:hint="eastAsia" w:ascii="仿宋" w:hAnsi="仿宋" w:eastAsia="仿宋" w:cs="仿宋"/>
          <w:color w:val="auto"/>
          <w:sz w:val="28"/>
          <w:szCs w:val="28"/>
          <w:lang w:eastAsia="zh-CN"/>
        </w:rPr>
        <w:t>、《河北省财政厅等三部门关于进一步规范残疾人就业保障金征收管理通知》、《关于延续实施残疾人就业保障金优惠政策的公告》。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六、收费范围：乐亭县行政区域内的用人单位，</w:t>
      </w:r>
      <w:r>
        <w:rPr>
          <w:rFonts w:hint="eastAsia" w:ascii="仿宋" w:hAnsi="仿宋" w:eastAsia="仿宋" w:cs="仿宋"/>
          <w:color w:val="auto"/>
          <w:kern w:val="0"/>
          <w:sz w:val="28"/>
          <w:szCs w:val="28"/>
        </w:rPr>
        <w:t>应当按照不少于本单位在职职工总数1.5%的比例安排残疾人就业，达不到上述规定比例的，应当缴纳残保金。</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七、收费对象：</w:t>
      </w:r>
      <w:r>
        <w:rPr>
          <w:rFonts w:hint="eastAsia" w:ascii="仿宋" w:hAnsi="仿宋" w:eastAsia="仿宋" w:cs="仿宋"/>
          <w:color w:val="auto"/>
          <w:kern w:val="0"/>
          <w:sz w:val="28"/>
          <w:szCs w:val="28"/>
        </w:rPr>
        <w:t>由未按规定安排残疾人就业的机关、团体、企业、事业单位和民办非企业单位缴纳。</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八、征收方式：</w:t>
      </w:r>
      <w:r>
        <w:rPr>
          <w:rFonts w:hint="eastAsia" w:ascii="仿宋" w:hAnsi="仿宋" w:eastAsia="仿宋" w:cs="仿宋"/>
          <w:color w:val="auto"/>
          <w:kern w:val="0"/>
          <w:sz w:val="28"/>
          <w:szCs w:val="28"/>
        </w:rPr>
        <w:t>缴费人</w:t>
      </w:r>
      <w:r>
        <w:rPr>
          <w:rFonts w:hint="eastAsia" w:ascii="仿宋" w:hAnsi="仿宋" w:eastAsia="仿宋" w:cs="仿宋"/>
          <w:color w:val="auto"/>
          <w:kern w:val="0"/>
          <w:sz w:val="28"/>
          <w:szCs w:val="28"/>
          <w:lang w:eastAsia="zh-CN"/>
        </w:rPr>
        <w:t>采取“残联审核、税务征收”方式，在规定时间内可选择登录</w:t>
      </w:r>
      <w:r>
        <w:rPr>
          <w:rFonts w:hint="eastAsia" w:ascii="仿宋" w:hAnsi="仿宋" w:eastAsia="仿宋" w:cs="仿宋"/>
          <w:color w:val="auto"/>
          <w:kern w:val="0"/>
          <w:sz w:val="28"/>
          <w:szCs w:val="28"/>
        </w:rPr>
        <w:t>河北省电子税务局或到当地办税服务厅申报缴纳</w:t>
      </w:r>
      <w:r>
        <w:rPr>
          <w:rFonts w:hint="eastAsia" w:ascii="仿宋" w:hAnsi="仿宋" w:eastAsia="仿宋" w:cs="仿宋"/>
          <w:color w:val="auto"/>
          <w:kern w:val="0"/>
          <w:sz w:val="28"/>
          <w:szCs w:val="28"/>
          <w:lang w:eastAsia="zh-CN"/>
        </w:rPr>
        <w:t>残保金</w:t>
      </w:r>
      <w:r>
        <w:rPr>
          <w:rFonts w:hint="eastAsia" w:ascii="仿宋" w:hAnsi="仿宋" w:eastAsia="仿宋" w:cs="仿宋"/>
          <w:color w:val="auto"/>
          <w:kern w:val="0"/>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九、减免规定：</w:t>
      </w:r>
    </w:p>
    <w:p>
      <w:pPr>
        <w:pageBreakBefore w:val="0"/>
        <w:widowControl w:val="0"/>
        <w:numPr>
          <w:ilvl w:val="0"/>
          <w:numId w:val="0"/>
        </w:numPr>
        <w:kinsoku/>
        <w:wordWrap/>
        <w:overflowPunct/>
        <w:topLinePunct w:val="0"/>
        <w:autoSpaceDE/>
        <w:autoSpaceDN/>
        <w:bidi w:val="0"/>
        <w:adjustRightInd/>
        <w:spacing w:line="57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2017年3月15日起，将残疾人就业保障金免征范围，由自工商注册登记之日起3年内，在职职工总数20人（含）以下小微企业，调整为在职职工总数30人（含）以下的企业。调整免征范围后，工商注册登记未满3年、在职职工总数30人（含）以下的企业，可在剩余时期内按规定免征残疾人就业保障金。</w:t>
      </w:r>
      <w:r>
        <w:rPr>
          <w:rFonts w:hint="eastAsia" w:ascii="仿宋" w:hAnsi="仿宋" w:eastAsia="仿宋" w:cs="仿宋"/>
          <w:color w:val="auto"/>
          <w:kern w:val="0"/>
          <w:sz w:val="28"/>
          <w:szCs w:val="28"/>
        </w:rPr>
        <w:t>（政策依据：《财政部关于取消、调整部分政府性基金有关政策的通知》（财税〔2017〕18号）</w:t>
      </w:r>
      <w:r>
        <w:rPr>
          <w:rFonts w:hint="eastAsia" w:ascii="仿宋" w:hAnsi="仿宋" w:eastAsia="仿宋" w:cs="仿宋"/>
          <w:color w:val="auto"/>
          <w:kern w:val="0"/>
          <w:sz w:val="28"/>
          <w:szCs w:val="28"/>
        </w:rPr>
        <w:br w:type="textWrapping"/>
      </w:r>
      <w:r>
        <w:rPr>
          <w:rFonts w:hint="eastAsia" w:ascii="仿宋" w:hAnsi="仿宋" w:eastAsia="仿宋" w:cs="仿宋"/>
          <w:color w:val="auto"/>
          <w:kern w:val="0"/>
          <w:sz w:val="28"/>
          <w:szCs w:val="28"/>
          <w:lang w:val="en-US" w:eastAsia="zh-CN"/>
        </w:rPr>
        <w:t xml:space="preserve">   （二）</w:t>
      </w:r>
      <w:r>
        <w:rPr>
          <w:rFonts w:hint="eastAsia" w:ascii="仿宋" w:hAnsi="仿宋" w:eastAsia="仿宋" w:cs="仿宋"/>
          <w:color w:val="auto"/>
          <w:kern w:val="0"/>
          <w:sz w:val="28"/>
          <w:szCs w:val="28"/>
        </w:rPr>
        <w:t>自202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1月1日起至2027年12月31日，对残疾人就业保障金实行分档减缴政策。其中：用人单位安排残疾人就业比例达到1%（含）以上，但未达到1.5%比例的按规定应缴费额的50%缴纳残疾人就业保障金；用人单位安排残疾人就业比例在1%以下的，按规定应缴费额的90%缴纳残疾人就业保障金。（政策依据：</w:t>
      </w:r>
      <w:r>
        <w:rPr>
          <w:rFonts w:hint="eastAsia" w:ascii="仿宋" w:hAnsi="仿宋" w:eastAsia="仿宋" w:cs="仿宋"/>
          <w:color w:val="auto"/>
          <w:sz w:val="28"/>
          <w:szCs w:val="28"/>
          <w:lang w:val="en-US" w:eastAsia="zh-CN"/>
        </w:rPr>
        <w:t>《关于延续实施残疾人就业保障金优惠政策的公告》（财政部公告2023年第8号）</w:t>
      </w:r>
    </w:p>
    <w:p>
      <w:pPr>
        <w:widowControl/>
        <w:numPr>
          <w:ilvl w:val="0"/>
          <w:numId w:val="0"/>
        </w:numPr>
        <w:spacing w:line="4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（三）</w:t>
      </w:r>
      <w:r>
        <w:rPr>
          <w:rFonts w:hint="eastAsia" w:ascii="仿宋" w:hAnsi="仿宋" w:eastAsia="仿宋" w:cs="仿宋"/>
          <w:color w:val="auto"/>
          <w:kern w:val="0"/>
          <w:sz w:val="28"/>
          <w:szCs w:val="28"/>
        </w:rPr>
        <w:t>自202</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年1月1日起至2027年12月31日，在职职工人数在30人（含）以下的企业，暂免征收残疾人就业保障金。（政策依据：《河北省财政厅等三部门关于进一步规范残疾人就业保障金征收管理通知》（冀财非税〔2020〕15号）财政部公告2023年第8号</w:t>
      </w:r>
    </w:p>
    <w:p>
      <w:pPr>
        <w:widowControl/>
        <w:spacing w:line="4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（四）</w:t>
      </w:r>
      <w:r>
        <w:rPr>
          <w:rFonts w:hint="eastAsia" w:ascii="仿宋" w:hAnsi="仿宋" w:eastAsia="仿宋" w:cs="仿宋"/>
          <w:color w:val="auto"/>
          <w:kern w:val="0"/>
          <w:sz w:val="28"/>
          <w:szCs w:val="28"/>
        </w:rPr>
        <w:t>用人单位遇不可抗力自然灾害或其他突发事件遭受重大直接经济损失，可以向本级残疾人就业服务机构申请减免或者缓缴保障金。（政策依据：《河北省残疾人就业保障金征收使用管理实施办法》（冀财税〔2016〕40号）</w:t>
      </w:r>
    </w:p>
    <w:p>
      <w:pPr>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（五）</w:t>
      </w:r>
      <w:bookmarkStart w:id="0" w:name="_GoBack"/>
      <w:bookmarkEnd w:id="0"/>
      <w:r>
        <w:rPr>
          <w:rFonts w:hint="eastAsia" w:ascii="仿宋" w:hAnsi="仿宋" w:eastAsia="仿宋" w:cs="仿宋"/>
          <w:color w:val="auto"/>
          <w:kern w:val="0"/>
          <w:sz w:val="28"/>
          <w:szCs w:val="28"/>
        </w:rPr>
        <w:t>自2018年4月1日起，将保障金征收标准上限由当地社会平均工资的3倍降低至2倍。其中，用人单位在职职工平均工资未超过当地社会平均工资2倍（含）的，按用人单位在职职工年平均工资计征保障金；超过当地社会平均工资2倍的，按当地社会平均工资2倍计征保障金。（政策依据：《财政部关于降低部分政府性基金征收标准的通知》（财税〔2018〕39号）</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十、监督举报电话：0315-462</w:t>
      </w:r>
      <w:r>
        <w:rPr>
          <w:rFonts w:hint="eastAsia" w:ascii="仿宋" w:hAnsi="仿宋" w:eastAsia="仿宋" w:cs="仿宋"/>
          <w:color w:val="auto"/>
          <w:sz w:val="28"/>
          <w:szCs w:val="28"/>
          <w:lang w:val="en-US" w:eastAsia="zh-CN"/>
        </w:rPr>
        <w:t>3915</w:t>
      </w:r>
    </w:p>
    <w:p>
      <w:pPr>
        <w:ind w:firstLine="560" w:firstLineChars="200"/>
        <w:rPr>
          <w:rFonts w:hint="eastAsia" w:ascii="仿宋" w:hAnsi="仿宋" w:eastAsia="仿宋" w:cs="仿宋"/>
          <w:color w:val="auto"/>
          <w:sz w:val="28"/>
          <w:szCs w:val="28"/>
        </w:rPr>
      </w:pPr>
    </w:p>
    <w:p>
      <w:pPr>
        <w:ind w:firstLine="560" w:firstLineChars="200"/>
        <w:rPr>
          <w:rFonts w:hint="eastAsia" w:ascii="仿宋" w:hAnsi="仿宋" w:eastAsia="仿宋" w:cs="仿宋"/>
          <w:color w:val="auto"/>
          <w:sz w:val="28"/>
          <w:szCs w:val="28"/>
        </w:rPr>
      </w:pPr>
    </w:p>
    <w:p>
      <w:pPr>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国家税务总局乐亭县税务局</w:t>
      </w:r>
    </w:p>
    <w:p>
      <w:pPr>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79"/>
    <w:rsid w:val="00221378"/>
    <w:rsid w:val="00284C08"/>
    <w:rsid w:val="00540A79"/>
    <w:rsid w:val="00765E79"/>
    <w:rsid w:val="00CA1979"/>
    <w:rsid w:val="00D86070"/>
    <w:rsid w:val="0F2E2E20"/>
    <w:rsid w:val="1230380A"/>
    <w:rsid w:val="36907344"/>
    <w:rsid w:val="6028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Words>
  <Characters>957</Characters>
  <Lines>7</Lines>
  <Paragraphs>2</Paragraphs>
  <TotalTime>8</TotalTime>
  <ScaleCrop>false</ScaleCrop>
  <LinksUpToDate>false</LinksUpToDate>
  <CharactersWithSpaces>1122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2023-06-06T02:02:00Z</dcterms:created>
  <dc:creator>admin</dc:creator>
  <cp:lastModifiedBy>媛媛</cp:lastModifiedBy>
  <dcterms:modified xsi:type="dcterms:W3CDTF">2024-05-10T06:41:28Z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6AE89C2364A843509FF94C9EB9370C68</vt:lpwstr>
  </property>
</Properties>
</file>