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72"/>
          <w:lang w:eastAsia="zh-CN"/>
        </w:rPr>
      </w:pPr>
      <w:r>
        <w:rPr>
          <w:rFonts w:ascii="方正小标宋_GBK" w:hAnsi="方正小标宋_GBK" w:eastAsia="方正小标宋_GBK" w:cs="方正小标宋_GBK"/>
          <w:color w:val="000000"/>
          <w:sz w:val="72"/>
        </w:rPr>
        <w:t>中国共产党乐亭县委员会</w:t>
      </w:r>
    </w:p>
    <w:p>
      <w:pPr>
        <w:jc w:val="center"/>
      </w:pPr>
      <w:r>
        <w:rPr>
          <w:rFonts w:ascii="方正小标宋_GBK" w:hAnsi="方正小标宋_GBK" w:eastAsia="方正小标宋_GBK" w:cs="方正小标宋_GBK"/>
          <w:color w:val="000000"/>
          <w:sz w:val="72"/>
        </w:rPr>
        <w:t>党校</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中国共产党乐亭县委员会党校编制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1.专项资金绩效目标表</w:t>
      </w:r>
      <w:r>
        <w:tab/>
      </w:r>
      <w:r>
        <w:fldChar w:fldCharType="begin"/>
      </w:r>
      <w:r>
        <w:instrText xml:space="preserve">PAGEREF _Toc_4_4_0000000004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2.党校2024年培训费资金绩效目标表</w:t>
      </w:r>
      <w:r>
        <w:tab/>
      </w:r>
      <w:r>
        <w:fldChar w:fldCharType="begin"/>
      </w:r>
      <w:r>
        <w:instrText xml:space="preserve">PAGEREF _Toc_4_4_0000000005 \h</w:instrText>
      </w:r>
      <w:r>
        <w:fldChar w:fldCharType="separate"/>
      </w:r>
      <w:r>
        <w:t>5</w:t>
      </w:r>
      <w:r>
        <w:fldChar w:fldCharType="end"/>
      </w:r>
      <w:r>
        <w:fldChar w:fldCharType="end"/>
      </w:r>
    </w:p>
    <w:p>
      <w:r>
        <w:fldChar w:fldCharType="end"/>
      </w:r>
    </w:p>
    <w:p>
      <w:pPr>
        <w:rPr>
          <w:rFonts w:hint="eastAsia" w:eastAsia="宋体"/>
          <w:lang w:eastAsia="zh-CN"/>
        </w:rPr>
      </w:pPr>
      <w:r>
        <w:br w:type="page"/>
      </w:r>
    </w:p>
    <w:p>
      <w:pPr>
        <w:rPr>
          <w:rFonts w:hint="eastAsia" w:eastAsia="宋体"/>
          <w:lang w:eastAsia="zh-CN"/>
        </w:rPr>
        <w:sectPr>
          <w:footerReference r:id="rId3" w:type="default"/>
          <w:footerReference r:id="rId4" w:type="even"/>
          <w:pgSz w:w="11900" w:h="16840"/>
          <w:pgMar w:top="1984" w:right="1304" w:bottom="1134" w:left="130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rPr>
      </w:pPr>
      <w:bookmarkStart w:id="0" w:name="_Toc_2_2_0000000001"/>
      <w:r>
        <w:rPr>
          <w:rFonts w:ascii="黑体" w:hAnsi="黑体" w:eastAsia="黑体" w:cs="方正黑体_GBK"/>
          <w:color w:val="000000"/>
          <w:sz w:val="32"/>
        </w:rPr>
        <w:t>一、总体绩效目标</w:t>
      </w:r>
      <w:bookmarkEnd w:id="0"/>
    </w:p>
    <w:p>
      <w:pPr>
        <w:pStyle w:val="8"/>
        <w:spacing w:line="560" w:lineRule="exact"/>
        <w:ind w:firstLine="640" w:firstLineChars="200"/>
        <w:jc w:val="both"/>
        <w:rPr>
          <w:rFonts w:eastAsia="仿宋"/>
          <w:sz w:val="32"/>
        </w:rPr>
      </w:pPr>
      <w:r>
        <w:rPr>
          <w:rFonts w:eastAsia="仿宋"/>
          <w:sz w:val="32"/>
        </w:rPr>
        <w:t>一是尽快完成工程扫尾和验收工作，同时积极推进二期建设。</w:t>
      </w:r>
    </w:p>
    <w:p>
      <w:pPr>
        <w:pStyle w:val="8"/>
        <w:spacing w:line="560" w:lineRule="exact"/>
        <w:ind w:firstLine="640" w:firstLineChars="200"/>
        <w:jc w:val="both"/>
        <w:rPr>
          <w:rFonts w:eastAsia="仿宋"/>
          <w:sz w:val="32"/>
        </w:rPr>
      </w:pPr>
      <w:r>
        <w:rPr>
          <w:rFonts w:eastAsia="仿宋"/>
          <w:sz w:val="32"/>
        </w:rPr>
        <w:t>二是积极对接省委党校，系统学习办学和管理经验，同时学习先进地区经验，在课程体系和现场教学点建设方面提升水平。</w:t>
      </w:r>
    </w:p>
    <w:p>
      <w:pPr>
        <w:pStyle w:val="8"/>
        <w:spacing w:line="560" w:lineRule="exact"/>
        <w:ind w:firstLine="640" w:firstLineChars="200"/>
        <w:jc w:val="both"/>
        <w:rPr>
          <w:rFonts w:eastAsia="仿宋"/>
          <w:sz w:val="32"/>
        </w:rPr>
      </w:pPr>
      <w:r>
        <w:rPr>
          <w:rFonts w:eastAsia="仿宋"/>
          <w:sz w:val="32"/>
        </w:rPr>
        <w:t>三是加大科研资政工作力度，为党委和政府决策服务。</w:t>
      </w:r>
    </w:p>
    <w:p>
      <w:pPr>
        <w:pStyle w:val="8"/>
        <w:spacing w:line="560" w:lineRule="exact"/>
        <w:ind w:firstLine="640" w:firstLineChars="200"/>
        <w:jc w:val="both"/>
        <w:rPr>
          <w:rFonts w:eastAsia="仿宋"/>
          <w:sz w:val="32"/>
        </w:rPr>
      </w:pPr>
      <w:r>
        <w:rPr>
          <w:rFonts w:eastAsia="仿宋"/>
          <w:sz w:val="32"/>
        </w:rPr>
        <w:t>四是加大宣传力度，扩大乐亭教育培训知名度。为我县打造以弘扬大钊精神为主体的全国一流红色干部教育培训基地和拥有独特品味的城市“红色会客厅”做出主要贡献。</w:t>
      </w:r>
    </w:p>
    <w:p>
      <w:pPr>
        <w:pStyle w:val="8"/>
        <w:spacing w:line="560" w:lineRule="exact"/>
        <w:ind w:firstLine="640" w:firstLineChars="200"/>
        <w:jc w:val="both"/>
        <w:rPr>
          <w:rFonts w:eastAsia="仿宋"/>
          <w:sz w:val="32"/>
        </w:rPr>
      </w:pPr>
      <w:r>
        <w:rPr>
          <w:rFonts w:eastAsia="仿宋"/>
          <w:sz w:val="32"/>
        </w:rPr>
        <w:t>五是做好主体班培训工作以及对外承接的短期班培训工作。为学员做好及时热情周到的服务。</w:t>
      </w:r>
    </w:p>
    <w:p>
      <w:pPr>
        <w:pStyle w:val="8"/>
        <w:spacing w:line="560" w:lineRule="exact"/>
        <w:ind w:firstLine="640" w:firstLineChars="200"/>
        <w:jc w:val="both"/>
        <w:rPr>
          <w:rFonts w:eastAsia="仿宋"/>
          <w:sz w:val="32"/>
          <w:lang w:eastAsia="zh-CN"/>
        </w:rPr>
      </w:pPr>
      <w:r>
        <w:rPr>
          <w:rFonts w:eastAsia="仿宋"/>
          <w:sz w:val="32"/>
        </w:rPr>
        <w:t>六是抓好财务管理工作，严格遵守财经纪律，履行财务制度。</w:t>
      </w:r>
    </w:p>
    <w:p>
      <w:pPr>
        <w:spacing w:before="10" w:after="10" w:line="560" w:lineRule="exact"/>
        <w:ind w:firstLine="640" w:firstLineChars="200"/>
        <w:jc w:val="both"/>
        <w:outlineLvl w:val="1"/>
        <w:rPr>
          <w:rFonts w:ascii="黑体" w:hAnsi="黑体" w:eastAsia="黑体"/>
          <w:sz w:val="32"/>
        </w:rPr>
      </w:pPr>
      <w:bookmarkStart w:id="1" w:name="_Toc_2_2_0000000002"/>
      <w:r>
        <w:rPr>
          <w:rFonts w:ascii="黑体" w:hAnsi="黑体" w:eastAsia="黑体" w:cs="方正黑体_GBK"/>
          <w:color w:val="000000"/>
          <w:sz w:val="32"/>
        </w:rPr>
        <w:t>二、分项绩效目标</w:t>
      </w:r>
      <w:bookmarkEnd w:id="1"/>
    </w:p>
    <w:p>
      <w:pPr>
        <w:pStyle w:val="9"/>
        <w:spacing w:line="560" w:lineRule="exact"/>
        <w:ind w:firstLine="640" w:firstLineChars="200"/>
        <w:jc w:val="both"/>
        <w:rPr>
          <w:rFonts w:eastAsia="仿宋"/>
          <w:sz w:val="32"/>
        </w:rPr>
      </w:pPr>
      <w:r>
        <w:rPr>
          <w:rFonts w:eastAsia="仿宋"/>
          <w:sz w:val="32"/>
        </w:rPr>
        <w:t>1、要把学习</w:t>
      </w:r>
      <w:r>
        <w:rPr>
          <w:rFonts w:hint="eastAsia" w:eastAsia="仿宋"/>
          <w:sz w:val="32"/>
          <w:lang w:val="en-US" w:eastAsia="zh-CN"/>
        </w:rPr>
        <w:t>党的政策理论</w:t>
      </w:r>
      <w:r>
        <w:rPr>
          <w:rFonts w:eastAsia="仿宋"/>
          <w:sz w:val="32"/>
        </w:rPr>
        <w:t>作为党校（行政学院）、干部学院教育培训的必修课，切实抓好学习培训。要着力增强教学的说服力、针对性和有效性。要选派骨干教师，深入开展面向基层的对象化、互动化宣讲，扩大宣讲覆盖面和影响力，推动广大干部群众切实把思想和行动统一到党的</w:t>
      </w:r>
      <w:r>
        <w:rPr>
          <w:rFonts w:hint="eastAsia" w:eastAsia="仿宋"/>
          <w:sz w:val="32"/>
          <w:lang w:val="en-US" w:eastAsia="zh-CN"/>
        </w:rPr>
        <w:t>方针政策</w:t>
      </w:r>
      <w:r>
        <w:rPr>
          <w:rFonts w:eastAsia="仿宋"/>
          <w:sz w:val="32"/>
        </w:rPr>
        <w:t>上来。</w:t>
      </w:r>
    </w:p>
    <w:p>
      <w:pPr>
        <w:pStyle w:val="9"/>
        <w:spacing w:line="560" w:lineRule="exact"/>
        <w:ind w:firstLine="640" w:firstLineChars="200"/>
        <w:jc w:val="both"/>
        <w:rPr>
          <w:rFonts w:eastAsia="仿宋"/>
          <w:sz w:val="32"/>
        </w:rPr>
      </w:pPr>
      <w:r>
        <w:rPr>
          <w:rFonts w:eastAsia="仿宋"/>
          <w:sz w:val="32"/>
        </w:rPr>
        <w:t>2、全力推进二期工程建设。县委党校将按照既定任务目标，认真分析研究推进措施，全力以赴推进工程进度。与财政局对接，做好公示、招标等工作，加速办理外立面装修项目施工许可，尽快完成装修改造工程。加快跑办边防大队办公楼资产置换工作。</w:t>
      </w:r>
    </w:p>
    <w:p>
      <w:pPr>
        <w:pStyle w:val="9"/>
        <w:spacing w:line="560" w:lineRule="exact"/>
        <w:ind w:firstLine="640" w:firstLineChars="200"/>
        <w:jc w:val="both"/>
        <w:rPr>
          <w:rFonts w:eastAsia="仿宋"/>
          <w:sz w:val="32"/>
        </w:rPr>
      </w:pPr>
      <w:r>
        <w:rPr>
          <w:rFonts w:eastAsia="仿宋"/>
          <w:sz w:val="32"/>
        </w:rPr>
        <w:t>3、发挥干训主渠道作用，高质量完成各类教学培训任务。计划举办党的二十大精神轮训班、中青年干部培训班、党务干部培训班等各类培训班10期，培训学员3000人次。以习近平新时代中国特色社会主义思想和党的二十大精神作为送课重点。在全县范围内大力开展“送课下基层”活动，计划送课30个单位，培训学员5000人。</w:t>
      </w:r>
    </w:p>
    <w:p>
      <w:pPr>
        <w:pStyle w:val="9"/>
        <w:spacing w:line="560" w:lineRule="exact"/>
        <w:ind w:firstLine="640" w:firstLineChars="200"/>
        <w:jc w:val="both"/>
        <w:rPr>
          <w:rFonts w:eastAsia="仿宋"/>
          <w:sz w:val="32"/>
        </w:rPr>
      </w:pPr>
      <w:r>
        <w:rPr>
          <w:rFonts w:eastAsia="仿宋"/>
          <w:sz w:val="32"/>
        </w:rPr>
        <w:t>4、加大科研工作力度。申报社会主义学院立项课题《新时代中国特色社会主义统战工作的研究》，参与社会主义学院赵妍老师的课题组申报的课题《全过程人民民主在西柏坡时期的实践与启示》。参与华北理工大学孙会清教授申报河北省社科联的立项课题《建党百年视域下李大钊文献数字化建设策略研究》。</w:t>
      </w:r>
    </w:p>
    <w:p>
      <w:pPr>
        <w:pStyle w:val="9"/>
        <w:spacing w:line="560" w:lineRule="exact"/>
        <w:ind w:firstLine="640" w:firstLineChars="200"/>
        <w:jc w:val="both"/>
        <w:rPr>
          <w:rFonts w:eastAsia="仿宋"/>
          <w:sz w:val="32"/>
        </w:rPr>
      </w:pPr>
      <w:r>
        <w:rPr>
          <w:rFonts w:eastAsia="仿宋"/>
          <w:sz w:val="32"/>
        </w:rPr>
        <w:t xml:space="preserve">5、深入基层调研，提高服务县委县政府科学决策的能力。根据县委县政府中心工作需要，确定调研专题，组成调研组深入基层调研，撰写有价值的调查报告提交有关部门参考。    </w:t>
      </w:r>
    </w:p>
    <w:p>
      <w:pPr>
        <w:pStyle w:val="9"/>
        <w:spacing w:line="560" w:lineRule="exact"/>
        <w:ind w:firstLine="640" w:firstLineChars="200"/>
        <w:jc w:val="both"/>
        <w:rPr>
          <w:rFonts w:eastAsia="仿宋"/>
          <w:sz w:val="32"/>
        </w:rPr>
      </w:pPr>
      <w:r>
        <w:rPr>
          <w:rFonts w:eastAsia="仿宋"/>
          <w:sz w:val="32"/>
        </w:rPr>
        <w:t>6、深入挖掘大钊故乡红色资源，储备“不忘初心</w:t>
      </w:r>
      <w:r>
        <w:rPr>
          <w:rFonts w:hint="eastAsia" w:eastAsia="仿宋"/>
          <w:sz w:val="32"/>
          <w:lang w:eastAsia="zh-CN"/>
        </w:rPr>
        <w:t>、</w:t>
      </w:r>
      <w:bookmarkStart w:id="5" w:name="_GoBack"/>
      <w:bookmarkEnd w:id="5"/>
      <w:r>
        <w:rPr>
          <w:rFonts w:eastAsia="仿宋"/>
          <w:sz w:val="32"/>
        </w:rPr>
        <w:t>牢记使命”特色课程。深入学习研究大钊精神，积极参加各类大钊思想、大钊精神学术研讨活动，积极吸收先进研究成果，将这些成果转化，储备特色课，满足培训需要。</w:t>
      </w:r>
    </w:p>
    <w:p>
      <w:pPr>
        <w:pStyle w:val="9"/>
        <w:spacing w:line="560" w:lineRule="exact"/>
        <w:ind w:firstLine="640" w:firstLineChars="200"/>
        <w:jc w:val="both"/>
        <w:rPr>
          <w:rFonts w:eastAsia="仿宋"/>
          <w:sz w:val="32"/>
        </w:rPr>
      </w:pPr>
      <w:r>
        <w:rPr>
          <w:rFonts w:eastAsia="仿宋"/>
          <w:sz w:val="32"/>
        </w:rPr>
        <w:t>7、巩固提升模范机关创建成果。严格落实“三会一课”等各项组织生活制度。通过组织党员观看红色影片、重走红色线路、学习时代楷模先进事迹等方式进一步筑牢初心使命，锤炼党性修养，坚持以党的政治优势、组织优势来推进各项工作。</w:t>
      </w:r>
    </w:p>
    <w:p>
      <w:pPr>
        <w:spacing w:before="10" w:after="10" w:line="560" w:lineRule="exact"/>
        <w:ind w:firstLine="640" w:firstLineChars="200"/>
        <w:jc w:val="both"/>
        <w:outlineLvl w:val="1"/>
        <w:rPr>
          <w:rFonts w:ascii="黑体" w:hAnsi="黑体" w:eastAsia="黑体"/>
          <w:sz w:val="32"/>
        </w:rPr>
      </w:pPr>
      <w:bookmarkStart w:id="2" w:name="_Toc_2_2_0000000003"/>
      <w:r>
        <w:rPr>
          <w:rFonts w:ascii="黑体" w:hAnsi="黑体" w:eastAsia="黑体" w:cs="方正黑体_GBK"/>
          <w:color w:val="000000"/>
          <w:sz w:val="32"/>
        </w:rPr>
        <w:t>三、工作保障措施</w:t>
      </w:r>
      <w:bookmarkEnd w:id="2"/>
    </w:p>
    <w:p>
      <w:pPr>
        <w:pStyle w:val="10"/>
        <w:spacing w:line="560" w:lineRule="exact"/>
        <w:ind w:firstLine="640" w:firstLineChars="200"/>
        <w:jc w:val="both"/>
        <w:rPr>
          <w:rFonts w:eastAsia="仿宋"/>
          <w:sz w:val="32"/>
        </w:rPr>
      </w:pPr>
      <w:r>
        <w:rPr>
          <w:rFonts w:eastAsia="仿宋"/>
          <w:sz w:val="32"/>
        </w:rPr>
        <w:t>我校在县委的正确领导下，以建设弘扬大钊精神的全国一流红色干部教育培训基地为目标，大力推进县委党校迁址新建项目建设，及时完善配套设施，加强财务管理，多方谋划短期班培训班次，积极做好创收渠道，保障新党校</w:t>
      </w:r>
      <w:r>
        <w:rPr>
          <w:rFonts w:hint="eastAsia" w:eastAsia="仿宋"/>
          <w:sz w:val="32"/>
          <w:lang w:val="en-US" w:eastAsia="zh-CN"/>
        </w:rPr>
        <w:t>正常运转</w:t>
      </w:r>
      <w:r>
        <w:rPr>
          <w:rFonts w:eastAsia="仿宋"/>
          <w:sz w:val="32"/>
        </w:rPr>
        <w:t>。</w:t>
      </w:r>
    </w:p>
    <w:p>
      <w:pPr>
        <w:spacing w:line="560" w:lineRule="exact"/>
        <w:ind w:firstLine="640" w:firstLineChars="200"/>
        <w:jc w:val="both"/>
        <w:rPr>
          <w:rFonts w:eastAsia="仿宋"/>
          <w:sz w:val="32"/>
        </w:rPr>
        <w:sectPr>
          <w:pgSz w:w="11900" w:h="16840"/>
          <w:pgMar w:top="1984" w:right="1304" w:bottom="1134" w:left="1304" w:header="720" w:footer="720" w:gutter="0"/>
          <w:pgNumType w:start="1"/>
          <w:cols w:space="720" w:num="1"/>
        </w:sectPr>
      </w:pPr>
      <w:r>
        <w:rPr>
          <w:rFonts w:ascii="方正书宋_GBK" w:hAnsi="方正书宋_GBK" w:eastAsia="仿宋" w:cs="方正书宋_GBK"/>
          <w:color w:val="000000"/>
          <w:sz w:val="3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1.专项资金绩效目标表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281001中国共产党乐亭县委员会党校本级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13022524P00002810002H</w:t>
            </w:r>
          </w:p>
        </w:tc>
        <w:tc>
          <w:tcPr>
            <w:tcW w:w="1587" w:type="dxa"/>
            <w:vAlign w:val="center"/>
          </w:tcPr>
          <w:p>
            <w:pPr>
              <w:pStyle w:val="14"/>
            </w:pPr>
            <w:r>
              <w:t>项目名称</w:t>
            </w:r>
          </w:p>
        </w:tc>
        <w:tc>
          <w:tcPr>
            <w:tcW w:w="4422" w:type="dxa"/>
            <w:gridSpan w:val="3"/>
            <w:vAlign w:val="center"/>
          </w:tcPr>
          <w:p>
            <w:pPr>
              <w:pStyle w:val="13"/>
            </w:pPr>
            <w:r>
              <w:t>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130.00</w:t>
            </w:r>
          </w:p>
        </w:tc>
        <w:tc>
          <w:tcPr>
            <w:tcW w:w="1587" w:type="dxa"/>
            <w:vAlign w:val="center"/>
          </w:tcPr>
          <w:p>
            <w:pPr>
              <w:pStyle w:val="14"/>
            </w:pPr>
            <w:r>
              <w:t>其中：财政    资金</w:t>
            </w:r>
          </w:p>
        </w:tc>
        <w:tc>
          <w:tcPr>
            <w:tcW w:w="1304" w:type="dxa"/>
            <w:vAlign w:val="center"/>
          </w:tcPr>
          <w:p>
            <w:pPr>
              <w:pStyle w:val="13"/>
            </w:pPr>
            <w:r>
              <w:t>130.00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党校正常运行经费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w:t>
            </w:r>
            <w:r>
              <w:rPr>
                <w:rFonts w:hint="eastAsia"/>
                <w:lang w:eastAsia="zh-CN"/>
              </w:rPr>
              <w:t>0</w:t>
            </w:r>
            <w:r>
              <w:t>%</w:t>
            </w:r>
          </w:p>
        </w:tc>
        <w:tc>
          <w:tcPr>
            <w:tcW w:w="1304" w:type="dxa"/>
            <w:vAlign w:val="center"/>
          </w:tcPr>
          <w:p>
            <w:pPr>
              <w:pStyle w:val="15"/>
            </w:pPr>
            <w:r>
              <w:rPr>
                <w:rFonts w:hint="eastAsia"/>
                <w:lang w:eastAsia="zh-CN"/>
              </w:rPr>
              <w:t>7</w:t>
            </w:r>
            <w:r>
              <w:t>5%</w:t>
            </w:r>
          </w:p>
        </w:tc>
        <w:tc>
          <w:tcPr>
            <w:tcW w:w="3118" w:type="dxa"/>
            <w:gridSpan w:val="2"/>
            <w:vAlign w:val="center"/>
          </w:tcPr>
          <w:p>
            <w:pPr>
              <w:pStyle w:val="15"/>
            </w:pPr>
            <w:r>
              <w:rPr>
                <w:rFonts w:hint="eastAsia"/>
                <w:lang w:eastAsia="zh-CN"/>
              </w:rPr>
              <w:t>100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1.完成党校培训工作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25"/>
        <w:gridCol w:w="2698"/>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525" w:type="dxa"/>
            <w:vAlign w:val="center"/>
          </w:tcPr>
          <w:p>
            <w:pPr>
              <w:pStyle w:val="14"/>
            </w:pPr>
            <w:r>
              <w:t>三级指标</w:t>
            </w:r>
          </w:p>
        </w:tc>
        <w:tc>
          <w:tcPr>
            <w:tcW w:w="2698"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525" w:type="dxa"/>
            <w:vAlign w:val="center"/>
          </w:tcPr>
          <w:p>
            <w:pPr>
              <w:pStyle w:val="13"/>
            </w:pPr>
            <w:r>
              <w:t>培训人数</w:t>
            </w:r>
          </w:p>
        </w:tc>
        <w:tc>
          <w:tcPr>
            <w:tcW w:w="2698" w:type="dxa"/>
            <w:vAlign w:val="center"/>
          </w:tcPr>
          <w:p>
            <w:pPr>
              <w:pStyle w:val="13"/>
              <w:rPr>
                <w:rFonts w:hint="default" w:eastAsia="方正书宋_GBK"/>
                <w:lang w:val="en-US" w:eastAsia="zh-CN"/>
              </w:rPr>
            </w:pPr>
            <w:r>
              <w:t>培训人数</w:t>
            </w:r>
            <w:r>
              <w:rPr>
                <w:rFonts w:hint="eastAsia"/>
                <w:lang w:val="en-US" w:eastAsia="zh-CN"/>
              </w:rPr>
              <w:t>达到4000人以上</w:t>
            </w:r>
          </w:p>
        </w:tc>
        <w:tc>
          <w:tcPr>
            <w:tcW w:w="1276" w:type="dxa"/>
            <w:shd w:val="clear" w:color="auto" w:fill="FFFFFF" w:themeFill="background1"/>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≥4000</w:t>
            </w:r>
          </w:p>
        </w:tc>
        <w:tc>
          <w:tcPr>
            <w:tcW w:w="1843" w:type="dxa"/>
            <w:vAlign w:val="center"/>
          </w:tcPr>
          <w:p>
            <w:pPr>
              <w:pStyle w:val="13"/>
            </w:pPr>
            <w:r>
              <w:t>根据上年度培训人数制定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525" w:type="dxa"/>
            <w:vAlign w:val="center"/>
          </w:tcPr>
          <w:p>
            <w:pPr>
              <w:pStyle w:val="13"/>
            </w:pPr>
            <w:r>
              <w:t>培训完成率</w:t>
            </w:r>
          </w:p>
        </w:tc>
        <w:tc>
          <w:tcPr>
            <w:tcW w:w="2698" w:type="dxa"/>
            <w:vAlign w:val="center"/>
          </w:tcPr>
          <w:p>
            <w:pPr>
              <w:pStyle w:val="13"/>
              <w:rPr>
                <w:rFonts w:hint="default" w:eastAsia="方正书宋_GBK"/>
                <w:lang w:val="en-US" w:eastAsia="zh-CN"/>
              </w:rPr>
            </w:pPr>
            <w:r>
              <w:t>培训完成率</w:t>
            </w:r>
            <w:r>
              <w:rPr>
                <w:rFonts w:hint="eastAsia"/>
                <w:lang w:val="en-US" w:eastAsia="zh-CN"/>
              </w:rPr>
              <w:t>95%以上</w:t>
            </w:r>
          </w:p>
        </w:tc>
        <w:tc>
          <w:tcPr>
            <w:tcW w:w="1276" w:type="dxa"/>
            <w:shd w:val="clear" w:color="auto" w:fill="FFFFFF" w:themeFill="background1"/>
            <w:vAlign w:val="center"/>
          </w:tcPr>
          <w:p>
            <w:pPr>
              <w:pStyle w:val="13"/>
              <w:rPr>
                <w:rFonts w:hint="default" w:eastAsia="方正书宋_GBK"/>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95%</w:t>
            </w:r>
          </w:p>
        </w:tc>
        <w:tc>
          <w:tcPr>
            <w:tcW w:w="1843" w:type="dxa"/>
            <w:vAlign w:val="center"/>
          </w:tcPr>
          <w:p>
            <w:pPr>
              <w:pStyle w:val="13"/>
            </w:pPr>
            <w:r>
              <w:t>根据上年度培训完成情况制定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525" w:type="dxa"/>
            <w:vAlign w:val="center"/>
          </w:tcPr>
          <w:p>
            <w:pPr>
              <w:pStyle w:val="13"/>
            </w:pPr>
            <w:r>
              <w:t>培训及时性</w:t>
            </w:r>
          </w:p>
        </w:tc>
        <w:tc>
          <w:tcPr>
            <w:tcW w:w="2698" w:type="dxa"/>
            <w:vAlign w:val="center"/>
          </w:tcPr>
          <w:p>
            <w:pPr>
              <w:pStyle w:val="13"/>
              <w:rPr>
                <w:rFonts w:hint="default" w:eastAsia="方正书宋_GBK"/>
                <w:lang w:val="en-US" w:eastAsia="zh-CN"/>
              </w:rPr>
            </w:pPr>
            <w:r>
              <w:t>培训按计划及时开展</w:t>
            </w:r>
            <w:r>
              <w:rPr>
                <w:rFonts w:hint="eastAsia"/>
                <w:lang w:val="en-US" w:eastAsia="zh-CN"/>
              </w:rPr>
              <w:t>完成95%以上</w:t>
            </w:r>
          </w:p>
        </w:tc>
        <w:tc>
          <w:tcPr>
            <w:tcW w:w="1276" w:type="dxa"/>
            <w:shd w:val="clear" w:color="auto" w:fill="FFFFFF" w:themeFill="background1"/>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95%</w:t>
            </w:r>
          </w:p>
        </w:tc>
        <w:tc>
          <w:tcPr>
            <w:tcW w:w="1843" w:type="dxa"/>
            <w:vAlign w:val="center"/>
          </w:tcPr>
          <w:p>
            <w:pPr>
              <w:pStyle w:val="13"/>
            </w:pPr>
            <w:r>
              <w:t>根据上年度培训情况制定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525" w:type="dxa"/>
            <w:vAlign w:val="center"/>
          </w:tcPr>
          <w:p>
            <w:pPr>
              <w:pStyle w:val="13"/>
            </w:pPr>
            <w:r>
              <w:t>培训经费控制数</w:t>
            </w:r>
          </w:p>
        </w:tc>
        <w:tc>
          <w:tcPr>
            <w:tcW w:w="2698" w:type="dxa"/>
            <w:vAlign w:val="center"/>
          </w:tcPr>
          <w:p>
            <w:pPr>
              <w:pStyle w:val="13"/>
            </w:pPr>
            <w:r>
              <w:t>培训经费控制数</w:t>
            </w:r>
          </w:p>
        </w:tc>
        <w:tc>
          <w:tcPr>
            <w:tcW w:w="1276" w:type="dxa"/>
            <w:shd w:val="clear" w:color="auto" w:fill="FFFFFF" w:themeFill="background1"/>
            <w:vAlign w:val="center"/>
          </w:tcPr>
          <w:p>
            <w:pPr>
              <w:pStyle w:val="13"/>
              <w:rPr>
                <w:rFonts w:hint="eastAsia" w:eastAsia="方正书宋_GBK"/>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≤100</w:t>
            </w:r>
            <w:r>
              <w:rPr>
                <w:rFonts w:hint="eastAsia"/>
                <w:color w:val="000000" w:themeColor="text1"/>
                <w:highlight w:val="none"/>
                <w:lang w:val="en-US" w:eastAsia="zh-CN"/>
                <w14:textFill>
                  <w14:solidFill>
                    <w14:schemeClr w14:val="tx1"/>
                  </w14:solidFill>
                </w14:textFill>
              </w:rPr>
              <w:t>%</w:t>
            </w:r>
          </w:p>
        </w:tc>
        <w:tc>
          <w:tcPr>
            <w:tcW w:w="1843" w:type="dxa"/>
            <w:vAlign w:val="center"/>
          </w:tcPr>
          <w:p>
            <w:pPr>
              <w:pStyle w:val="13"/>
            </w:pPr>
            <w:r>
              <w:t>根据上年度经费使用情况制定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525" w:type="dxa"/>
            <w:vAlign w:val="center"/>
          </w:tcPr>
          <w:p>
            <w:pPr>
              <w:pStyle w:val="13"/>
            </w:pPr>
            <w:r>
              <w:t>项目工程完成情况</w:t>
            </w:r>
          </w:p>
        </w:tc>
        <w:tc>
          <w:tcPr>
            <w:tcW w:w="2698" w:type="dxa"/>
            <w:vAlign w:val="center"/>
          </w:tcPr>
          <w:p>
            <w:pPr>
              <w:pStyle w:val="13"/>
            </w:pPr>
            <w:r>
              <w:t>项目工程完成情况</w:t>
            </w:r>
          </w:p>
        </w:tc>
        <w:tc>
          <w:tcPr>
            <w:tcW w:w="1276" w:type="dxa"/>
            <w:shd w:val="clear" w:color="auto" w:fill="FFFFFF" w:themeFill="background1"/>
            <w:vAlign w:val="center"/>
          </w:tcPr>
          <w:p>
            <w:pPr>
              <w:pStyle w:val="13"/>
              <w:rPr>
                <w:rFonts w:hint="eastAsia" w:eastAsia="方正书宋_GBK"/>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≤100</w:t>
            </w:r>
            <w:r>
              <w:rPr>
                <w:rFonts w:hint="eastAsia"/>
                <w:color w:val="000000" w:themeColor="text1"/>
                <w:highlight w:val="none"/>
                <w:lang w:val="en-US" w:eastAsia="zh-CN"/>
                <w14:textFill>
                  <w14:solidFill>
                    <w14:schemeClr w14:val="tx1"/>
                  </w14:solidFill>
                </w14:textFill>
              </w:rPr>
              <w:t>%</w:t>
            </w:r>
          </w:p>
        </w:tc>
        <w:tc>
          <w:tcPr>
            <w:tcW w:w="1843" w:type="dxa"/>
            <w:vAlign w:val="center"/>
          </w:tcPr>
          <w:p>
            <w:pPr>
              <w:pStyle w:val="13"/>
            </w:pPr>
            <w:r>
              <w:t>根据上年度完成情况制定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525" w:type="dxa"/>
            <w:vAlign w:val="center"/>
          </w:tcPr>
          <w:p>
            <w:pPr>
              <w:pStyle w:val="13"/>
            </w:pPr>
            <w:r>
              <w:t>培训效果影响程度</w:t>
            </w:r>
          </w:p>
        </w:tc>
        <w:tc>
          <w:tcPr>
            <w:tcW w:w="2698" w:type="dxa"/>
            <w:vAlign w:val="center"/>
          </w:tcPr>
          <w:p>
            <w:pPr>
              <w:pStyle w:val="13"/>
              <w:rPr>
                <w:rFonts w:hint="default" w:eastAsia="方正书宋_GBK"/>
                <w:lang w:val="en-US" w:eastAsia="zh-CN"/>
              </w:rPr>
            </w:pPr>
            <w:r>
              <w:t>培训效果影响程度</w:t>
            </w:r>
            <w:r>
              <w:rPr>
                <w:rFonts w:hint="eastAsia"/>
                <w:lang w:val="en-US" w:eastAsia="zh-CN"/>
              </w:rPr>
              <w:t>95%以上</w:t>
            </w:r>
          </w:p>
        </w:tc>
        <w:tc>
          <w:tcPr>
            <w:tcW w:w="1276" w:type="dxa"/>
            <w:shd w:val="clear" w:color="auto" w:fill="FFFFFF" w:themeFill="background1"/>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95%</w:t>
            </w:r>
          </w:p>
        </w:tc>
        <w:tc>
          <w:tcPr>
            <w:tcW w:w="1843" w:type="dxa"/>
            <w:vAlign w:val="center"/>
          </w:tcPr>
          <w:p>
            <w:pPr>
              <w:pStyle w:val="13"/>
            </w:pPr>
            <w:r>
              <w:t>根据上年度培训效果制定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525" w:type="dxa"/>
            <w:vAlign w:val="center"/>
          </w:tcPr>
          <w:p>
            <w:pPr>
              <w:pStyle w:val="13"/>
            </w:pPr>
            <w:r>
              <w:t>生态效益提升值%</w:t>
            </w:r>
          </w:p>
        </w:tc>
        <w:tc>
          <w:tcPr>
            <w:tcW w:w="2698" w:type="dxa"/>
            <w:vAlign w:val="center"/>
          </w:tcPr>
          <w:p>
            <w:pPr>
              <w:pStyle w:val="13"/>
            </w:pPr>
            <w:r>
              <w:t>生态效益提升值%</w:t>
            </w:r>
          </w:p>
        </w:tc>
        <w:tc>
          <w:tcPr>
            <w:tcW w:w="1276" w:type="dxa"/>
            <w:shd w:val="clear" w:color="auto" w:fill="FFFFFF" w:themeFill="background1"/>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95%</w:t>
            </w:r>
          </w:p>
        </w:tc>
        <w:tc>
          <w:tcPr>
            <w:tcW w:w="1843" w:type="dxa"/>
            <w:vAlign w:val="center"/>
          </w:tcPr>
          <w:p>
            <w:pPr>
              <w:pStyle w:val="13"/>
            </w:pPr>
            <w:r>
              <w:t>根据上年度生态效益提升值制定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525" w:type="dxa"/>
            <w:vAlign w:val="center"/>
          </w:tcPr>
          <w:p>
            <w:pPr>
              <w:pStyle w:val="13"/>
              <w:rPr>
                <w:rFonts w:hint="eastAsia" w:eastAsia="方正书宋_GBK"/>
                <w:lang w:val="en-US" w:eastAsia="zh-CN"/>
              </w:rPr>
            </w:pPr>
            <w:r>
              <w:t>通过组织培训学习活动，广大党员</w:t>
            </w:r>
            <w:r>
              <w:rPr>
                <w:rFonts w:hint="eastAsia"/>
                <w:lang w:val="en-US" w:eastAsia="zh-CN"/>
              </w:rPr>
              <w:t>提升素质</w:t>
            </w:r>
          </w:p>
        </w:tc>
        <w:tc>
          <w:tcPr>
            <w:tcW w:w="2698" w:type="dxa"/>
            <w:vAlign w:val="center"/>
          </w:tcPr>
          <w:p>
            <w:pPr>
              <w:pStyle w:val="13"/>
            </w:pPr>
            <w:r>
              <w:t>通过组织培训学习活动，广大党员积极参政议政、建言献策的比例</w:t>
            </w:r>
          </w:p>
        </w:tc>
        <w:tc>
          <w:tcPr>
            <w:tcW w:w="1276" w:type="dxa"/>
            <w:shd w:val="clear" w:color="auto" w:fill="FFFFFF" w:themeFill="background1"/>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95%</w:t>
            </w:r>
          </w:p>
        </w:tc>
        <w:tc>
          <w:tcPr>
            <w:tcW w:w="1843" w:type="dxa"/>
            <w:vAlign w:val="center"/>
          </w:tcPr>
          <w:p>
            <w:pPr>
              <w:pStyle w:val="13"/>
            </w:pPr>
            <w:r>
              <w:t>根据上年度影响情况制定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525" w:type="dxa"/>
            <w:vAlign w:val="center"/>
          </w:tcPr>
          <w:p>
            <w:pPr>
              <w:pStyle w:val="13"/>
            </w:pPr>
            <w:r>
              <w:t>培训人员满意度</w:t>
            </w:r>
          </w:p>
        </w:tc>
        <w:tc>
          <w:tcPr>
            <w:tcW w:w="2698" w:type="dxa"/>
            <w:vAlign w:val="center"/>
          </w:tcPr>
          <w:p>
            <w:pPr>
              <w:pStyle w:val="13"/>
              <w:rPr>
                <w:rFonts w:hint="default" w:eastAsia="方正书宋_GBK"/>
                <w:lang w:val="en-US" w:eastAsia="zh-CN"/>
              </w:rPr>
            </w:pPr>
            <w:r>
              <w:t>培训人员满意度</w:t>
            </w:r>
            <w:r>
              <w:rPr>
                <w:rFonts w:hint="eastAsia"/>
                <w:lang w:val="en-US" w:eastAsia="zh-CN"/>
              </w:rPr>
              <w:t>95%以上</w:t>
            </w:r>
          </w:p>
        </w:tc>
        <w:tc>
          <w:tcPr>
            <w:tcW w:w="1276" w:type="dxa"/>
            <w:shd w:val="clear" w:color="auto" w:fill="FFFFFF" w:themeFill="background1"/>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95%</w:t>
            </w:r>
          </w:p>
        </w:tc>
        <w:tc>
          <w:tcPr>
            <w:tcW w:w="1843" w:type="dxa"/>
            <w:vAlign w:val="center"/>
          </w:tcPr>
          <w:p>
            <w:pPr>
              <w:pStyle w:val="13"/>
            </w:pPr>
            <w:r>
              <w:t>根据上年度情况制定</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2.党校2024年培训费资金绩效目标表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281001中国共产党乐亭县委员会党校本级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13022524P000024100113</w:t>
            </w:r>
          </w:p>
        </w:tc>
        <w:tc>
          <w:tcPr>
            <w:tcW w:w="1587" w:type="dxa"/>
            <w:vAlign w:val="center"/>
          </w:tcPr>
          <w:p>
            <w:pPr>
              <w:pStyle w:val="14"/>
            </w:pPr>
            <w:r>
              <w:t>项目名称</w:t>
            </w:r>
          </w:p>
        </w:tc>
        <w:tc>
          <w:tcPr>
            <w:tcW w:w="4422" w:type="dxa"/>
            <w:gridSpan w:val="3"/>
            <w:vAlign w:val="center"/>
          </w:tcPr>
          <w:p>
            <w:pPr>
              <w:pStyle w:val="13"/>
            </w:pPr>
            <w:r>
              <w:t>党校2024年培训费资金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w:t>
            </w:r>
          </w:p>
        </w:tc>
        <w:tc>
          <w:tcPr>
            <w:tcW w:w="1587" w:type="dxa"/>
            <w:vAlign w:val="center"/>
          </w:tcPr>
          <w:p>
            <w:pPr>
              <w:pStyle w:val="14"/>
            </w:pPr>
            <w:r>
              <w:t>其中：财政    资金</w:t>
            </w:r>
          </w:p>
        </w:tc>
        <w:tc>
          <w:tcPr>
            <w:tcW w:w="1304" w:type="dxa"/>
            <w:vAlign w:val="center"/>
          </w:tcPr>
          <w:p>
            <w:pPr>
              <w:pStyle w:val="13"/>
            </w:pPr>
            <w:r>
              <w:t>300.00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党校用于公用经费及培训支出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rPr>
                <w:rFonts w:hint="eastAsia"/>
                <w:lang w:eastAsia="zh-CN"/>
              </w:rPr>
              <w:t>50</w:t>
            </w:r>
            <w:r>
              <w:t>%</w:t>
            </w:r>
          </w:p>
        </w:tc>
        <w:tc>
          <w:tcPr>
            <w:tcW w:w="1304" w:type="dxa"/>
            <w:vAlign w:val="center"/>
          </w:tcPr>
          <w:p>
            <w:pPr>
              <w:pStyle w:val="15"/>
            </w:pPr>
            <w:r>
              <w:rPr>
                <w:rFonts w:hint="eastAsia"/>
                <w:lang w:eastAsia="zh-CN"/>
              </w:rPr>
              <w:t>7</w:t>
            </w:r>
            <w:r>
              <w:t>5%</w:t>
            </w:r>
          </w:p>
        </w:tc>
        <w:tc>
          <w:tcPr>
            <w:tcW w:w="3118" w:type="dxa"/>
            <w:gridSpan w:val="2"/>
            <w:vAlign w:val="center"/>
          </w:tcPr>
          <w:p>
            <w:pPr>
              <w:pStyle w:val="15"/>
            </w:pPr>
            <w:r>
              <w:rPr>
                <w:rFonts w:hint="eastAsia"/>
                <w:lang w:eastAsia="zh-CN"/>
              </w:rPr>
              <w:t>100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1.完成2024年度培训目标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培训人数</w:t>
            </w:r>
          </w:p>
        </w:tc>
        <w:tc>
          <w:tcPr>
            <w:tcW w:w="2891" w:type="dxa"/>
            <w:vAlign w:val="center"/>
          </w:tcPr>
          <w:p>
            <w:pPr>
              <w:pStyle w:val="13"/>
            </w:pPr>
            <w:r>
              <w:t>培训人数</w:t>
            </w:r>
            <w:r>
              <w:rPr>
                <w:rFonts w:hint="eastAsia"/>
                <w:lang w:val="en-US" w:eastAsia="zh-CN"/>
              </w:rPr>
              <w:t>达到4000人以上</w:t>
            </w:r>
          </w:p>
        </w:tc>
        <w:tc>
          <w:tcPr>
            <w:tcW w:w="1276" w:type="dxa"/>
            <w:vAlign w:val="center"/>
          </w:tcPr>
          <w:p>
            <w:pPr>
              <w:pStyle w:val="13"/>
              <w:rPr>
                <w:highlight w:val="yellow"/>
              </w:rPr>
            </w:pPr>
            <w:r>
              <w:rPr>
                <w:color w:val="000000" w:themeColor="text1"/>
                <w:highlight w:val="none"/>
                <w14:textFill>
                  <w14:solidFill>
                    <w14:schemeClr w14:val="tx1"/>
                  </w14:solidFill>
                </w14:textFill>
              </w:rPr>
              <w:t>≥4000</w:t>
            </w:r>
          </w:p>
        </w:tc>
        <w:tc>
          <w:tcPr>
            <w:tcW w:w="1843" w:type="dxa"/>
            <w:vAlign w:val="center"/>
          </w:tcPr>
          <w:p>
            <w:pPr>
              <w:pStyle w:val="13"/>
            </w:pPr>
            <w:r>
              <w:t>完成县内安排培训人数制定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培训合格率</w:t>
            </w:r>
          </w:p>
        </w:tc>
        <w:tc>
          <w:tcPr>
            <w:tcW w:w="2891" w:type="dxa"/>
            <w:vAlign w:val="center"/>
          </w:tcPr>
          <w:p>
            <w:pPr>
              <w:pStyle w:val="13"/>
            </w:pPr>
            <w:r>
              <w:t>培训完成率</w:t>
            </w:r>
            <w:r>
              <w:rPr>
                <w:rFonts w:hint="eastAsia"/>
                <w:lang w:val="en-US" w:eastAsia="zh-CN"/>
              </w:rPr>
              <w:t>95%以上</w:t>
            </w:r>
          </w:p>
        </w:tc>
        <w:tc>
          <w:tcPr>
            <w:tcW w:w="1276" w:type="dxa"/>
            <w:vAlign w:val="center"/>
          </w:tcPr>
          <w:p>
            <w:pPr>
              <w:pStyle w:val="13"/>
              <w:rPr>
                <w:highlight w:val="yellow"/>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95%</w:t>
            </w:r>
          </w:p>
        </w:tc>
        <w:tc>
          <w:tcPr>
            <w:tcW w:w="1843" w:type="dxa"/>
            <w:vAlign w:val="center"/>
          </w:tcPr>
          <w:p>
            <w:pPr>
              <w:pStyle w:val="13"/>
            </w:pPr>
            <w:r>
              <w:t>根据上年度培训情况制定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培训按计划及时开展</w:t>
            </w:r>
            <w:r>
              <w:rPr>
                <w:rFonts w:hint="eastAsia"/>
                <w:lang w:val="en-US" w:eastAsia="zh-CN"/>
              </w:rPr>
              <w:t>完成95%以上</w:t>
            </w:r>
          </w:p>
        </w:tc>
        <w:tc>
          <w:tcPr>
            <w:tcW w:w="1276" w:type="dxa"/>
            <w:vAlign w:val="center"/>
          </w:tcPr>
          <w:p>
            <w:pPr>
              <w:pStyle w:val="13"/>
              <w:rPr>
                <w:highlight w:val="yellow"/>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95%</w:t>
            </w:r>
          </w:p>
        </w:tc>
        <w:tc>
          <w:tcPr>
            <w:tcW w:w="1843" w:type="dxa"/>
            <w:vAlign w:val="center"/>
          </w:tcPr>
          <w:p>
            <w:pPr>
              <w:pStyle w:val="13"/>
            </w:pPr>
            <w:r>
              <w:t>根据上年度培训及时性制定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培训经费控制数</w:t>
            </w:r>
          </w:p>
        </w:tc>
        <w:tc>
          <w:tcPr>
            <w:tcW w:w="2891" w:type="dxa"/>
            <w:vAlign w:val="center"/>
          </w:tcPr>
          <w:p>
            <w:pPr>
              <w:pStyle w:val="13"/>
            </w:pPr>
            <w:r>
              <w:t>培训经费控制数</w:t>
            </w:r>
          </w:p>
        </w:tc>
        <w:tc>
          <w:tcPr>
            <w:tcW w:w="1276" w:type="dxa"/>
            <w:vAlign w:val="center"/>
          </w:tcPr>
          <w:p>
            <w:pPr>
              <w:pStyle w:val="13"/>
              <w:rPr>
                <w:highlight w:val="yellow"/>
              </w:rPr>
            </w:pPr>
            <w:r>
              <w:rPr>
                <w:color w:val="000000" w:themeColor="text1"/>
                <w:highlight w:val="none"/>
                <w14:textFill>
                  <w14:solidFill>
                    <w14:schemeClr w14:val="tx1"/>
                  </w14:solidFill>
                </w14:textFill>
              </w:rPr>
              <w:t>≤100</w:t>
            </w:r>
            <w:r>
              <w:rPr>
                <w:rFonts w:hint="eastAsia"/>
                <w:color w:val="000000" w:themeColor="text1"/>
                <w:highlight w:val="none"/>
                <w:lang w:val="en-US" w:eastAsia="zh-CN"/>
                <w14:textFill>
                  <w14:solidFill>
                    <w14:schemeClr w14:val="tx1"/>
                  </w14:solidFill>
                </w14:textFill>
              </w:rPr>
              <w:t>%</w:t>
            </w:r>
          </w:p>
        </w:tc>
        <w:tc>
          <w:tcPr>
            <w:tcW w:w="1843" w:type="dxa"/>
            <w:vAlign w:val="center"/>
          </w:tcPr>
          <w:p>
            <w:pPr>
              <w:pStyle w:val="13"/>
            </w:pPr>
            <w:r>
              <w:t>根据上年度培训经费制定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rPr>
                <w:highlight w:val="yellow"/>
              </w:rPr>
            </w:pPr>
            <w:r>
              <w:rPr>
                <w:color w:val="000000" w:themeColor="text1"/>
                <w:highlight w:val="none"/>
                <w14:textFill>
                  <w14:solidFill>
                    <w14:schemeClr w14:val="tx1"/>
                  </w14:solidFill>
                </w14:textFill>
              </w:rPr>
              <w:t>≤100</w:t>
            </w:r>
            <w:r>
              <w:rPr>
                <w:rFonts w:hint="eastAsia"/>
                <w:color w:val="000000" w:themeColor="text1"/>
                <w:highlight w:val="none"/>
                <w:lang w:val="en-US" w:eastAsia="zh-CN"/>
                <w14:textFill>
                  <w14:solidFill>
                    <w14:schemeClr w14:val="tx1"/>
                  </w14:solidFill>
                </w14:textFill>
              </w:rPr>
              <w:t>%</w:t>
            </w:r>
          </w:p>
        </w:tc>
        <w:tc>
          <w:tcPr>
            <w:tcW w:w="1843" w:type="dxa"/>
            <w:vAlign w:val="center"/>
          </w:tcPr>
          <w:p>
            <w:pPr>
              <w:pStyle w:val="13"/>
            </w:pPr>
            <w:r>
              <w:t>根据上年度工程完成情况制定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培训效果影响程度</w:t>
            </w:r>
          </w:p>
        </w:tc>
        <w:tc>
          <w:tcPr>
            <w:tcW w:w="2891" w:type="dxa"/>
            <w:vAlign w:val="center"/>
          </w:tcPr>
          <w:p>
            <w:pPr>
              <w:pStyle w:val="13"/>
            </w:pPr>
            <w:r>
              <w:t>培训效果影响程度</w:t>
            </w:r>
            <w:r>
              <w:rPr>
                <w:rFonts w:hint="eastAsia"/>
                <w:lang w:val="en-US" w:eastAsia="zh-CN"/>
              </w:rPr>
              <w:t>95%以上</w:t>
            </w:r>
          </w:p>
        </w:tc>
        <w:tc>
          <w:tcPr>
            <w:tcW w:w="1276" w:type="dxa"/>
            <w:vAlign w:val="center"/>
          </w:tcPr>
          <w:p>
            <w:pPr>
              <w:pStyle w:val="13"/>
              <w:rPr>
                <w:highlight w:val="yellow"/>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95%</w:t>
            </w:r>
          </w:p>
        </w:tc>
        <w:tc>
          <w:tcPr>
            <w:tcW w:w="1843" w:type="dxa"/>
            <w:vAlign w:val="center"/>
          </w:tcPr>
          <w:p>
            <w:pPr>
              <w:pStyle w:val="13"/>
            </w:pPr>
            <w:r>
              <w:t>根据上年度培训效果制定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生态环境质量改善</w:t>
            </w:r>
          </w:p>
        </w:tc>
        <w:tc>
          <w:tcPr>
            <w:tcW w:w="2891" w:type="dxa"/>
            <w:vAlign w:val="center"/>
          </w:tcPr>
          <w:p>
            <w:pPr>
              <w:pStyle w:val="13"/>
            </w:pPr>
            <w:r>
              <w:t>生态效益提升值</w:t>
            </w:r>
          </w:p>
        </w:tc>
        <w:tc>
          <w:tcPr>
            <w:tcW w:w="1276" w:type="dxa"/>
            <w:vAlign w:val="center"/>
          </w:tcPr>
          <w:p>
            <w:pPr>
              <w:pStyle w:val="13"/>
              <w:rPr>
                <w:highlight w:val="yellow"/>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95%</w:t>
            </w:r>
          </w:p>
        </w:tc>
        <w:tc>
          <w:tcPr>
            <w:tcW w:w="1843" w:type="dxa"/>
            <w:vAlign w:val="center"/>
          </w:tcPr>
          <w:p>
            <w:pPr>
              <w:pStyle w:val="13"/>
            </w:pPr>
            <w:r>
              <w:t>根据本年度环保要求制定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通过组织培训学习活动，广大党员</w:t>
            </w:r>
          </w:p>
        </w:tc>
        <w:tc>
          <w:tcPr>
            <w:tcW w:w="2891" w:type="dxa"/>
            <w:vAlign w:val="center"/>
          </w:tcPr>
          <w:p>
            <w:pPr>
              <w:pStyle w:val="13"/>
            </w:pPr>
            <w:r>
              <w:t>通过组织培训学习活动，广大党员积极参政议政、建言献策的比例</w:t>
            </w:r>
          </w:p>
        </w:tc>
        <w:tc>
          <w:tcPr>
            <w:tcW w:w="1276" w:type="dxa"/>
            <w:vAlign w:val="center"/>
          </w:tcPr>
          <w:p>
            <w:pPr>
              <w:pStyle w:val="13"/>
              <w:rPr>
                <w:highlight w:val="yellow"/>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95%</w:t>
            </w:r>
          </w:p>
        </w:tc>
        <w:tc>
          <w:tcPr>
            <w:tcW w:w="1843" w:type="dxa"/>
            <w:vAlign w:val="center"/>
          </w:tcPr>
          <w:p>
            <w:pPr>
              <w:pStyle w:val="13"/>
            </w:pPr>
            <w:r>
              <w:t>根据上年度培训学习效果制定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培训人员满意度</w:t>
            </w:r>
          </w:p>
        </w:tc>
        <w:tc>
          <w:tcPr>
            <w:tcW w:w="2891" w:type="dxa"/>
            <w:vAlign w:val="center"/>
          </w:tcPr>
          <w:p>
            <w:pPr>
              <w:pStyle w:val="13"/>
            </w:pPr>
            <w:r>
              <w:t>培训人员满意度</w:t>
            </w:r>
            <w:r>
              <w:rPr>
                <w:rFonts w:hint="eastAsia"/>
                <w:lang w:val="en-US" w:eastAsia="zh-CN"/>
              </w:rPr>
              <w:t>95%以上</w:t>
            </w:r>
          </w:p>
        </w:tc>
        <w:tc>
          <w:tcPr>
            <w:tcW w:w="1276" w:type="dxa"/>
            <w:vAlign w:val="center"/>
          </w:tcPr>
          <w:p>
            <w:pPr>
              <w:pStyle w:val="13"/>
              <w:rPr>
                <w:highlight w:val="yellow"/>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95%</w:t>
            </w:r>
          </w:p>
        </w:tc>
        <w:tc>
          <w:tcPr>
            <w:tcW w:w="1843" w:type="dxa"/>
            <w:vAlign w:val="center"/>
          </w:tcPr>
          <w:p>
            <w:pPr>
              <w:pStyle w:val="13"/>
            </w:pPr>
            <w:r>
              <w:t>根据上年度满意度情况制定</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ZGMxMzljZmE3ZTU4ZTBkZjI0ZjU0YTVhNzA2M2QifQ=="/>
  </w:docVars>
  <w:rsids>
    <w:rsidRoot w:val="00124BDD"/>
    <w:rsid w:val="00124BDD"/>
    <w:rsid w:val="004C08AE"/>
    <w:rsid w:val="00566829"/>
    <w:rsid w:val="00755990"/>
    <w:rsid w:val="007B0C73"/>
    <w:rsid w:val="00A86474"/>
    <w:rsid w:val="00BC03A3"/>
    <w:rsid w:val="00FE77ED"/>
    <w:rsid w:val="5F911E44"/>
    <w:rsid w:val="6678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autoRedefine/>
    <w:qFormat/>
    <w:uiPriority w:val="0"/>
    <w:pPr>
      <w:spacing w:before="120"/>
    </w:pPr>
    <w:rPr>
      <w:rFonts w:eastAsia="方正仿宋_GBK"/>
      <w:color w:val="000000"/>
      <w:sz w:val="28"/>
    </w:rPr>
  </w:style>
  <w:style w:type="paragraph" w:styleId="3">
    <w:name w:val="toc 4"/>
    <w:basedOn w:val="1"/>
    <w:autoRedefine/>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2024-02-02T10:33:45Z</dcterms:created>
  <dcterms:modified xsi:type="dcterms:W3CDTF">2024-02-02T02:33:45Z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2024-02-02T10:33:45Z</dcterms:created>
  <dcterms:modified xsi:type="dcterms:W3CDTF">2024-02-02T02:33:45Z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2024-02-02T10:33:45Z</dcterms:created>
  <dcterms:modified xsi:type="dcterms:W3CDTF">2024-02-02T02:33:45Z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2024-02-02T10:33:45Z</dcterms:created>
  <dcterms:modified xsi:type="dcterms:W3CDTF">2024-02-02T02:33:45Z</dcterms:modified>
</cp:coreProperties>
</file>

<file path=customXml/itemProps1.xml><?xml version="1.0" encoding="utf-8"?>
<ds:datastoreItem xmlns:ds="http://schemas.openxmlformats.org/officeDocument/2006/customXml" ds:itemID="{7269B8BA-8F4F-41D7-9AEF-FF89938CACC0}">
  <ds:schemaRefs/>
</ds:datastoreItem>
</file>

<file path=customXml/itemProps2.xml><?xml version="1.0" encoding="utf-8"?>
<ds:datastoreItem xmlns:ds="http://schemas.openxmlformats.org/officeDocument/2006/customXml" ds:itemID="{31064673-DD08-468F-B8F8-B1C6F5434C18}">
  <ds:schemaRefs/>
</ds:datastoreItem>
</file>

<file path=customXml/itemProps3.xml><?xml version="1.0" encoding="utf-8"?>
<ds:datastoreItem xmlns:ds="http://schemas.openxmlformats.org/officeDocument/2006/customXml" ds:itemID="{D5D69A19-5EEF-4BE7-80A1-56421ED69915}">
  <ds:schemaRefs/>
</ds:datastoreItem>
</file>

<file path=customXml/itemProps4.xml><?xml version="1.0" encoding="utf-8"?>
<ds:datastoreItem xmlns:ds="http://schemas.openxmlformats.org/officeDocument/2006/customXml" ds:itemID="{4E5346B9-45DA-40C5-8626-5F6DFC6B2BA4}">
  <ds:schemaRefs/>
</ds:datastoreItem>
</file>

<file path=customXml/itemProps5.xml><?xml version="1.0" encoding="utf-8"?>
<ds:datastoreItem xmlns:ds="http://schemas.openxmlformats.org/officeDocument/2006/customXml" ds:itemID="{0032E467-1363-413E-9DBB-142634945941}">
  <ds:schemaRefs/>
</ds:datastoreItem>
</file>

<file path=customXml/itemProps6.xml><?xml version="1.0" encoding="utf-8"?>
<ds:datastoreItem xmlns:ds="http://schemas.openxmlformats.org/officeDocument/2006/customXml" ds:itemID="{3D193A61-10D6-4AB0-B8D0-2E57BE19CE8E}">
  <ds:schemaRefs/>
</ds:datastoreItem>
</file>

<file path=customXml/itemProps7.xml><?xml version="1.0" encoding="utf-8"?>
<ds:datastoreItem xmlns:ds="http://schemas.openxmlformats.org/officeDocument/2006/customXml" ds:itemID="{6D4FB4FF-93E8-4B8C-8C2A-3CCA0B96F63E}">
  <ds:schemaRefs/>
</ds:datastoreItem>
</file>

<file path=customXml/itemProps8.xml><?xml version="1.0" encoding="utf-8"?>
<ds:datastoreItem xmlns:ds="http://schemas.openxmlformats.org/officeDocument/2006/customXml" ds:itemID="{A6802469-94AB-44F9-BA97-F3100890A927}">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508</Words>
  <Characters>2898</Characters>
  <Lines>24</Lines>
  <Paragraphs>6</Paragraphs>
  <TotalTime>9</TotalTime>
  <ScaleCrop>false</ScaleCrop>
  <LinksUpToDate>false</LinksUpToDate>
  <CharactersWithSpaces>3400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2024-02-02T02:32:00Z</dcterms:created>
  <dc:creator>Administrator</dc:creator>
  <cp:lastModifiedBy>foolish</cp:lastModifiedBy>
  <dcterms:modified xsi:type="dcterms:W3CDTF">2024-03-29T07:39:56Z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1E0515BAEE484CAD9DAEB001B41BC19A_12</vt:lpwstr>
  </property>
</Properties>
</file>