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乐亭县人民政府办公室</w:t>
      </w:r>
    </w:p>
    <w:p>
      <w:pPr>
        <w:jc w:val="center"/>
      </w:pPr>
      <w:bookmarkStart w:id="14" w:name="_GoBack"/>
      <w:r>
        <w:rPr>
          <w:rFonts w:ascii="方正小标宋_GBK" w:hAnsi="方正小标宋_GBK" w:eastAsia="方正小标宋_GBK" w:cs="方正小标宋_GBK"/>
          <w:color w:val="000000"/>
          <w:sz w:val="72"/>
        </w:rPr>
        <w:t>2024年部门预算绩效文本</w:t>
      </w:r>
      <w:bookmarkEnd w:id="14"/>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乐亭县人民政府办公室编制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7</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1.“乐亭三中”空气质量站点点位调整项目资金绩效目标表</w:t>
      </w:r>
      <w:r>
        <w:tab/>
      </w:r>
      <w:r>
        <w:fldChar w:fldCharType="begin"/>
      </w:r>
      <w:r>
        <w:instrText xml:space="preserve">PAGEREF _Toc_4_4_0000000004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2.大气污染防治技术服务经费绩效目标表</w:t>
      </w:r>
      <w:r>
        <w:tab/>
      </w:r>
      <w:r>
        <w:fldChar w:fldCharType="begin"/>
      </w:r>
      <w:r>
        <w:instrText xml:space="preserve">PAGEREF _Toc_4_4_0000000005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3.电子政务中心城乡一体化经费绩效目标表</w:t>
      </w:r>
      <w:r>
        <w:tab/>
      </w:r>
      <w:r>
        <w:fldChar w:fldCharType="begin"/>
      </w:r>
      <w:r>
        <w:instrText xml:space="preserve">PAGEREF _Toc_4_4_0000000006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4.法律顾问专项经费绩效目标表</w:t>
      </w:r>
      <w:r>
        <w:tab/>
      </w:r>
      <w:r>
        <w:fldChar w:fldCharType="begin"/>
      </w:r>
      <w:r>
        <w:instrText xml:space="preserve">PAGEREF _Toc_4_4_0000000007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5.购置六参数无人机资金绩效目标表</w:t>
      </w:r>
      <w:r>
        <w:tab/>
      </w:r>
      <w:r>
        <w:fldChar w:fldCharType="begin"/>
      </w:r>
      <w:r>
        <w:instrText xml:space="preserve">PAGEREF _Toc_4_4_0000000008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6.企业挂牌上市奖励资金绩效目标表</w:t>
      </w:r>
      <w:r>
        <w:tab/>
      </w:r>
      <w:r>
        <w:fldChar w:fldCharType="begin"/>
      </w:r>
      <w:r>
        <w:instrText xml:space="preserve">PAGEREF _Toc_4_4_0000000009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7.生态环保巡查指挥调度中心工作经费绩效目标表</w:t>
      </w:r>
      <w:r>
        <w:tab/>
      </w:r>
      <w:r>
        <w:fldChar w:fldCharType="begin"/>
      </w:r>
      <w:r>
        <w:instrText xml:space="preserve">PAGEREF _Toc_4_4_0000000010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8.县志编制费及乐亭年鉴编撰出版经费绩效目标表</w:t>
      </w:r>
      <w:r>
        <w:tab/>
      </w:r>
      <w:r>
        <w:fldChar w:fldCharType="begin"/>
      </w:r>
      <w:r>
        <w:instrText xml:space="preserve">PAGEREF _Toc_4_4_0000000011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9.乡镇空气站运维费用绩效目标表</w:t>
      </w:r>
      <w:r>
        <w:tab/>
      </w:r>
      <w:r>
        <w:fldChar w:fldCharType="begin"/>
      </w:r>
      <w:r>
        <w:instrText xml:space="preserve">PAGEREF _Toc_4_4_0000000012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10.重点河流跨界断面水质达标治理经费绩效目标表</w:t>
      </w:r>
      <w:r>
        <w:tab/>
      </w:r>
      <w:r>
        <w:fldChar w:fldCharType="begin"/>
      </w:r>
      <w:r>
        <w:instrText xml:space="preserve">PAGEREF _Toc_4_4_0000000013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11.综合调研和参谋运转经费绩效目标表</w:t>
      </w:r>
      <w:r>
        <w:tab/>
      </w:r>
      <w:r>
        <w:fldChar w:fldCharType="begin"/>
      </w:r>
      <w:r>
        <w:instrText xml:space="preserve">PAGEREF _Toc_4_4_0000000014 \h</w:instrText>
      </w:r>
      <w:r>
        <w:fldChar w:fldCharType="separate"/>
      </w:r>
      <w:r>
        <w:t>20</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rPr>
      </w:pPr>
      <w:bookmarkStart w:id="0" w:name="_Toc_2_2_0000000001"/>
      <w:r>
        <w:rPr>
          <w:rFonts w:ascii="黑体" w:hAnsi="黑体" w:eastAsia="黑体" w:cs="方正黑体_GBK"/>
          <w:color w:val="000000"/>
          <w:sz w:val="32"/>
        </w:rPr>
        <w:t>一、总体绩效目标</w:t>
      </w:r>
      <w:bookmarkEnd w:id="0"/>
    </w:p>
    <w:p>
      <w:pPr>
        <w:pStyle w:val="8"/>
        <w:spacing w:line="560" w:lineRule="exact"/>
        <w:ind w:firstLine="640" w:firstLineChars="200"/>
        <w:jc w:val="both"/>
        <w:rPr>
          <w:rFonts w:hint="eastAsia" w:eastAsia="仿宋"/>
          <w:sz w:val="32"/>
          <w:lang w:eastAsia="zh-CN"/>
        </w:rPr>
      </w:pPr>
      <w:r>
        <w:rPr>
          <w:rFonts w:eastAsia="仿宋"/>
          <w:sz w:val="32"/>
        </w:rPr>
        <w:t>根据县委县政府决策部署，202</w:t>
      </w:r>
      <w:r>
        <w:rPr>
          <w:rFonts w:hint="eastAsia" w:eastAsia="仿宋"/>
          <w:sz w:val="32"/>
          <w:lang w:eastAsia="zh-CN"/>
        </w:rPr>
        <w:t>4</w:t>
      </w:r>
      <w:r>
        <w:rPr>
          <w:rFonts w:eastAsia="仿宋"/>
          <w:sz w:val="32"/>
        </w:rPr>
        <w:t>年协助县政府领导努力实现以下经济社会发展主要目标：坚持把握优势机遇，着力在协同开放上展现新作为，进一步放大沿海临港优势，持续扩大对接京津成果，坚持做大国际合作新样板；坚持重大项目产业支撑，着力在招商引资、项目建设上展现新作为，全力以赴打造重大产业支撑，以大手笔、大气魄、大作为，持续优化招商格局，提升招商质量；坚持转型升级，着力在加快新旧动能转换上展现新作为，以久久为功的韧劲，大力培育新技术、新产业、新业态、新模式，打造转型新动能，改造提升旧动能，让传统产业在新常态下迸发新活力，带动实体经济发展壮大，深度推进大众创业、万众创新，培育壮大各类市场主体；坚持提质增效，着力在深化农业供给侧改革上展现新作为，加强创新引领，提升科技支撑能力和成果转化能力，做大做强特色优势产业，提升标准化、品牌化、市场化水平，加快清洁农业建设步伐，提升可持续发展水平，发展壮大精深加工型农业龙头企业，提升农产品附加值，积极发展适度规模经营，提升现代农业示范区建设标准；坚持统筹互动，着力在推进城乡一体化发展上展现新作为，大力实施攻坚行动，让县城更具魅力，着力培育典型亮点，让小城镇彰显特色，突出抓好内涵建设，让美丽乡村宜居宜业宜游；坚持开源节流，着力在做实财税金融工作上展现新作为。推进财政增收，加快金融创新，抓好企业上市；坚持绿色发展，着力在优化生态环境上展现新作为，强力实施大气污染治理，大力开展水污染治理，有力推进土壤污染治理；坚持以人为本，着力在增进民生福祉上展现新作为，让社会事业更加繁荣，让保障体系更加完善，让社会环境更加和谐。</w:t>
      </w:r>
    </w:p>
    <w:p>
      <w:pPr>
        <w:spacing w:before="10" w:after="10" w:line="560" w:lineRule="exact"/>
        <w:ind w:firstLine="640" w:firstLineChars="200"/>
        <w:jc w:val="both"/>
        <w:outlineLvl w:val="1"/>
        <w:rPr>
          <w:rFonts w:hint="eastAsia" w:ascii="黑体" w:hAnsi="黑体" w:eastAsia="黑体"/>
          <w:sz w:val="32"/>
          <w:lang w:eastAsia="zh-CN"/>
        </w:rPr>
      </w:pPr>
      <w:bookmarkStart w:id="1" w:name="_Toc_2_2_0000000002"/>
      <w:r>
        <w:rPr>
          <w:rFonts w:ascii="黑体" w:hAnsi="黑体" w:eastAsia="黑体" w:cs="方正黑体_GBK"/>
          <w:color w:val="000000"/>
          <w:sz w:val="32"/>
        </w:rPr>
        <w:t>二、分项绩效目标</w:t>
      </w:r>
      <w:bookmarkEnd w:id="1"/>
    </w:p>
    <w:p>
      <w:pPr>
        <w:pStyle w:val="9"/>
        <w:spacing w:line="560" w:lineRule="exact"/>
        <w:ind w:firstLine="640" w:firstLineChars="200"/>
        <w:jc w:val="both"/>
        <w:rPr>
          <w:rFonts w:eastAsia="仿宋"/>
          <w:sz w:val="32"/>
        </w:rPr>
      </w:pPr>
      <w:r>
        <w:rPr>
          <w:rFonts w:hint="eastAsia" w:eastAsia="仿宋"/>
          <w:sz w:val="32"/>
          <w:lang w:eastAsia="zh-CN"/>
        </w:rPr>
        <w:t>1</w:t>
      </w:r>
      <w:r>
        <w:rPr>
          <w:rFonts w:eastAsia="仿宋"/>
          <w:sz w:val="32"/>
        </w:rPr>
        <w:t>、为县电子政务中心提供水、电、暖等服务；保障县主要领导办公室视频会议设备运转正常、党政信息网联接畅通；全力推进全县电子政务建设，做好全县政府系统电子政务工作和全县电子政务网络的日常管理和维护；做好城乡一体化信息网络平台建设及软件开发、应用、推广；做好居民公共服务热线和城乡一体化信息收集、整理、交办、督办、考核以及数据库建设与管理。</w:t>
      </w:r>
    </w:p>
    <w:p>
      <w:pPr>
        <w:pStyle w:val="9"/>
        <w:spacing w:line="560" w:lineRule="exact"/>
        <w:ind w:firstLine="640" w:firstLineChars="200"/>
        <w:jc w:val="both"/>
        <w:rPr>
          <w:rFonts w:eastAsia="仿宋"/>
          <w:sz w:val="32"/>
        </w:rPr>
      </w:pPr>
      <w:r>
        <w:rPr>
          <w:rFonts w:hint="eastAsia" w:eastAsia="仿宋"/>
          <w:sz w:val="32"/>
          <w:lang w:eastAsia="zh-CN"/>
        </w:rPr>
        <w:t>2</w:t>
      </w:r>
      <w:r>
        <w:rPr>
          <w:rFonts w:eastAsia="仿宋"/>
          <w:sz w:val="32"/>
        </w:rPr>
        <w:t>、通过聘请法律顾问，降低政府决策法律风险，提升政府依法行政水平，推动法治政府建设。</w:t>
      </w:r>
    </w:p>
    <w:p>
      <w:pPr>
        <w:pStyle w:val="9"/>
        <w:spacing w:line="560" w:lineRule="exact"/>
        <w:ind w:firstLine="640" w:firstLineChars="200"/>
        <w:jc w:val="both"/>
        <w:rPr>
          <w:rFonts w:eastAsia="仿宋"/>
          <w:sz w:val="32"/>
        </w:rPr>
      </w:pPr>
      <w:r>
        <w:rPr>
          <w:rFonts w:hint="eastAsia" w:eastAsia="仿宋"/>
          <w:sz w:val="32"/>
          <w:lang w:eastAsia="zh-CN"/>
        </w:rPr>
        <w:t>3</w:t>
      </w:r>
      <w:r>
        <w:rPr>
          <w:rFonts w:eastAsia="仿宋"/>
          <w:sz w:val="32"/>
        </w:rPr>
        <w:t>、拟定地方综合年鉴规划和编纂方案；组织编纂地方综合年鉴；推动地方综合年鉴理论研究，开发综合年鉴资源；开展地情资料编研工作；编辑出版《乐亭年鉴》；拟定地方志工作规划和编纂方案，搜集地方志资料，开展地情资料编纂工作。</w:t>
      </w:r>
    </w:p>
    <w:p>
      <w:pPr>
        <w:pStyle w:val="9"/>
        <w:spacing w:line="560" w:lineRule="exact"/>
        <w:ind w:firstLine="640" w:firstLineChars="200"/>
        <w:jc w:val="both"/>
        <w:rPr>
          <w:rFonts w:eastAsia="仿宋"/>
          <w:sz w:val="32"/>
        </w:rPr>
      </w:pPr>
      <w:r>
        <w:rPr>
          <w:rFonts w:hint="eastAsia" w:eastAsia="仿宋"/>
          <w:sz w:val="32"/>
          <w:lang w:eastAsia="zh-CN"/>
        </w:rPr>
        <w:t>4</w:t>
      </w:r>
      <w:r>
        <w:rPr>
          <w:rFonts w:eastAsia="仿宋"/>
          <w:sz w:val="32"/>
        </w:rPr>
        <w:t>、指导项目单位到发改、工商、环保等部门进行备案、注册、环评等相关手续；在项目建设期，为企业施工提供水电讯等必要的支持；加强组织企业管理人员学习先进管理、技术等知识，提高企业决策层经营管理理念，促进企业发展；定期开展企业经济数据统计，上报相关县直部门，做好各种档案管理，通过支援重点项目建设，使全县经济建设水平稳步提高。</w:t>
      </w:r>
    </w:p>
    <w:p>
      <w:pPr>
        <w:pStyle w:val="9"/>
        <w:spacing w:line="560" w:lineRule="exact"/>
        <w:ind w:firstLine="640" w:firstLineChars="200"/>
        <w:jc w:val="both"/>
        <w:rPr>
          <w:rFonts w:eastAsia="仿宋"/>
          <w:sz w:val="32"/>
        </w:rPr>
      </w:pPr>
      <w:r>
        <w:rPr>
          <w:rFonts w:hint="eastAsia" w:eastAsia="仿宋"/>
          <w:sz w:val="32"/>
          <w:lang w:eastAsia="zh-CN"/>
        </w:rPr>
        <w:t>5</w:t>
      </w:r>
      <w:r>
        <w:rPr>
          <w:rFonts w:eastAsia="仿宋"/>
          <w:sz w:val="32"/>
        </w:rPr>
        <w:t>、督导财税收入，加强收支管理，强化国有资产和资金的监管，全力做好债务风险防控工作；改善企业融资环境，继续做好多种形式的银企对接活动，持续推进金融产品和服务创新，大力发展普惠金融；认真贯彻省、市金融扶贫工作精神，建立健全金融扶贫保障机制，完善金融扶贫服务；防范处置非法集资，做好已发案件协调工作，组织非法集资日常宣传和风险排查工作，减少社会不稳定因素和信访问题；做好金融系统扫黑除恶工作，排查小贷公司，对高利贷、套路贷、校园贷等情况进行摸排。</w:t>
      </w:r>
    </w:p>
    <w:p>
      <w:pPr>
        <w:pStyle w:val="9"/>
        <w:spacing w:line="560" w:lineRule="exact"/>
        <w:ind w:firstLine="640" w:firstLineChars="200"/>
        <w:jc w:val="both"/>
        <w:rPr>
          <w:rFonts w:eastAsia="仿宋"/>
          <w:sz w:val="32"/>
        </w:rPr>
      </w:pPr>
      <w:r>
        <w:rPr>
          <w:rFonts w:hint="eastAsia" w:eastAsia="仿宋"/>
          <w:sz w:val="32"/>
          <w:lang w:eastAsia="zh-CN"/>
        </w:rPr>
        <w:t>6</w:t>
      </w:r>
      <w:r>
        <w:rPr>
          <w:rFonts w:eastAsia="仿宋"/>
          <w:sz w:val="32"/>
        </w:rPr>
        <w:t>、结合相关部门从重点后备企业筛选、联系专家、入企指导、跟踪服务等方面大力推进上市工作，对重点上市后备企业进行实地走访对接；举行多种形式的企业上市培训会和入企对接活动；分类施策、有针对有目标地实施集中攻坚。</w:t>
      </w:r>
    </w:p>
    <w:p>
      <w:pPr>
        <w:pStyle w:val="9"/>
        <w:spacing w:line="560" w:lineRule="exact"/>
        <w:ind w:firstLine="640" w:firstLineChars="200"/>
        <w:jc w:val="both"/>
        <w:rPr>
          <w:rFonts w:eastAsia="仿宋"/>
          <w:sz w:val="32"/>
        </w:rPr>
      </w:pPr>
      <w:r>
        <w:rPr>
          <w:rFonts w:hint="eastAsia" w:eastAsia="仿宋"/>
          <w:sz w:val="32"/>
          <w:lang w:eastAsia="zh-CN"/>
        </w:rPr>
        <w:t>7</w:t>
      </w:r>
      <w:r>
        <w:rPr>
          <w:rFonts w:eastAsia="仿宋"/>
          <w:sz w:val="32"/>
        </w:rPr>
        <w:t>、掌握、反映农业、农村和农民工作动态信息，研究总结有关问题，推广典型经验；指导协调农业各项生产计划和高质、高产、高效农业基础设施建设，组织搞好乡村振兴基础设施建设工作；组织农民专业技术培训，组织参加各类农业展览会、银企对接会，做好农保贷等农业保险、贷款等惠农工作；研究制定中长期农业发展战略、发展思路及其对策措施，指导农口部门加强对农村重要工作的协调与服务。</w:t>
      </w:r>
    </w:p>
    <w:p>
      <w:pPr>
        <w:pStyle w:val="9"/>
        <w:spacing w:line="560" w:lineRule="exact"/>
        <w:ind w:firstLine="640" w:firstLineChars="200"/>
        <w:jc w:val="both"/>
        <w:rPr>
          <w:rFonts w:eastAsia="仿宋"/>
          <w:sz w:val="32"/>
        </w:rPr>
      </w:pPr>
      <w:r>
        <w:rPr>
          <w:rFonts w:hint="eastAsia" w:eastAsia="仿宋"/>
          <w:sz w:val="32"/>
          <w:lang w:eastAsia="zh-CN"/>
        </w:rPr>
        <w:t>8</w:t>
      </w:r>
      <w:r>
        <w:rPr>
          <w:rFonts w:eastAsia="仿宋"/>
          <w:sz w:val="32"/>
        </w:rPr>
        <w:t>、全力配合生态环境部和省、市环保督导检查工作，保障生态环保巡查指挥调度中心正常运转。</w:t>
      </w:r>
    </w:p>
    <w:p>
      <w:pPr>
        <w:pStyle w:val="9"/>
        <w:spacing w:line="560" w:lineRule="exact"/>
        <w:ind w:firstLine="640" w:firstLineChars="200"/>
        <w:jc w:val="both"/>
        <w:rPr>
          <w:rFonts w:eastAsia="仿宋"/>
          <w:sz w:val="32"/>
        </w:rPr>
      </w:pPr>
      <w:r>
        <w:rPr>
          <w:rFonts w:hint="eastAsia" w:eastAsia="仿宋"/>
          <w:sz w:val="32"/>
          <w:lang w:eastAsia="zh-CN"/>
        </w:rPr>
        <w:t>9</w:t>
      </w:r>
      <w:r>
        <w:rPr>
          <w:rFonts w:eastAsia="仿宋"/>
          <w:sz w:val="32"/>
        </w:rPr>
        <w:t>、按《乐亭县生态环保巡查指挥调度工作方案（试行）》考核问责办法排名，对月考核排名前2名的县直单位（2家）、乡镇街园（2家）各奖励1万元，严格考核奖惩到位，激发各部门环保工作的积极性和主动性。</w:t>
      </w:r>
    </w:p>
    <w:p>
      <w:pPr>
        <w:pStyle w:val="9"/>
        <w:spacing w:line="560" w:lineRule="exact"/>
        <w:ind w:firstLine="640" w:firstLineChars="200"/>
        <w:jc w:val="both"/>
        <w:rPr>
          <w:rFonts w:eastAsia="仿宋"/>
          <w:sz w:val="32"/>
        </w:rPr>
      </w:pPr>
      <w:r>
        <w:rPr>
          <w:rFonts w:hint="eastAsia" w:eastAsia="仿宋"/>
          <w:sz w:val="32"/>
          <w:lang w:eastAsia="zh-CN"/>
        </w:rPr>
        <w:t>10</w:t>
      </w:r>
      <w:r>
        <w:rPr>
          <w:rFonts w:eastAsia="仿宋"/>
          <w:sz w:val="32"/>
        </w:rPr>
        <w:t>、对2019年建成投用的指挥调度中心软件、硬件进行日常运维检修，对突发情况进行应急检修处置，确保指挥调度中心正常运行。</w:t>
      </w:r>
    </w:p>
    <w:p>
      <w:pPr>
        <w:pStyle w:val="9"/>
        <w:spacing w:line="560" w:lineRule="exact"/>
        <w:ind w:firstLine="640" w:firstLineChars="200"/>
        <w:jc w:val="both"/>
        <w:rPr>
          <w:rFonts w:eastAsia="仿宋"/>
          <w:sz w:val="32"/>
        </w:rPr>
      </w:pPr>
      <w:r>
        <w:rPr>
          <w:rFonts w:hint="eastAsia" w:eastAsia="仿宋"/>
          <w:sz w:val="32"/>
          <w:lang w:eastAsia="zh-CN"/>
        </w:rPr>
        <w:t>11</w:t>
      </w:r>
      <w:r>
        <w:rPr>
          <w:rFonts w:eastAsia="仿宋"/>
          <w:sz w:val="32"/>
        </w:rPr>
        <w:t>、对城区8个微型空气站进行定期维护，确保监测数据真实有效，实现对城区及周边污染源的精细监测和精准管控。</w:t>
      </w:r>
    </w:p>
    <w:p>
      <w:pPr>
        <w:pStyle w:val="9"/>
        <w:spacing w:line="560" w:lineRule="exact"/>
        <w:ind w:firstLine="640" w:firstLineChars="200"/>
        <w:jc w:val="both"/>
        <w:rPr>
          <w:rFonts w:eastAsia="仿宋"/>
          <w:sz w:val="32"/>
        </w:rPr>
      </w:pPr>
      <w:r>
        <w:rPr>
          <w:rFonts w:hint="eastAsia" w:eastAsia="仿宋"/>
          <w:sz w:val="32"/>
          <w:lang w:eastAsia="zh-CN"/>
        </w:rPr>
        <w:t>12</w:t>
      </w:r>
      <w:r>
        <w:rPr>
          <w:rFonts w:eastAsia="仿宋"/>
          <w:sz w:val="32"/>
        </w:rPr>
        <w:t>、对全县13个乡镇级空气站所有监测仪器、气象仪器、质控设备、数据采集与传输设备、辅助设备、防雷等基础设施的日常维护、质量控制、故障维修、年度检修、检定等工作，以及承担站房维护、电力和网络通讯费用，确保各项监测仪器正常稳定运行并与省、市生态环境部门联网正常。</w:t>
      </w:r>
    </w:p>
    <w:p>
      <w:pPr>
        <w:pStyle w:val="9"/>
        <w:spacing w:line="560" w:lineRule="exact"/>
        <w:ind w:firstLine="640" w:firstLineChars="200"/>
        <w:jc w:val="both"/>
        <w:rPr>
          <w:rFonts w:eastAsia="仿宋"/>
          <w:sz w:val="32"/>
        </w:rPr>
      </w:pPr>
      <w:r>
        <w:rPr>
          <w:rFonts w:hint="eastAsia" w:eastAsia="仿宋"/>
          <w:sz w:val="32"/>
          <w:lang w:eastAsia="zh-CN"/>
        </w:rPr>
        <w:t>13</w:t>
      </w:r>
      <w:r>
        <w:rPr>
          <w:rFonts w:eastAsia="仿宋"/>
          <w:sz w:val="32"/>
        </w:rPr>
        <w:t>、大气污染治理方面，为生态环保指挥中心提供专业服务，从目标分解、动态研控、研制分析，管控建议，现场巡查、知识培训、专家咨询、效果评估等各方面，为政府大气污染科学决策提供服务支撑。</w:t>
      </w:r>
    </w:p>
    <w:p>
      <w:pPr>
        <w:pStyle w:val="9"/>
        <w:spacing w:line="560" w:lineRule="exact"/>
        <w:ind w:firstLine="640" w:firstLineChars="200"/>
        <w:jc w:val="both"/>
        <w:rPr>
          <w:rFonts w:eastAsia="仿宋"/>
          <w:sz w:val="32"/>
        </w:rPr>
      </w:pPr>
      <w:r>
        <w:rPr>
          <w:rFonts w:hint="eastAsia" w:eastAsia="仿宋"/>
          <w:sz w:val="32"/>
          <w:lang w:eastAsia="zh-CN"/>
        </w:rPr>
        <w:t>14</w:t>
      </w:r>
      <w:r>
        <w:rPr>
          <w:rFonts w:eastAsia="仿宋"/>
          <w:sz w:val="32"/>
        </w:rPr>
        <w:t>、对大清河、老米河、新河等重点河流进行生物修复治理服务，恢复和提高河道自净能力，降解污染物，恢复生态平衡，使水质得到改善，断面水质达到唐山市目标考核要求。</w:t>
      </w:r>
    </w:p>
    <w:p>
      <w:pPr>
        <w:pStyle w:val="9"/>
        <w:spacing w:line="560" w:lineRule="exact"/>
        <w:ind w:firstLine="640" w:firstLineChars="200"/>
        <w:jc w:val="both"/>
        <w:rPr>
          <w:rFonts w:eastAsia="仿宋"/>
          <w:sz w:val="32"/>
        </w:rPr>
      </w:pPr>
      <w:r>
        <w:rPr>
          <w:rFonts w:hint="eastAsia" w:eastAsia="仿宋"/>
          <w:sz w:val="32"/>
          <w:lang w:eastAsia="zh-CN"/>
        </w:rPr>
        <w:t>15</w:t>
      </w:r>
      <w:r>
        <w:rPr>
          <w:rFonts w:eastAsia="仿宋"/>
          <w:sz w:val="32"/>
        </w:rPr>
        <w:t>、对稻子沟河流跨界断面水质进行综合治理和生态修复，恢复和提高河道自净能力，降解污染物，恢复生态平衡，使水质得到改善，断面水质达到唐山市目标考核要求。</w:t>
      </w:r>
    </w:p>
    <w:p>
      <w:pPr>
        <w:spacing w:before="10" w:after="10" w:line="560" w:lineRule="exact"/>
        <w:ind w:firstLine="640" w:firstLineChars="200"/>
        <w:jc w:val="both"/>
        <w:outlineLvl w:val="1"/>
        <w:rPr>
          <w:rFonts w:ascii="黑体" w:hAnsi="黑体" w:eastAsia="黑体"/>
          <w:sz w:val="32"/>
        </w:rPr>
      </w:pPr>
      <w:bookmarkStart w:id="2" w:name="_Toc_2_2_0000000003"/>
      <w:r>
        <w:rPr>
          <w:rFonts w:ascii="黑体" w:hAnsi="黑体" w:eastAsia="黑体" w:cs="方正黑体_GBK"/>
          <w:color w:val="000000"/>
          <w:sz w:val="32"/>
        </w:rPr>
        <w:t>三、工作保障措施</w:t>
      </w:r>
      <w:bookmarkEnd w:id="2"/>
    </w:p>
    <w:p>
      <w:pPr>
        <w:pStyle w:val="10"/>
        <w:spacing w:line="560" w:lineRule="exact"/>
        <w:ind w:firstLine="640" w:firstLineChars="200"/>
        <w:jc w:val="both"/>
        <w:rPr>
          <w:rFonts w:eastAsia="仿宋"/>
          <w:sz w:val="32"/>
        </w:rPr>
      </w:pPr>
      <w:r>
        <w:rPr>
          <w:rFonts w:hint="eastAsia" w:eastAsia="仿宋"/>
          <w:sz w:val="32"/>
          <w:lang w:eastAsia="zh-CN"/>
        </w:rPr>
        <w:t>1</w:t>
      </w:r>
      <w:r>
        <w:rPr>
          <w:rFonts w:eastAsia="仿宋"/>
          <w:sz w:val="32"/>
        </w:rPr>
        <w:t>、完善制度建设。包括制定完善预算绩效管理制度、资金管理办法、工作保障制度等，为全年预算绩效目标的实现奠定制度基础。</w:t>
      </w:r>
    </w:p>
    <w:p>
      <w:pPr>
        <w:pStyle w:val="10"/>
        <w:spacing w:line="560" w:lineRule="exact"/>
        <w:ind w:firstLine="640" w:firstLineChars="200"/>
        <w:jc w:val="both"/>
        <w:rPr>
          <w:rFonts w:eastAsia="仿宋"/>
          <w:sz w:val="32"/>
        </w:rPr>
      </w:pPr>
      <w:r>
        <w:rPr>
          <w:rFonts w:hint="eastAsia" w:eastAsia="仿宋"/>
          <w:sz w:val="32"/>
          <w:lang w:eastAsia="zh-CN"/>
        </w:rPr>
        <w:t>2</w:t>
      </w:r>
      <w:r>
        <w:rPr>
          <w:rFonts w:eastAsia="仿宋"/>
          <w:sz w:val="32"/>
        </w:rPr>
        <w:t>、加强支出管理。通过优化支出结构、编细编实预算、加快履行政府采购手续、尽快启动项目、及时支付资金等多种措施，确保支出进度达标。</w:t>
      </w:r>
    </w:p>
    <w:p>
      <w:pPr>
        <w:pStyle w:val="10"/>
        <w:spacing w:line="560" w:lineRule="exact"/>
        <w:ind w:firstLine="640" w:firstLineChars="200"/>
        <w:jc w:val="both"/>
        <w:rPr>
          <w:rFonts w:eastAsia="仿宋"/>
          <w:sz w:val="32"/>
        </w:rPr>
      </w:pPr>
      <w:r>
        <w:rPr>
          <w:rFonts w:hint="eastAsia" w:eastAsia="仿宋"/>
          <w:sz w:val="32"/>
          <w:lang w:eastAsia="zh-CN"/>
        </w:rPr>
        <w:t>3</w:t>
      </w:r>
      <w:r>
        <w:rPr>
          <w:rFonts w:eastAsia="仿宋"/>
          <w:sz w:val="32"/>
        </w:rPr>
        <w:t>、加强绩效运行监控。按要求开展绩效运行监控，发现问题及时采取措施，确保绩效目标如期保质实现。</w:t>
      </w:r>
    </w:p>
    <w:p>
      <w:pPr>
        <w:pStyle w:val="10"/>
        <w:spacing w:line="560" w:lineRule="exact"/>
        <w:ind w:firstLine="640" w:firstLineChars="200"/>
        <w:jc w:val="both"/>
        <w:rPr>
          <w:rFonts w:eastAsia="仿宋"/>
          <w:sz w:val="32"/>
        </w:rPr>
      </w:pPr>
      <w:r>
        <w:rPr>
          <w:rFonts w:hint="eastAsia" w:eastAsia="仿宋"/>
          <w:sz w:val="32"/>
          <w:lang w:eastAsia="zh-CN"/>
        </w:rPr>
        <w:t>4</w:t>
      </w:r>
      <w:r>
        <w:rPr>
          <w:rFonts w:eastAsia="仿宋"/>
          <w:sz w:val="32"/>
        </w:rPr>
        <w:t>、做好绩效自评。按要求开展上年度部门预算绩效自评和重点评价工作，对评价中发现的问题及时整改，调整优化支出结构，提高财政资金使用效益。</w:t>
      </w:r>
    </w:p>
    <w:p>
      <w:pPr>
        <w:pStyle w:val="10"/>
        <w:spacing w:line="560" w:lineRule="exact"/>
        <w:ind w:firstLine="640" w:firstLineChars="200"/>
        <w:jc w:val="both"/>
        <w:rPr>
          <w:rFonts w:eastAsia="仿宋"/>
          <w:sz w:val="32"/>
        </w:rPr>
      </w:pPr>
      <w:r>
        <w:rPr>
          <w:rFonts w:hint="eastAsia" w:eastAsia="仿宋"/>
          <w:sz w:val="32"/>
          <w:lang w:eastAsia="zh-CN"/>
        </w:rPr>
        <w:t>5</w:t>
      </w:r>
      <w:r>
        <w:rPr>
          <w:rFonts w:eastAsia="仿宋"/>
          <w:sz w:val="32"/>
        </w:rPr>
        <w:t>、规范财务资产管理。完善财务管理制度，严格审批程序，加强固定资产登记、使用和报废处置管理，做到支出合理，物尽其用。</w:t>
      </w:r>
    </w:p>
    <w:p>
      <w:pPr>
        <w:pStyle w:val="10"/>
        <w:spacing w:line="560" w:lineRule="exact"/>
        <w:ind w:firstLine="640" w:firstLineChars="200"/>
        <w:jc w:val="both"/>
        <w:rPr>
          <w:rFonts w:eastAsia="仿宋"/>
          <w:sz w:val="32"/>
        </w:rPr>
      </w:pPr>
      <w:r>
        <w:rPr>
          <w:rFonts w:hint="eastAsia" w:eastAsia="仿宋"/>
          <w:sz w:val="32"/>
          <w:lang w:eastAsia="zh-CN"/>
        </w:rPr>
        <w:t>6</w:t>
      </w:r>
      <w:r>
        <w:rPr>
          <w:rFonts w:eastAsia="仿宋"/>
          <w:sz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0"/>
        <w:spacing w:line="560" w:lineRule="exact"/>
        <w:ind w:firstLine="640" w:firstLineChars="200"/>
        <w:jc w:val="both"/>
        <w:rPr>
          <w:rFonts w:eastAsia="仿宋"/>
          <w:sz w:val="32"/>
        </w:rPr>
      </w:pPr>
      <w:r>
        <w:rPr>
          <w:rFonts w:hint="eastAsia" w:eastAsia="仿宋"/>
          <w:sz w:val="32"/>
          <w:lang w:eastAsia="zh-CN"/>
        </w:rPr>
        <w:t>7</w:t>
      </w:r>
      <w:r>
        <w:rPr>
          <w:rFonts w:eastAsia="仿宋"/>
          <w:sz w:val="32"/>
        </w:rPr>
        <w:t>、加强宣传培训调研等。加强人员培训，提高本部门职工业务素质；加强调研，提出优化财政资金配置、提高资金使用效益的意见；加大宣传力度，强化预算绩效管理意识，促进预算绩效管理水平进一步提升。</w:t>
      </w:r>
    </w:p>
    <w:p>
      <w:pPr>
        <w:spacing w:line="560" w:lineRule="exact"/>
        <w:ind w:firstLine="640" w:firstLineChars="200"/>
        <w:jc w:val="both"/>
        <w:sectPr>
          <w:pgSz w:w="11900" w:h="16840"/>
          <w:pgMar w:top="1984" w:right="1304" w:bottom="1134" w:left="1304" w:header="720" w:footer="720" w:gutter="0"/>
          <w:pgNumType w:start="1"/>
          <w:cols w:space="720" w:num="1"/>
        </w:sectPr>
      </w:pPr>
      <w:r>
        <w:rPr>
          <w:rFonts w:ascii="方正书宋_GBK" w:hAnsi="方正书宋_GBK" w:eastAsia="仿宋" w:cs="方正书宋_GBK"/>
          <w:color w:val="000000"/>
          <w:sz w:val="3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1.“乐亭三中”空气质量站点点位调整项目资金绩效目标表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13022524P0044CB10015T</w:t>
            </w:r>
          </w:p>
        </w:tc>
        <w:tc>
          <w:tcPr>
            <w:tcW w:w="1587" w:type="dxa"/>
            <w:vAlign w:val="center"/>
          </w:tcPr>
          <w:p>
            <w:pPr>
              <w:pStyle w:val="14"/>
            </w:pPr>
            <w:r>
              <w:t>项目名称</w:t>
            </w:r>
          </w:p>
        </w:tc>
        <w:tc>
          <w:tcPr>
            <w:tcW w:w="4422" w:type="dxa"/>
            <w:gridSpan w:val="3"/>
            <w:vAlign w:val="center"/>
          </w:tcPr>
          <w:p>
            <w:pPr>
              <w:pStyle w:val="13"/>
            </w:pPr>
            <w:r>
              <w:t>“乐亭三中”空气质量站点点位调整项目资金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78.00</w:t>
            </w:r>
          </w:p>
        </w:tc>
        <w:tc>
          <w:tcPr>
            <w:tcW w:w="1587" w:type="dxa"/>
            <w:vAlign w:val="center"/>
          </w:tcPr>
          <w:p>
            <w:pPr>
              <w:pStyle w:val="14"/>
            </w:pPr>
            <w:r>
              <w:t>其中：财政    资金</w:t>
            </w:r>
          </w:p>
        </w:tc>
        <w:tc>
          <w:tcPr>
            <w:tcW w:w="1304" w:type="dxa"/>
            <w:vAlign w:val="center"/>
          </w:tcPr>
          <w:p>
            <w:pPr>
              <w:pStyle w:val="13"/>
            </w:pPr>
            <w:r>
              <w:t>78.00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“乐亭三中”空气质量站点点位调整项目资金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1.为了更好的客观评价我县空气质量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建设数量</w:t>
            </w:r>
          </w:p>
        </w:tc>
        <w:tc>
          <w:tcPr>
            <w:tcW w:w="2891" w:type="dxa"/>
            <w:vAlign w:val="center"/>
          </w:tcPr>
          <w:p>
            <w:pPr>
              <w:pStyle w:val="13"/>
            </w:pPr>
            <w:r>
              <w:t>调整点位数量</w:t>
            </w:r>
          </w:p>
        </w:tc>
        <w:tc>
          <w:tcPr>
            <w:tcW w:w="1276" w:type="dxa"/>
            <w:vAlign w:val="center"/>
          </w:tcPr>
          <w:p>
            <w:pPr>
              <w:pStyle w:val="13"/>
            </w:pPr>
            <w:r>
              <w:t>1个</w:t>
            </w:r>
          </w:p>
        </w:tc>
        <w:tc>
          <w:tcPr>
            <w:tcW w:w="1843" w:type="dxa"/>
            <w:vAlign w:val="center"/>
          </w:tcPr>
          <w:p>
            <w:pPr>
              <w:pStyle w:val="13"/>
            </w:pPr>
            <w:r>
              <w:t>经县委县政府决定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质量指标</w:t>
            </w:r>
          </w:p>
        </w:tc>
        <w:tc>
          <w:tcPr>
            <w:tcW w:w="1276" w:type="dxa"/>
            <w:vAlign w:val="center"/>
          </w:tcPr>
          <w:p>
            <w:pPr>
              <w:pStyle w:val="13"/>
            </w:pPr>
            <w:r>
              <w:t>保质保量完成项目</w:t>
            </w:r>
          </w:p>
        </w:tc>
        <w:tc>
          <w:tcPr>
            <w:tcW w:w="1843" w:type="dxa"/>
            <w:vAlign w:val="center"/>
          </w:tcPr>
          <w:p>
            <w:pPr>
              <w:pStyle w:val="13"/>
            </w:pPr>
            <w:r>
              <w:t>经县委县政府决定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及时启动工作</w:t>
            </w:r>
          </w:p>
        </w:tc>
        <w:tc>
          <w:tcPr>
            <w:tcW w:w="1843" w:type="dxa"/>
            <w:vAlign w:val="center"/>
          </w:tcPr>
          <w:p>
            <w:pPr>
              <w:pStyle w:val="13"/>
            </w:pPr>
            <w:r>
              <w:t>经县委县政府决定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≤78万</w:t>
            </w:r>
          </w:p>
        </w:tc>
        <w:tc>
          <w:tcPr>
            <w:tcW w:w="1843" w:type="dxa"/>
            <w:vAlign w:val="center"/>
          </w:tcPr>
          <w:p>
            <w:pPr>
              <w:pStyle w:val="13"/>
            </w:pPr>
            <w:r>
              <w:t>经县委县政府决定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更好客观评价我县空气质量</w:t>
            </w:r>
          </w:p>
        </w:tc>
        <w:tc>
          <w:tcPr>
            <w:tcW w:w="1843" w:type="dxa"/>
            <w:vAlign w:val="center"/>
          </w:tcPr>
          <w:p>
            <w:pPr>
              <w:pStyle w:val="13"/>
            </w:pPr>
            <w:r>
              <w:t>经县委县政府决定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经县委县政府决定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2.大气污染防治技术服务经费绩效目标表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13022524P00F04E10039M</w:t>
            </w:r>
          </w:p>
        </w:tc>
        <w:tc>
          <w:tcPr>
            <w:tcW w:w="1587" w:type="dxa"/>
            <w:vAlign w:val="center"/>
          </w:tcPr>
          <w:p>
            <w:pPr>
              <w:pStyle w:val="14"/>
            </w:pPr>
            <w:r>
              <w:t>项目名称</w:t>
            </w:r>
          </w:p>
        </w:tc>
        <w:tc>
          <w:tcPr>
            <w:tcW w:w="4422" w:type="dxa"/>
            <w:gridSpan w:val="3"/>
            <w:vAlign w:val="center"/>
          </w:tcPr>
          <w:p>
            <w:pPr>
              <w:pStyle w:val="13"/>
            </w:pPr>
            <w:r>
              <w:t>大气污染防治技术服务经费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大气污染防治技术服务经费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利用区域内各种监测数据，从空气质量综合指数、优良天数、各项污染指标变化及达标情况、区域空气质量排名情况等多个维度，对本年度、月度和临时性的空气质量改善效果进行综合评价。</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大气污染防治知识培训</w:t>
            </w:r>
          </w:p>
        </w:tc>
        <w:tc>
          <w:tcPr>
            <w:tcW w:w="2891" w:type="dxa"/>
            <w:vAlign w:val="center"/>
          </w:tcPr>
          <w:p>
            <w:pPr>
              <w:pStyle w:val="13"/>
            </w:pPr>
            <w:r>
              <w:t>大气污染防治知识培训</w:t>
            </w:r>
          </w:p>
        </w:tc>
        <w:tc>
          <w:tcPr>
            <w:tcW w:w="1276" w:type="dxa"/>
            <w:vAlign w:val="center"/>
          </w:tcPr>
          <w:p>
            <w:pPr>
              <w:pStyle w:val="13"/>
            </w:pPr>
            <w:r>
              <w:t>1场次</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制作日分析报告</w:t>
            </w:r>
          </w:p>
        </w:tc>
        <w:tc>
          <w:tcPr>
            <w:tcW w:w="2891" w:type="dxa"/>
            <w:vAlign w:val="center"/>
          </w:tcPr>
          <w:p>
            <w:pPr>
              <w:pStyle w:val="13"/>
            </w:pPr>
            <w:r>
              <w:t>制作日分析报告</w:t>
            </w:r>
          </w:p>
        </w:tc>
        <w:tc>
          <w:tcPr>
            <w:tcW w:w="1276" w:type="dxa"/>
            <w:vAlign w:val="center"/>
          </w:tcPr>
          <w:p>
            <w:pPr>
              <w:pStyle w:val="13"/>
            </w:pPr>
            <w:r>
              <w:t>365期</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分析报告科学有效率</w:t>
            </w:r>
          </w:p>
        </w:tc>
        <w:tc>
          <w:tcPr>
            <w:tcW w:w="2891" w:type="dxa"/>
            <w:vAlign w:val="center"/>
          </w:tcPr>
          <w:p>
            <w:pPr>
              <w:pStyle w:val="13"/>
            </w:pPr>
            <w:r>
              <w:t>分析报告科学有效率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应急处置率</w:t>
            </w:r>
          </w:p>
        </w:tc>
        <w:tc>
          <w:tcPr>
            <w:tcW w:w="2891" w:type="dxa"/>
            <w:vAlign w:val="center"/>
          </w:tcPr>
          <w:p>
            <w:pPr>
              <w:pStyle w:val="13"/>
            </w:pPr>
            <w:r>
              <w:t>应急处置率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考核达标率</w:t>
            </w:r>
          </w:p>
        </w:tc>
        <w:tc>
          <w:tcPr>
            <w:tcW w:w="2891" w:type="dxa"/>
            <w:vAlign w:val="center"/>
          </w:tcPr>
          <w:p>
            <w:pPr>
              <w:pStyle w:val="13"/>
            </w:pPr>
            <w:r>
              <w:t>考核达标率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完成时效</w:t>
            </w:r>
          </w:p>
        </w:tc>
        <w:tc>
          <w:tcPr>
            <w:tcW w:w="2891" w:type="dxa"/>
            <w:vAlign w:val="center"/>
          </w:tcPr>
          <w:p>
            <w:pPr>
              <w:pStyle w:val="13"/>
            </w:pPr>
            <w:r>
              <w:t>完成时效</w:t>
            </w:r>
          </w:p>
        </w:tc>
        <w:tc>
          <w:tcPr>
            <w:tcW w:w="1276" w:type="dxa"/>
            <w:vAlign w:val="center"/>
          </w:tcPr>
          <w:p>
            <w:pPr>
              <w:pStyle w:val="13"/>
            </w:pPr>
            <w:r>
              <w:t>12月</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花费成本</w:t>
            </w:r>
          </w:p>
        </w:tc>
        <w:tc>
          <w:tcPr>
            <w:tcW w:w="2891" w:type="dxa"/>
            <w:vAlign w:val="center"/>
          </w:tcPr>
          <w:p>
            <w:pPr>
              <w:pStyle w:val="13"/>
            </w:pPr>
            <w:r>
              <w:t>花费成本</w:t>
            </w:r>
          </w:p>
        </w:tc>
        <w:tc>
          <w:tcPr>
            <w:tcW w:w="1276" w:type="dxa"/>
            <w:vAlign w:val="center"/>
          </w:tcPr>
          <w:p>
            <w:pPr>
              <w:pStyle w:val="13"/>
            </w:pPr>
            <w:r>
              <w:t>150万元</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县域绿色发展水平</w:t>
            </w:r>
          </w:p>
        </w:tc>
        <w:tc>
          <w:tcPr>
            <w:tcW w:w="2891" w:type="dxa"/>
            <w:vAlign w:val="center"/>
          </w:tcPr>
          <w:p>
            <w:pPr>
              <w:pStyle w:val="13"/>
            </w:pPr>
            <w:r>
              <w:t>县域绿色发展水平</w:t>
            </w:r>
          </w:p>
        </w:tc>
        <w:tc>
          <w:tcPr>
            <w:tcW w:w="1276" w:type="dxa"/>
            <w:vAlign w:val="center"/>
          </w:tcPr>
          <w:p>
            <w:pPr>
              <w:pStyle w:val="13"/>
            </w:pPr>
            <w:r>
              <w:t>有所提高</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环保生态指标</w:t>
            </w:r>
          </w:p>
        </w:tc>
        <w:tc>
          <w:tcPr>
            <w:tcW w:w="2891" w:type="dxa"/>
            <w:vAlign w:val="center"/>
          </w:tcPr>
          <w:p>
            <w:pPr>
              <w:pStyle w:val="13"/>
            </w:pPr>
            <w:r>
              <w:t>环保生态指标</w:t>
            </w:r>
          </w:p>
        </w:tc>
        <w:tc>
          <w:tcPr>
            <w:tcW w:w="1276" w:type="dxa"/>
            <w:vAlign w:val="center"/>
          </w:tcPr>
          <w:p>
            <w:pPr>
              <w:pStyle w:val="13"/>
            </w:pPr>
            <w:r>
              <w:t>有所提高</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县委县政府决定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3.电子政务中心城乡一体化经费绩效目标表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13022524P00F04E10036T</w:t>
            </w:r>
          </w:p>
        </w:tc>
        <w:tc>
          <w:tcPr>
            <w:tcW w:w="1587" w:type="dxa"/>
            <w:vAlign w:val="center"/>
          </w:tcPr>
          <w:p>
            <w:pPr>
              <w:pStyle w:val="14"/>
            </w:pPr>
            <w:r>
              <w:t>项目名称</w:t>
            </w:r>
          </w:p>
        </w:tc>
        <w:tc>
          <w:tcPr>
            <w:tcW w:w="4422" w:type="dxa"/>
            <w:gridSpan w:val="3"/>
            <w:vAlign w:val="center"/>
          </w:tcPr>
          <w:p>
            <w:pPr>
              <w:pStyle w:val="13"/>
            </w:pPr>
            <w:r>
              <w:t>电子政务中心城乡一体化经费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170.00</w:t>
            </w:r>
          </w:p>
        </w:tc>
        <w:tc>
          <w:tcPr>
            <w:tcW w:w="1587" w:type="dxa"/>
            <w:vAlign w:val="center"/>
          </w:tcPr>
          <w:p>
            <w:pPr>
              <w:pStyle w:val="14"/>
            </w:pPr>
            <w:r>
              <w:t>其中：财政    资金</w:t>
            </w:r>
          </w:p>
        </w:tc>
        <w:tc>
          <w:tcPr>
            <w:tcW w:w="1304" w:type="dxa"/>
            <w:vAlign w:val="center"/>
          </w:tcPr>
          <w:p>
            <w:pPr>
              <w:pStyle w:val="13"/>
            </w:pPr>
            <w:r>
              <w:t>170.00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电子政务中心城乡一体化经费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1.保障全县政府电子政务系统的使用管理与运维情况；城乡一体化信息网络平台运转正常；保证电子政务中心机房安全。</w:t>
            </w:r>
          </w:p>
          <w:p>
            <w:pPr>
              <w:pStyle w:val="13"/>
            </w:pPr>
            <w:r>
              <w:t>2.保障城乡一体化管理服务中心运转正常，县主要领导办公室视频会议设备运转正常，党政信息网联接畅通。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与市中心光纤租赁条数</w:t>
            </w:r>
          </w:p>
        </w:tc>
        <w:tc>
          <w:tcPr>
            <w:tcW w:w="2891" w:type="dxa"/>
            <w:vAlign w:val="center"/>
          </w:tcPr>
          <w:p>
            <w:pPr>
              <w:pStyle w:val="13"/>
            </w:pPr>
            <w:r>
              <w:t>与市中心光纤租赁条数</w:t>
            </w:r>
          </w:p>
        </w:tc>
        <w:tc>
          <w:tcPr>
            <w:tcW w:w="1276" w:type="dxa"/>
            <w:vAlign w:val="center"/>
          </w:tcPr>
          <w:p>
            <w:pPr>
              <w:pStyle w:val="13"/>
            </w:pPr>
            <w:r>
              <w:t>1条</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光纤带宽</w:t>
            </w:r>
          </w:p>
        </w:tc>
        <w:tc>
          <w:tcPr>
            <w:tcW w:w="2891" w:type="dxa"/>
            <w:vAlign w:val="center"/>
          </w:tcPr>
          <w:p>
            <w:pPr>
              <w:pStyle w:val="13"/>
            </w:pPr>
            <w:r>
              <w:t>光纤带宽</w:t>
            </w:r>
          </w:p>
        </w:tc>
        <w:tc>
          <w:tcPr>
            <w:tcW w:w="1276" w:type="dxa"/>
            <w:vAlign w:val="center"/>
          </w:tcPr>
          <w:p>
            <w:pPr>
              <w:pStyle w:val="13"/>
            </w:pPr>
            <w:r>
              <w:t>1400M</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党政信息网正常运行率</w:t>
            </w:r>
          </w:p>
        </w:tc>
        <w:tc>
          <w:tcPr>
            <w:tcW w:w="2891" w:type="dxa"/>
            <w:vAlign w:val="center"/>
          </w:tcPr>
          <w:p>
            <w:pPr>
              <w:pStyle w:val="13"/>
            </w:pPr>
            <w:r>
              <w:t>党政信息网正常运行率</w:t>
            </w:r>
          </w:p>
        </w:tc>
        <w:tc>
          <w:tcPr>
            <w:tcW w:w="1276" w:type="dxa"/>
            <w:vAlign w:val="center"/>
          </w:tcPr>
          <w:p>
            <w:pPr>
              <w:pStyle w:val="13"/>
            </w:pPr>
            <w:r>
              <w:t>&gt;90%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网络日常维护率</w:t>
            </w:r>
          </w:p>
        </w:tc>
        <w:tc>
          <w:tcPr>
            <w:tcW w:w="2891" w:type="dxa"/>
            <w:vAlign w:val="center"/>
          </w:tcPr>
          <w:p>
            <w:pPr>
              <w:pStyle w:val="13"/>
            </w:pPr>
            <w:r>
              <w:t>网络日常维护率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城乡一体化信息按时反馈率</w:t>
            </w:r>
          </w:p>
        </w:tc>
        <w:tc>
          <w:tcPr>
            <w:tcW w:w="2891" w:type="dxa"/>
            <w:vAlign w:val="center"/>
          </w:tcPr>
          <w:p>
            <w:pPr>
              <w:pStyle w:val="13"/>
            </w:pPr>
            <w:r>
              <w:t>城乡一体化信息按时反馈率</w:t>
            </w:r>
          </w:p>
        </w:tc>
        <w:tc>
          <w:tcPr>
            <w:tcW w:w="1276" w:type="dxa"/>
            <w:vAlign w:val="center"/>
          </w:tcPr>
          <w:p>
            <w:pPr>
              <w:pStyle w:val="13"/>
            </w:pPr>
            <w:r>
              <w:t>&gt;90%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花费成本</w:t>
            </w:r>
          </w:p>
        </w:tc>
        <w:tc>
          <w:tcPr>
            <w:tcW w:w="2891" w:type="dxa"/>
            <w:vAlign w:val="center"/>
          </w:tcPr>
          <w:p>
            <w:pPr>
              <w:pStyle w:val="13"/>
            </w:pPr>
            <w:r>
              <w:t>花费成本</w:t>
            </w:r>
          </w:p>
        </w:tc>
        <w:tc>
          <w:tcPr>
            <w:tcW w:w="1276" w:type="dxa"/>
            <w:vAlign w:val="center"/>
          </w:tcPr>
          <w:p>
            <w:pPr>
              <w:pStyle w:val="13"/>
            </w:pPr>
            <w:r>
              <w:t>210万元</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群众合理诉求解决比例</w:t>
            </w:r>
          </w:p>
        </w:tc>
        <w:tc>
          <w:tcPr>
            <w:tcW w:w="2891" w:type="dxa"/>
            <w:vAlign w:val="center"/>
          </w:tcPr>
          <w:p>
            <w:pPr>
              <w:pStyle w:val="13"/>
            </w:pPr>
            <w:r>
              <w:t>群众合理诉求解决比例</w:t>
            </w:r>
          </w:p>
        </w:tc>
        <w:tc>
          <w:tcPr>
            <w:tcW w:w="1276" w:type="dxa"/>
            <w:vAlign w:val="center"/>
          </w:tcPr>
          <w:p>
            <w:pPr>
              <w:pStyle w:val="13"/>
            </w:pPr>
            <w:r>
              <w:t>&gt;90%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公众生态环保意识</w:t>
            </w:r>
          </w:p>
        </w:tc>
        <w:tc>
          <w:tcPr>
            <w:tcW w:w="2891" w:type="dxa"/>
            <w:vAlign w:val="center"/>
          </w:tcPr>
          <w:p>
            <w:pPr>
              <w:pStyle w:val="13"/>
            </w:pPr>
            <w:r>
              <w:t>公众生态环保意识</w:t>
            </w:r>
          </w:p>
        </w:tc>
        <w:tc>
          <w:tcPr>
            <w:tcW w:w="1276" w:type="dxa"/>
            <w:vAlign w:val="center"/>
          </w:tcPr>
          <w:p>
            <w:pPr>
              <w:pStyle w:val="13"/>
            </w:pPr>
            <w:r>
              <w:t>有所提升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公众社会积极反响</w:t>
            </w:r>
          </w:p>
        </w:tc>
        <w:tc>
          <w:tcPr>
            <w:tcW w:w="2891" w:type="dxa"/>
            <w:vAlign w:val="center"/>
          </w:tcPr>
          <w:p>
            <w:pPr>
              <w:pStyle w:val="13"/>
            </w:pPr>
            <w:r>
              <w:t>公众社会积极反响</w:t>
            </w:r>
          </w:p>
        </w:tc>
        <w:tc>
          <w:tcPr>
            <w:tcW w:w="1276" w:type="dxa"/>
            <w:vAlign w:val="center"/>
          </w:tcPr>
          <w:p>
            <w:pPr>
              <w:pStyle w:val="13"/>
            </w:pPr>
            <w:r>
              <w:t>有所提升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县委县政府决定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4.法律顾问专项经费绩效目标表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13022524P00F04E10037E</w:t>
            </w:r>
          </w:p>
        </w:tc>
        <w:tc>
          <w:tcPr>
            <w:tcW w:w="1587" w:type="dxa"/>
            <w:vAlign w:val="center"/>
          </w:tcPr>
          <w:p>
            <w:pPr>
              <w:pStyle w:val="14"/>
            </w:pPr>
            <w:r>
              <w:t>项目名称</w:t>
            </w:r>
          </w:p>
        </w:tc>
        <w:tc>
          <w:tcPr>
            <w:tcW w:w="4422" w:type="dxa"/>
            <w:gridSpan w:val="3"/>
            <w:vAlign w:val="center"/>
          </w:tcPr>
          <w:p>
            <w:pPr>
              <w:pStyle w:val="13"/>
            </w:pPr>
            <w:r>
              <w:t>法律顾问专项经费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法律顾问专项经费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1.降低政府决策法律风险。</w:t>
            </w:r>
          </w:p>
          <w:p>
            <w:pPr>
              <w:pStyle w:val="13"/>
            </w:pPr>
            <w:r>
              <w:t>2.提升政府依法行政水平。</w:t>
            </w:r>
          </w:p>
          <w:p>
            <w:pPr>
              <w:pStyle w:val="13"/>
            </w:pPr>
            <w:r>
              <w:t>3.推动法治政府建设。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聘用人数</w:t>
            </w:r>
          </w:p>
        </w:tc>
        <w:tc>
          <w:tcPr>
            <w:tcW w:w="2891" w:type="dxa"/>
            <w:vAlign w:val="center"/>
          </w:tcPr>
          <w:p>
            <w:pPr>
              <w:pStyle w:val="13"/>
            </w:pPr>
            <w:r>
              <w:t>聘用人数</w:t>
            </w:r>
          </w:p>
        </w:tc>
        <w:tc>
          <w:tcPr>
            <w:tcW w:w="1276" w:type="dxa"/>
            <w:vAlign w:val="center"/>
          </w:tcPr>
          <w:p>
            <w:pPr>
              <w:pStyle w:val="13"/>
            </w:pPr>
            <w:r>
              <w:t>5人</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涉诉案件处置率</w:t>
            </w:r>
          </w:p>
        </w:tc>
        <w:tc>
          <w:tcPr>
            <w:tcW w:w="2891" w:type="dxa"/>
            <w:vAlign w:val="center"/>
          </w:tcPr>
          <w:p>
            <w:pPr>
              <w:pStyle w:val="13"/>
            </w:pPr>
            <w:r>
              <w:t>涉诉案件处置率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法律顾问专业水平</w:t>
            </w:r>
          </w:p>
        </w:tc>
        <w:tc>
          <w:tcPr>
            <w:tcW w:w="2891" w:type="dxa"/>
            <w:vAlign w:val="center"/>
          </w:tcPr>
          <w:p>
            <w:pPr>
              <w:pStyle w:val="13"/>
            </w:pPr>
            <w:r>
              <w:t>法律顾问专业水平</w:t>
            </w:r>
          </w:p>
        </w:tc>
        <w:tc>
          <w:tcPr>
            <w:tcW w:w="1276" w:type="dxa"/>
            <w:vAlign w:val="center"/>
          </w:tcPr>
          <w:p>
            <w:pPr>
              <w:pStyle w:val="13"/>
            </w:pPr>
            <w:r>
              <w:t>有所提升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涉诉案件按时处置率</w:t>
            </w:r>
          </w:p>
        </w:tc>
        <w:tc>
          <w:tcPr>
            <w:tcW w:w="2891" w:type="dxa"/>
            <w:vAlign w:val="center"/>
          </w:tcPr>
          <w:p>
            <w:pPr>
              <w:pStyle w:val="13"/>
            </w:pPr>
            <w:r>
              <w:t>涉诉案件按时处置率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花费成本</w:t>
            </w:r>
          </w:p>
        </w:tc>
        <w:tc>
          <w:tcPr>
            <w:tcW w:w="2891" w:type="dxa"/>
            <w:vAlign w:val="center"/>
          </w:tcPr>
          <w:p>
            <w:pPr>
              <w:pStyle w:val="13"/>
            </w:pPr>
            <w:r>
              <w:t>花费成本</w:t>
            </w:r>
          </w:p>
        </w:tc>
        <w:tc>
          <w:tcPr>
            <w:tcW w:w="1276" w:type="dxa"/>
            <w:vAlign w:val="center"/>
          </w:tcPr>
          <w:p>
            <w:pPr>
              <w:pStyle w:val="13"/>
            </w:pPr>
            <w:r>
              <w:t>22万元</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县政府决策法律风险</w:t>
            </w:r>
          </w:p>
        </w:tc>
        <w:tc>
          <w:tcPr>
            <w:tcW w:w="2891" w:type="dxa"/>
            <w:vAlign w:val="center"/>
          </w:tcPr>
          <w:p>
            <w:pPr>
              <w:pStyle w:val="13"/>
            </w:pPr>
            <w:r>
              <w:t>县政府决策法律风险</w:t>
            </w:r>
          </w:p>
        </w:tc>
        <w:tc>
          <w:tcPr>
            <w:tcW w:w="1276" w:type="dxa"/>
            <w:vAlign w:val="center"/>
          </w:tcPr>
          <w:p>
            <w:pPr>
              <w:pStyle w:val="13"/>
            </w:pPr>
            <w:r>
              <w:t>有所下降</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县政府决策法律保障</w:t>
            </w:r>
          </w:p>
        </w:tc>
        <w:tc>
          <w:tcPr>
            <w:tcW w:w="2891" w:type="dxa"/>
            <w:vAlign w:val="center"/>
          </w:tcPr>
          <w:p>
            <w:pPr>
              <w:pStyle w:val="13"/>
            </w:pPr>
            <w:r>
              <w:t>县政府决策法律保障</w:t>
            </w:r>
          </w:p>
        </w:tc>
        <w:tc>
          <w:tcPr>
            <w:tcW w:w="1276" w:type="dxa"/>
            <w:vAlign w:val="center"/>
          </w:tcPr>
          <w:p>
            <w:pPr>
              <w:pStyle w:val="13"/>
            </w:pPr>
            <w:r>
              <w:t>有所提升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县政府合法经济效益维护率</w:t>
            </w:r>
          </w:p>
        </w:tc>
        <w:tc>
          <w:tcPr>
            <w:tcW w:w="2891" w:type="dxa"/>
            <w:vAlign w:val="center"/>
          </w:tcPr>
          <w:p>
            <w:pPr>
              <w:pStyle w:val="13"/>
            </w:pPr>
            <w:r>
              <w:t>县政府合法经济效益维护率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政府依法行政水平</w:t>
            </w:r>
          </w:p>
        </w:tc>
        <w:tc>
          <w:tcPr>
            <w:tcW w:w="2891" w:type="dxa"/>
            <w:vAlign w:val="center"/>
          </w:tcPr>
          <w:p>
            <w:pPr>
              <w:pStyle w:val="13"/>
            </w:pPr>
            <w:r>
              <w:t>政府依法行政水平</w:t>
            </w:r>
          </w:p>
        </w:tc>
        <w:tc>
          <w:tcPr>
            <w:tcW w:w="1276" w:type="dxa"/>
            <w:vAlign w:val="center"/>
          </w:tcPr>
          <w:p>
            <w:pPr>
              <w:pStyle w:val="13"/>
            </w:pPr>
            <w:r>
              <w:t>有所提升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县委县政府决定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5.购置六参数无人机资金绩效目标表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13022524P0044CB10016E</w:t>
            </w:r>
          </w:p>
        </w:tc>
        <w:tc>
          <w:tcPr>
            <w:tcW w:w="1587" w:type="dxa"/>
            <w:vAlign w:val="center"/>
          </w:tcPr>
          <w:p>
            <w:pPr>
              <w:pStyle w:val="14"/>
            </w:pPr>
            <w:r>
              <w:t>项目名称</w:t>
            </w:r>
          </w:p>
        </w:tc>
        <w:tc>
          <w:tcPr>
            <w:tcW w:w="4422" w:type="dxa"/>
            <w:gridSpan w:val="3"/>
            <w:vAlign w:val="center"/>
          </w:tcPr>
          <w:p>
            <w:pPr>
              <w:pStyle w:val="13"/>
            </w:pPr>
            <w:r>
              <w:t>购置六参数无人机资金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28.00</w:t>
            </w:r>
          </w:p>
        </w:tc>
        <w:tc>
          <w:tcPr>
            <w:tcW w:w="1587" w:type="dxa"/>
            <w:vAlign w:val="center"/>
          </w:tcPr>
          <w:p>
            <w:pPr>
              <w:pStyle w:val="14"/>
            </w:pPr>
            <w:r>
              <w:t>其中：财政    资金</w:t>
            </w:r>
          </w:p>
        </w:tc>
        <w:tc>
          <w:tcPr>
            <w:tcW w:w="1304" w:type="dxa"/>
            <w:vAlign w:val="center"/>
          </w:tcPr>
          <w:p>
            <w:pPr>
              <w:pStyle w:val="13"/>
            </w:pPr>
            <w:r>
              <w:t>28.00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购置六参数无人机资金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1.进一步增强我县高值点位的监测分析处理能力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装备数量</w:t>
            </w:r>
          </w:p>
        </w:tc>
        <w:tc>
          <w:tcPr>
            <w:tcW w:w="2891" w:type="dxa"/>
            <w:vAlign w:val="center"/>
          </w:tcPr>
          <w:p>
            <w:pPr>
              <w:pStyle w:val="13"/>
            </w:pPr>
            <w:r>
              <w:t>装备数量</w:t>
            </w:r>
          </w:p>
        </w:tc>
        <w:tc>
          <w:tcPr>
            <w:tcW w:w="1276" w:type="dxa"/>
            <w:vAlign w:val="center"/>
          </w:tcPr>
          <w:p>
            <w:pPr>
              <w:pStyle w:val="13"/>
            </w:pPr>
            <w:r>
              <w:t>1架</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质量指标</w:t>
            </w:r>
          </w:p>
        </w:tc>
        <w:tc>
          <w:tcPr>
            <w:tcW w:w="1276" w:type="dxa"/>
            <w:vAlign w:val="center"/>
          </w:tcPr>
          <w:p>
            <w:pPr>
              <w:pStyle w:val="13"/>
            </w:pPr>
            <w:r>
              <w:t>功能完好无损</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≥95%</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≤28万元</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提高高值点位的监测能力</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县委县政府决定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6.企业挂牌上市奖励资金绩效目标表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13022524P00F04E100428</w:t>
            </w:r>
          </w:p>
        </w:tc>
        <w:tc>
          <w:tcPr>
            <w:tcW w:w="1587" w:type="dxa"/>
            <w:vAlign w:val="center"/>
          </w:tcPr>
          <w:p>
            <w:pPr>
              <w:pStyle w:val="14"/>
            </w:pPr>
            <w:r>
              <w:t>项目名称</w:t>
            </w:r>
          </w:p>
        </w:tc>
        <w:tc>
          <w:tcPr>
            <w:tcW w:w="4422" w:type="dxa"/>
            <w:gridSpan w:val="3"/>
            <w:vAlign w:val="center"/>
          </w:tcPr>
          <w:p>
            <w:pPr>
              <w:pStyle w:val="13"/>
            </w:pPr>
            <w:r>
              <w:t>企业挂牌上市奖励资金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210.00</w:t>
            </w:r>
          </w:p>
        </w:tc>
        <w:tc>
          <w:tcPr>
            <w:tcW w:w="1587" w:type="dxa"/>
            <w:vAlign w:val="center"/>
          </w:tcPr>
          <w:p>
            <w:pPr>
              <w:pStyle w:val="14"/>
            </w:pPr>
            <w:r>
              <w:t>其中：财政    资金</w:t>
            </w:r>
          </w:p>
        </w:tc>
        <w:tc>
          <w:tcPr>
            <w:tcW w:w="1304" w:type="dxa"/>
            <w:vAlign w:val="center"/>
          </w:tcPr>
          <w:p>
            <w:pPr>
              <w:pStyle w:val="13"/>
            </w:pPr>
            <w:r>
              <w:t>210.00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企业挂牌上市奖励资金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1.举行多种形式的企业上市培训会和入企对接活动。</w:t>
            </w:r>
          </w:p>
          <w:p>
            <w:pPr>
              <w:pStyle w:val="13"/>
            </w:pPr>
            <w:r>
              <w:t>2.对上市新三板企业进行奖励。</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补贴企业个数</w:t>
            </w:r>
          </w:p>
        </w:tc>
        <w:tc>
          <w:tcPr>
            <w:tcW w:w="2891" w:type="dxa"/>
            <w:vAlign w:val="center"/>
          </w:tcPr>
          <w:p>
            <w:pPr>
              <w:pStyle w:val="13"/>
            </w:pPr>
            <w:r>
              <w:t>补贴企业个数</w:t>
            </w:r>
          </w:p>
        </w:tc>
        <w:tc>
          <w:tcPr>
            <w:tcW w:w="1276" w:type="dxa"/>
            <w:vAlign w:val="center"/>
          </w:tcPr>
          <w:p>
            <w:pPr>
              <w:pStyle w:val="13"/>
            </w:pPr>
            <w:r>
              <w:t>1个</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上市企业培训会次数</w:t>
            </w:r>
          </w:p>
        </w:tc>
        <w:tc>
          <w:tcPr>
            <w:tcW w:w="2891" w:type="dxa"/>
            <w:vAlign w:val="center"/>
          </w:tcPr>
          <w:p>
            <w:pPr>
              <w:pStyle w:val="13"/>
            </w:pPr>
            <w:r>
              <w:t>上市企业培训会次数</w:t>
            </w:r>
          </w:p>
        </w:tc>
        <w:tc>
          <w:tcPr>
            <w:tcW w:w="1276" w:type="dxa"/>
            <w:vAlign w:val="center"/>
          </w:tcPr>
          <w:p>
            <w:pPr>
              <w:pStyle w:val="13"/>
            </w:pPr>
            <w:r>
              <w:t>6次</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争取企业上市个数</w:t>
            </w:r>
          </w:p>
        </w:tc>
        <w:tc>
          <w:tcPr>
            <w:tcW w:w="2891" w:type="dxa"/>
            <w:vAlign w:val="center"/>
          </w:tcPr>
          <w:p>
            <w:pPr>
              <w:pStyle w:val="13"/>
            </w:pPr>
            <w:r>
              <w:t>争取企业上市个数</w:t>
            </w:r>
          </w:p>
        </w:tc>
        <w:tc>
          <w:tcPr>
            <w:tcW w:w="1276" w:type="dxa"/>
            <w:vAlign w:val="center"/>
          </w:tcPr>
          <w:p>
            <w:pPr>
              <w:pStyle w:val="13"/>
            </w:pPr>
            <w:r>
              <w:t>1个</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企业上市奖励资金执行率</w:t>
            </w:r>
          </w:p>
        </w:tc>
        <w:tc>
          <w:tcPr>
            <w:tcW w:w="2891" w:type="dxa"/>
            <w:vAlign w:val="center"/>
          </w:tcPr>
          <w:p>
            <w:pPr>
              <w:pStyle w:val="13"/>
            </w:pPr>
            <w:r>
              <w:t>企业上市奖励资金执行率</w:t>
            </w:r>
          </w:p>
        </w:tc>
        <w:tc>
          <w:tcPr>
            <w:tcW w:w="1276" w:type="dxa"/>
            <w:vAlign w:val="center"/>
          </w:tcPr>
          <w:p>
            <w:pPr>
              <w:pStyle w:val="13"/>
            </w:pPr>
            <w:r>
              <w:t>100百</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企业上市时间</w:t>
            </w:r>
          </w:p>
        </w:tc>
        <w:tc>
          <w:tcPr>
            <w:tcW w:w="2891" w:type="dxa"/>
            <w:vAlign w:val="center"/>
          </w:tcPr>
          <w:p>
            <w:pPr>
              <w:pStyle w:val="13"/>
            </w:pPr>
            <w:r>
              <w:t>企业上市时间</w:t>
            </w:r>
          </w:p>
        </w:tc>
        <w:tc>
          <w:tcPr>
            <w:tcW w:w="1276" w:type="dxa"/>
            <w:vAlign w:val="center"/>
          </w:tcPr>
          <w:p>
            <w:pPr>
              <w:pStyle w:val="13"/>
            </w:pPr>
            <w:r>
              <w:t>&lt;12月</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花费成本</w:t>
            </w:r>
          </w:p>
        </w:tc>
        <w:tc>
          <w:tcPr>
            <w:tcW w:w="2891" w:type="dxa"/>
            <w:vAlign w:val="center"/>
          </w:tcPr>
          <w:p>
            <w:pPr>
              <w:pStyle w:val="13"/>
            </w:pPr>
            <w:r>
              <w:t>花费成本</w:t>
            </w:r>
          </w:p>
        </w:tc>
        <w:tc>
          <w:tcPr>
            <w:tcW w:w="1276" w:type="dxa"/>
            <w:vAlign w:val="center"/>
          </w:tcPr>
          <w:p>
            <w:pPr>
              <w:pStyle w:val="13"/>
            </w:pPr>
            <w:r>
              <w:t>210万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后备企业经济效益</w:t>
            </w:r>
          </w:p>
        </w:tc>
        <w:tc>
          <w:tcPr>
            <w:tcW w:w="2891" w:type="dxa"/>
            <w:vAlign w:val="center"/>
          </w:tcPr>
          <w:p>
            <w:pPr>
              <w:pStyle w:val="13"/>
            </w:pPr>
            <w:r>
              <w:t>后备企业经济效益</w:t>
            </w:r>
          </w:p>
        </w:tc>
        <w:tc>
          <w:tcPr>
            <w:tcW w:w="1276" w:type="dxa"/>
            <w:vAlign w:val="center"/>
          </w:tcPr>
          <w:p>
            <w:pPr>
              <w:pStyle w:val="13"/>
            </w:pPr>
            <w:r>
              <w:t>有所提升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后备企业对上市的认可程度</w:t>
            </w:r>
          </w:p>
        </w:tc>
        <w:tc>
          <w:tcPr>
            <w:tcW w:w="2891" w:type="dxa"/>
            <w:vAlign w:val="center"/>
          </w:tcPr>
          <w:p>
            <w:pPr>
              <w:pStyle w:val="13"/>
            </w:pPr>
            <w:r>
              <w:t>后备企业对上市的认可程度</w:t>
            </w:r>
          </w:p>
        </w:tc>
        <w:tc>
          <w:tcPr>
            <w:tcW w:w="1276" w:type="dxa"/>
            <w:vAlign w:val="center"/>
          </w:tcPr>
          <w:p>
            <w:pPr>
              <w:pStyle w:val="13"/>
            </w:pPr>
            <w:r>
              <w:t>有所提升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上市企业环保标准执行率</w:t>
            </w:r>
          </w:p>
        </w:tc>
        <w:tc>
          <w:tcPr>
            <w:tcW w:w="2891" w:type="dxa"/>
            <w:vAlign w:val="center"/>
          </w:tcPr>
          <w:p>
            <w:pPr>
              <w:pStyle w:val="13"/>
            </w:pPr>
            <w:r>
              <w:t>上市企业环保标准执行率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县委县政府决定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7.生态环保巡查指挥调度中心工作经费绩效目标表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13022524P00F04E10041L</w:t>
            </w:r>
          </w:p>
        </w:tc>
        <w:tc>
          <w:tcPr>
            <w:tcW w:w="1587" w:type="dxa"/>
            <w:vAlign w:val="center"/>
          </w:tcPr>
          <w:p>
            <w:pPr>
              <w:pStyle w:val="14"/>
            </w:pPr>
            <w:r>
              <w:t>项目名称</w:t>
            </w:r>
          </w:p>
        </w:tc>
        <w:tc>
          <w:tcPr>
            <w:tcW w:w="4422" w:type="dxa"/>
            <w:gridSpan w:val="3"/>
            <w:vAlign w:val="center"/>
          </w:tcPr>
          <w:p>
            <w:pPr>
              <w:pStyle w:val="13"/>
            </w:pPr>
            <w:r>
              <w:t>生态环保巡查指挥调度中心工作经费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生态环保巡查指挥调度中心工作经费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1.生态环保巡查指挥调度中心正常运行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互联网专用线</w:t>
            </w:r>
          </w:p>
        </w:tc>
        <w:tc>
          <w:tcPr>
            <w:tcW w:w="2891" w:type="dxa"/>
            <w:vAlign w:val="center"/>
          </w:tcPr>
          <w:p>
            <w:pPr>
              <w:pStyle w:val="13"/>
            </w:pPr>
            <w:r>
              <w:t>互联网专用线</w:t>
            </w:r>
          </w:p>
        </w:tc>
        <w:tc>
          <w:tcPr>
            <w:tcW w:w="1276" w:type="dxa"/>
            <w:vAlign w:val="center"/>
          </w:tcPr>
          <w:p>
            <w:pPr>
              <w:pStyle w:val="13"/>
            </w:pPr>
            <w:r>
              <w:t>1条</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MPLS VPN 电路</w:t>
            </w:r>
          </w:p>
        </w:tc>
        <w:tc>
          <w:tcPr>
            <w:tcW w:w="2891" w:type="dxa"/>
            <w:vAlign w:val="center"/>
          </w:tcPr>
          <w:p>
            <w:pPr>
              <w:pStyle w:val="13"/>
            </w:pPr>
            <w:r>
              <w:t>MPLS VPN 电路</w:t>
            </w:r>
          </w:p>
        </w:tc>
        <w:tc>
          <w:tcPr>
            <w:tcW w:w="1276" w:type="dxa"/>
            <w:vAlign w:val="center"/>
          </w:tcPr>
          <w:p>
            <w:pPr>
              <w:pStyle w:val="13"/>
            </w:pPr>
            <w:r>
              <w:t>4条</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学习培训活动</w:t>
            </w:r>
          </w:p>
        </w:tc>
        <w:tc>
          <w:tcPr>
            <w:tcW w:w="2891" w:type="dxa"/>
            <w:vAlign w:val="center"/>
          </w:tcPr>
          <w:p>
            <w:pPr>
              <w:pStyle w:val="13"/>
            </w:pPr>
            <w:r>
              <w:t>学习培训活动</w:t>
            </w:r>
          </w:p>
        </w:tc>
        <w:tc>
          <w:tcPr>
            <w:tcW w:w="1276" w:type="dxa"/>
            <w:vAlign w:val="center"/>
          </w:tcPr>
          <w:p>
            <w:pPr>
              <w:pStyle w:val="13"/>
            </w:pPr>
            <w:r>
              <w:t>1场次</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互联网专用线信号有效率</w:t>
            </w:r>
          </w:p>
        </w:tc>
        <w:tc>
          <w:tcPr>
            <w:tcW w:w="2891" w:type="dxa"/>
            <w:vAlign w:val="center"/>
          </w:tcPr>
          <w:p>
            <w:pPr>
              <w:pStyle w:val="13"/>
            </w:pPr>
            <w:r>
              <w:t>互联网专用线信号有效率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MPLS VPN 电路信号有效率</w:t>
            </w:r>
          </w:p>
        </w:tc>
        <w:tc>
          <w:tcPr>
            <w:tcW w:w="2891" w:type="dxa"/>
            <w:vAlign w:val="center"/>
          </w:tcPr>
          <w:p>
            <w:pPr>
              <w:pStyle w:val="13"/>
            </w:pPr>
            <w:r>
              <w:t>MPLS VPN 电路信号有效率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完成时效</w:t>
            </w:r>
          </w:p>
        </w:tc>
        <w:tc>
          <w:tcPr>
            <w:tcW w:w="2891" w:type="dxa"/>
            <w:vAlign w:val="center"/>
          </w:tcPr>
          <w:p>
            <w:pPr>
              <w:pStyle w:val="13"/>
            </w:pPr>
            <w:r>
              <w:t>完成时效</w:t>
            </w:r>
          </w:p>
        </w:tc>
        <w:tc>
          <w:tcPr>
            <w:tcW w:w="1276" w:type="dxa"/>
            <w:vAlign w:val="center"/>
          </w:tcPr>
          <w:p>
            <w:pPr>
              <w:pStyle w:val="13"/>
            </w:pPr>
            <w:r>
              <w:t>12月</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花费成本</w:t>
            </w:r>
          </w:p>
        </w:tc>
        <w:tc>
          <w:tcPr>
            <w:tcW w:w="2891" w:type="dxa"/>
            <w:vAlign w:val="center"/>
          </w:tcPr>
          <w:p>
            <w:pPr>
              <w:pStyle w:val="13"/>
            </w:pPr>
            <w:r>
              <w:t>花费成本</w:t>
            </w:r>
          </w:p>
        </w:tc>
        <w:tc>
          <w:tcPr>
            <w:tcW w:w="1276" w:type="dxa"/>
            <w:vAlign w:val="center"/>
          </w:tcPr>
          <w:p>
            <w:pPr>
              <w:pStyle w:val="13"/>
            </w:pPr>
            <w:r>
              <w:t>15万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县域绿色发展水平</w:t>
            </w:r>
          </w:p>
        </w:tc>
        <w:tc>
          <w:tcPr>
            <w:tcW w:w="2891" w:type="dxa"/>
            <w:vAlign w:val="center"/>
          </w:tcPr>
          <w:p>
            <w:pPr>
              <w:pStyle w:val="13"/>
            </w:pPr>
            <w:r>
              <w:t>县域绿色发展水平</w:t>
            </w:r>
          </w:p>
        </w:tc>
        <w:tc>
          <w:tcPr>
            <w:tcW w:w="1276" w:type="dxa"/>
            <w:vAlign w:val="center"/>
          </w:tcPr>
          <w:p>
            <w:pPr>
              <w:pStyle w:val="13"/>
            </w:pPr>
            <w:r>
              <w:t>有所改善</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环保生态指标</w:t>
            </w:r>
          </w:p>
        </w:tc>
        <w:tc>
          <w:tcPr>
            <w:tcW w:w="2891" w:type="dxa"/>
            <w:vAlign w:val="center"/>
          </w:tcPr>
          <w:p>
            <w:pPr>
              <w:pStyle w:val="13"/>
            </w:pPr>
            <w:r>
              <w:t>环保生态指标</w:t>
            </w:r>
          </w:p>
        </w:tc>
        <w:tc>
          <w:tcPr>
            <w:tcW w:w="1276" w:type="dxa"/>
            <w:vAlign w:val="center"/>
          </w:tcPr>
          <w:p>
            <w:pPr>
              <w:pStyle w:val="13"/>
            </w:pPr>
            <w:r>
              <w:t>有所改善</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县委县政府决定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8.县志编制费及乐亭年鉴编撰出版经费绩效目标表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13022524P00F04E100357</w:t>
            </w:r>
          </w:p>
        </w:tc>
        <w:tc>
          <w:tcPr>
            <w:tcW w:w="1587" w:type="dxa"/>
            <w:vAlign w:val="center"/>
          </w:tcPr>
          <w:p>
            <w:pPr>
              <w:pStyle w:val="14"/>
            </w:pPr>
            <w:r>
              <w:t>项目名称</w:t>
            </w:r>
          </w:p>
        </w:tc>
        <w:tc>
          <w:tcPr>
            <w:tcW w:w="4422" w:type="dxa"/>
            <w:gridSpan w:val="3"/>
            <w:vAlign w:val="center"/>
          </w:tcPr>
          <w:p>
            <w:pPr>
              <w:pStyle w:val="13"/>
            </w:pPr>
            <w:r>
              <w:t>县志编制费及乐亭年鉴编撰出版经费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县志编制费及乐亭年鉴编撰出版经费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1.开发地方综合年鉴资源，推动地方综合年鉴理论研究，开展地情资料编研工作，搜集整理地方志资料。</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开展业务培训次数</w:t>
            </w:r>
          </w:p>
        </w:tc>
        <w:tc>
          <w:tcPr>
            <w:tcW w:w="2891" w:type="dxa"/>
            <w:vAlign w:val="center"/>
          </w:tcPr>
          <w:p>
            <w:pPr>
              <w:pStyle w:val="13"/>
            </w:pPr>
            <w:r>
              <w:t>开展业务培训次数</w:t>
            </w:r>
          </w:p>
        </w:tc>
        <w:tc>
          <w:tcPr>
            <w:tcW w:w="1276" w:type="dxa"/>
            <w:vAlign w:val="center"/>
          </w:tcPr>
          <w:p>
            <w:pPr>
              <w:pStyle w:val="13"/>
            </w:pPr>
            <w:r>
              <w:t>1次</w:t>
            </w:r>
          </w:p>
        </w:tc>
        <w:tc>
          <w:tcPr>
            <w:tcW w:w="1843" w:type="dxa"/>
            <w:vAlign w:val="center"/>
          </w:tcPr>
          <w:p>
            <w:pPr>
              <w:pStyle w:val="13"/>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乐亭重大事件覆盖率</w:t>
            </w:r>
          </w:p>
        </w:tc>
        <w:tc>
          <w:tcPr>
            <w:tcW w:w="2891" w:type="dxa"/>
            <w:vAlign w:val="center"/>
          </w:tcPr>
          <w:p>
            <w:pPr>
              <w:pStyle w:val="13"/>
            </w:pPr>
            <w:r>
              <w:t>乐亭重大事件覆盖率</w:t>
            </w:r>
          </w:p>
        </w:tc>
        <w:tc>
          <w:tcPr>
            <w:tcW w:w="1276" w:type="dxa"/>
            <w:vAlign w:val="center"/>
          </w:tcPr>
          <w:p>
            <w:pPr>
              <w:pStyle w:val="13"/>
            </w:pPr>
            <w:r>
              <w:t>100%</w:t>
            </w:r>
          </w:p>
        </w:tc>
        <w:tc>
          <w:tcPr>
            <w:tcW w:w="1843" w:type="dxa"/>
            <w:vAlign w:val="center"/>
          </w:tcPr>
          <w:p>
            <w:pPr>
              <w:pStyle w:val="13"/>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收集资料情况</w:t>
            </w:r>
          </w:p>
        </w:tc>
        <w:tc>
          <w:tcPr>
            <w:tcW w:w="2891" w:type="dxa"/>
            <w:vAlign w:val="center"/>
          </w:tcPr>
          <w:p>
            <w:pPr>
              <w:pStyle w:val="13"/>
            </w:pPr>
            <w:r>
              <w:t>收集资料情况</w:t>
            </w:r>
          </w:p>
        </w:tc>
        <w:tc>
          <w:tcPr>
            <w:tcW w:w="1276" w:type="dxa"/>
            <w:vAlign w:val="center"/>
          </w:tcPr>
          <w:p>
            <w:pPr>
              <w:pStyle w:val="13"/>
            </w:pPr>
            <w:r>
              <w:t>≥50万</w:t>
            </w:r>
          </w:p>
        </w:tc>
        <w:tc>
          <w:tcPr>
            <w:tcW w:w="1843" w:type="dxa"/>
            <w:vAlign w:val="center"/>
          </w:tcPr>
          <w:p>
            <w:pPr>
              <w:pStyle w:val="13"/>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花费成本</w:t>
            </w:r>
          </w:p>
        </w:tc>
        <w:tc>
          <w:tcPr>
            <w:tcW w:w="2891" w:type="dxa"/>
            <w:vAlign w:val="center"/>
          </w:tcPr>
          <w:p>
            <w:pPr>
              <w:pStyle w:val="13"/>
            </w:pPr>
            <w:r>
              <w:t>花费成本</w:t>
            </w:r>
          </w:p>
        </w:tc>
        <w:tc>
          <w:tcPr>
            <w:tcW w:w="1276" w:type="dxa"/>
            <w:vAlign w:val="center"/>
          </w:tcPr>
          <w:p>
            <w:pPr>
              <w:pStyle w:val="13"/>
            </w:pPr>
            <w:r>
              <w:t>10万</w:t>
            </w:r>
          </w:p>
        </w:tc>
        <w:tc>
          <w:tcPr>
            <w:tcW w:w="1843" w:type="dxa"/>
            <w:vAlign w:val="center"/>
          </w:tcPr>
          <w:p>
            <w:pPr>
              <w:pStyle w:val="13"/>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乐亭人文历史、特色的知名度</w:t>
            </w:r>
          </w:p>
        </w:tc>
        <w:tc>
          <w:tcPr>
            <w:tcW w:w="2891" w:type="dxa"/>
            <w:vAlign w:val="center"/>
          </w:tcPr>
          <w:p>
            <w:pPr>
              <w:pStyle w:val="13"/>
            </w:pPr>
            <w:r>
              <w:t>乐亭人文历史、特色的知名度</w:t>
            </w:r>
          </w:p>
        </w:tc>
        <w:tc>
          <w:tcPr>
            <w:tcW w:w="1276" w:type="dxa"/>
            <w:vAlign w:val="center"/>
          </w:tcPr>
          <w:p>
            <w:pPr>
              <w:pStyle w:val="13"/>
            </w:pPr>
            <w:r>
              <w:t>1个</w:t>
            </w:r>
          </w:p>
        </w:tc>
        <w:tc>
          <w:tcPr>
            <w:tcW w:w="1843" w:type="dxa"/>
            <w:vAlign w:val="center"/>
          </w:tcPr>
          <w:p>
            <w:pPr>
              <w:pStyle w:val="13"/>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乐亭人文历史、特色的知名度</w:t>
            </w:r>
          </w:p>
        </w:tc>
        <w:tc>
          <w:tcPr>
            <w:tcW w:w="2891" w:type="dxa"/>
            <w:vAlign w:val="center"/>
          </w:tcPr>
          <w:p>
            <w:pPr>
              <w:pStyle w:val="13"/>
            </w:pPr>
            <w:r>
              <w:t>乐亭人文历史、特色的知名度</w:t>
            </w:r>
          </w:p>
        </w:tc>
        <w:tc>
          <w:tcPr>
            <w:tcW w:w="1276" w:type="dxa"/>
            <w:vAlign w:val="center"/>
          </w:tcPr>
          <w:p>
            <w:pPr>
              <w:pStyle w:val="13"/>
            </w:pPr>
            <w:r>
              <w:t>1个</w:t>
            </w:r>
          </w:p>
        </w:tc>
        <w:tc>
          <w:tcPr>
            <w:tcW w:w="1843" w:type="dxa"/>
            <w:vAlign w:val="center"/>
          </w:tcPr>
          <w:p>
            <w:pPr>
              <w:pStyle w:val="13"/>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社会各界对乐亭的了解程度</w:t>
            </w:r>
          </w:p>
        </w:tc>
        <w:tc>
          <w:tcPr>
            <w:tcW w:w="2891" w:type="dxa"/>
            <w:vAlign w:val="center"/>
          </w:tcPr>
          <w:p>
            <w:pPr>
              <w:pStyle w:val="13"/>
            </w:pPr>
            <w:r>
              <w:t>社会各界对乐亭的了解程度</w:t>
            </w:r>
          </w:p>
        </w:tc>
        <w:tc>
          <w:tcPr>
            <w:tcW w:w="1276" w:type="dxa"/>
            <w:vAlign w:val="center"/>
          </w:tcPr>
          <w:p>
            <w:pPr>
              <w:pStyle w:val="13"/>
            </w:pPr>
            <w:r>
              <w:t>1个</w:t>
            </w:r>
          </w:p>
        </w:tc>
        <w:tc>
          <w:tcPr>
            <w:tcW w:w="1843" w:type="dxa"/>
            <w:vAlign w:val="center"/>
          </w:tcPr>
          <w:p>
            <w:pPr>
              <w:pStyle w:val="13"/>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社会各界对乐亭的了解程度</w:t>
            </w:r>
          </w:p>
        </w:tc>
        <w:tc>
          <w:tcPr>
            <w:tcW w:w="2891" w:type="dxa"/>
            <w:vAlign w:val="center"/>
          </w:tcPr>
          <w:p>
            <w:pPr>
              <w:pStyle w:val="13"/>
            </w:pPr>
            <w:r>
              <w:t>社会各界对乐亭的了解程度</w:t>
            </w:r>
          </w:p>
        </w:tc>
        <w:tc>
          <w:tcPr>
            <w:tcW w:w="1276" w:type="dxa"/>
            <w:vAlign w:val="center"/>
          </w:tcPr>
          <w:p>
            <w:pPr>
              <w:pStyle w:val="13"/>
            </w:pPr>
            <w:r>
              <w:t>1个</w:t>
            </w:r>
          </w:p>
        </w:tc>
        <w:tc>
          <w:tcPr>
            <w:tcW w:w="1843" w:type="dxa"/>
            <w:vAlign w:val="center"/>
          </w:tcPr>
          <w:p>
            <w:pPr>
              <w:pStyle w:val="13"/>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自行制定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9.乡镇空气站运维费用绩效目标表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13022524P00F04E100382</w:t>
            </w:r>
          </w:p>
        </w:tc>
        <w:tc>
          <w:tcPr>
            <w:tcW w:w="1587" w:type="dxa"/>
            <w:vAlign w:val="center"/>
          </w:tcPr>
          <w:p>
            <w:pPr>
              <w:pStyle w:val="14"/>
            </w:pPr>
            <w:r>
              <w:t>项目名称</w:t>
            </w:r>
          </w:p>
        </w:tc>
        <w:tc>
          <w:tcPr>
            <w:tcW w:w="4422" w:type="dxa"/>
            <w:gridSpan w:val="3"/>
            <w:vAlign w:val="center"/>
          </w:tcPr>
          <w:p>
            <w:pPr>
              <w:pStyle w:val="13"/>
            </w:pPr>
            <w:r>
              <w:t>乡镇空气站运维费用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乡镇空气站运维费用</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1.对乐亭县13个乡镇级空气站提供运维服务，保障设备正常运行，乡镇级空气站监测数据达到有效天数、真实有效。</w:t>
            </w:r>
          </w:p>
          <w:p>
            <w:pPr>
              <w:pStyle w:val="13"/>
            </w:pPr>
            <w:r>
              <w:t>2.在日常管理维护基础上，及时发现处置设备运行问题，能够满足实际监测需要。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运维覆盖率</w:t>
            </w:r>
          </w:p>
        </w:tc>
        <w:tc>
          <w:tcPr>
            <w:tcW w:w="2891" w:type="dxa"/>
            <w:vAlign w:val="center"/>
          </w:tcPr>
          <w:p>
            <w:pPr>
              <w:pStyle w:val="13"/>
            </w:pPr>
            <w:r>
              <w:t>运维覆盖率</w:t>
            </w:r>
          </w:p>
        </w:tc>
        <w:tc>
          <w:tcPr>
            <w:tcW w:w="1276" w:type="dxa"/>
            <w:vAlign w:val="center"/>
          </w:tcPr>
          <w:p>
            <w:pPr>
              <w:pStyle w:val="13"/>
            </w:pPr>
            <w:r>
              <w:t>13个</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六参数监测率</w:t>
            </w:r>
          </w:p>
        </w:tc>
        <w:tc>
          <w:tcPr>
            <w:tcW w:w="2891" w:type="dxa"/>
            <w:vAlign w:val="center"/>
          </w:tcPr>
          <w:p>
            <w:pPr>
              <w:pStyle w:val="13"/>
            </w:pPr>
            <w:r>
              <w:t>六参数监测率</w:t>
            </w:r>
          </w:p>
        </w:tc>
        <w:tc>
          <w:tcPr>
            <w:tcW w:w="1276" w:type="dxa"/>
            <w:vAlign w:val="center"/>
          </w:tcPr>
          <w:p>
            <w:pPr>
              <w:pStyle w:val="13"/>
            </w:pPr>
            <w:r>
              <w:t>6个</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数据获取率</w:t>
            </w:r>
          </w:p>
        </w:tc>
        <w:tc>
          <w:tcPr>
            <w:tcW w:w="2891" w:type="dxa"/>
            <w:vAlign w:val="center"/>
          </w:tcPr>
          <w:p>
            <w:pPr>
              <w:pStyle w:val="13"/>
            </w:pPr>
            <w:r>
              <w:t>数据获取率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质控检查合格率</w:t>
            </w:r>
          </w:p>
        </w:tc>
        <w:tc>
          <w:tcPr>
            <w:tcW w:w="2891" w:type="dxa"/>
            <w:vAlign w:val="center"/>
          </w:tcPr>
          <w:p>
            <w:pPr>
              <w:pStyle w:val="13"/>
            </w:pPr>
            <w:r>
              <w:t>质控检查合格率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有效天数达标率</w:t>
            </w:r>
          </w:p>
        </w:tc>
        <w:tc>
          <w:tcPr>
            <w:tcW w:w="2891" w:type="dxa"/>
            <w:vAlign w:val="center"/>
          </w:tcPr>
          <w:p>
            <w:pPr>
              <w:pStyle w:val="13"/>
            </w:pPr>
            <w:r>
              <w:t>有效天数达标率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完成时效</w:t>
            </w:r>
          </w:p>
        </w:tc>
        <w:tc>
          <w:tcPr>
            <w:tcW w:w="2891" w:type="dxa"/>
            <w:vAlign w:val="center"/>
          </w:tcPr>
          <w:p>
            <w:pPr>
              <w:pStyle w:val="13"/>
            </w:pPr>
            <w:r>
              <w:t>完成时效</w:t>
            </w:r>
          </w:p>
        </w:tc>
        <w:tc>
          <w:tcPr>
            <w:tcW w:w="1276" w:type="dxa"/>
            <w:vAlign w:val="center"/>
          </w:tcPr>
          <w:p>
            <w:pPr>
              <w:pStyle w:val="13"/>
            </w:pPr>
            <w:r>
              <w:t>12月</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花费成本</w:t>
            </w:r>
          </w:p>
        </w:tc>
        <w:tc>
          <w:tcPr>
            <w:tcW w:w="2891" w:type="dxa"/>
            <w:vAlign w:val="center"/>
          </w:tcPr>
          <w:p>
            <w:pPr>
              <w:pStyle w:val="13"/>
            </w:pPr>
            <w:r>
              <w:t>花费成本</w:t>
            </w:r>
          </w:p>
        </w:tc>
        <w:tc>
          <w:tcPr>
            <w:tcW w:w="1276" w:type="dxa"/>
            <w:vAlign w:val="center"/>
          </w:tcPr>
          <w:p>
            <w:pPr>
              <w:pStyle w:val="13"/>
            </w:pPr>
            <w:r>
              <w:t>100万元</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乡镇空气质量影响变化</w:t>
            </w:r>
          </w:p>
        </w:tc>
        <w:tc>
          <w:tcPr>
            <w:tcW w:w="2891" w:type="dxa"/>
            <w:vAlign w:val="center"/>
          </w:tcPr>
          <w:p>
            <w:pPr>
              <w:pStyle w:val="13"/>
            </w:pPr>
            <w:r>
              <w:t>乡镇空气质量影响变化</w:t>
            </w:r>
          </w:p>
        </w:tc>
        <w:tc>
          <w:tcPr>
            <w:tcW w:w="1276" w:type="dxa"/>
            <w:vAlign w:val="center"/>
          </w:tcPr>
          <w:p>
            <w:pPr>
              <w:pStyle w:val="13"/>
            </w:pPr>
            <w:r>
              <w:t>有所提升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环保生态指标</w:t>
            </w:r>
          </w:p>
        </w:tc>
        <w:tc>
          <w:tcPr>
            <w:tcW w:w="2891" w:type="dxa"/>
            <w:vAlign w:val="center"/>
          </w:tcPr>
          <w:p>
            <w:pPr>
              <w:pStyle w:val="13"/>
            </w:pPr>
            <w:r>
              <w:t>环保生态指标</w:t>
            </w:r>
          </w:p>
        </w:tc>
        <w:tc>
          <w:tcPr>
            <w:tcW w:w="1276" w:type="dxa"/>
            <w:vAlign w:val="center"/>
          </w:tcPr>
          <w:p>
            <w:pPr>
              <w:pStyle w:val="13"/>
            </w:pPr>
            <w:r>
              <w:t>有所提升</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县委县政府决定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10.重点河流跨界断面水质达标治理经费绩效目标表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13022524P00F04E100401</w:t>
            </w:r>
          </w:p>
        </w:tc>
        <w:tc>
          <w:tcPr>
            <w:tcW w:w="1587" w:type="dxa"/>
            <w:vAlign w:val="center"/>
          </w:tcPr>
          <w:p>
            <w:pPr>
              <w:pStyle w:val="14"/>
            </w:pPr>
            <w:r>
              <w:t>项目名称</w:t>
            </w:r>
          </w:p>
        </w:tc>
        <w:tc>
          <w:tcPr>
            <w:tcW w:w="4422" w:type="dxa"/>
            <w:gridSpan w:val="3"/>
            <w:vAlign w:val="center"/>
          </w:tcPr>
          <w:p>
            <w:pPr>
              <w:pStyle w:val="13"/>
            </w:pPr>
            <w:r>
              <w:t>重点河流跨界断面水质达标治理经费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w:t>
            </w:r>
          </w:p>
        </w:tc>
        <w:tc>
          <w:tcPr>
            <w:tcW w:w="1587" w:type="dxa"/>
            <w:vAlign w:val="center"/>
          </w:tcPr>
          <w:p>
            <w:pPr>
              <w:pStyle w:val="14"/>
            </w:pPr>
            <w:r>
              <w:t>其中：财政    资金</w:t>
            </w:r>
          </w:p>
        </w:tc>
        <w:tc>
          <w:tcPr>
            <w:tcW w:w="1304" w:type="dxa"/>
            <w:vAlign w:val="center"/>
          </w:tcPr>
          <w:p>
            <w:pPr>
              <w:pStyle w:val="13"/>
            </w:pPr>
            <w:r>
              <w:t>400.00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重点河流跨界断面水质达标治理经费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1.如上级部门提高考核标准，按上级要求执行。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考核达标率</w:t>
            </w:r>
          </w:p>
        </w:tc>
        <w:tc>
          <w:tcPr>
            <w:tcW w:w="2891" w:type="dxa"/>
            <w:vAlign w:val="center"/>
          </w:tcPr>
          <w:p>
            <w:pPr>
              <w:pStyle w:val="13"/>
            </w:pPr>
            <w:r>
              <w:t>考核达标率</w:t>
            </w:r>
          </w:p>
        </w:tc>
        <w:tc>
          <w:tcPr>
            <w:tcW w:w="1276" w:type="dxa"/>
            <w:vAlign w:val="center"/>
          </w:tcPr>
          <w:p>
            <w:pPr>
              <w:pStyle w:val="13"/>
            </w:pPr>
            <w:r>
              <w:t>100%</w:t>
            </w:r>
          </w:p>
        </w:tc>
        <w:tc>
          <w:tcPr>
            <w:tcW w:w="1843" w:type="dxa"/>
            <w:vAlign w:val="center"/>
          </w:tcPr>
          <w:p>
            <w:pPr>
              <w:pStyle w:val="13"/>
            </w:pPr>
            <w:r>
              <w:t>县委县政府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修复面积</w:t>
            </w:r>
          </w:p>
        </w:tc>
        <w:tc>
          <w:tcPr>
            <w:tcW w:w="2891" w:type="dxa"/>
            <w:vAlign w:val="center"/>
          </w:tcPr>
          <w:p>
            <w:pPr>
              <w:pStyle w:val="13"/>
            </w:pPr>
            <w:r>
              <w:t>修复面积</w:t>
            </w:r>
          </w:p>
        </w:tc>
        <w:tc>
          <w:tcPr>
            <w:tcW w:w="1276" w:type="dxa"/>
            <w:vAlign w:val="center"/>
          </w:tcPr>
          <w:p>
            <w:pPr>
              <w:pStyle w:val="13"/>
            </w:pPr>
            <w:r>
              <w:t>100%</w:t>
            </w:r>
          </w:p>
        </w:tc>
        <w:tc>
          <w:tcPr>
            <w:tcW w:w="1843" w:type="dxa"/>
            <w:vAlign w:val="center"/>
          </w:tcPr>
          <w:p>
            <w:pPr>
              <w:pStyle w:val="13"/>
            </w:pPr>
            <w:r>
              <w:t>县委县政府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高锰酸盐指标</w:t>
            </w:r>
          </w:p>
        </w:tc>
        <w:tc>
          <w:tcPr>
            <w:tcW w:w="2891" w:type="dxa"/>
            <w:vAlign w:val="center"/>
          </w:tcPr>
          <w:p>
            <w:pPr>
              <w:pStyle w:val="13"/>
            </w:pPr>
            <w:r>
              <w:t>高锰酸盐指标</w:t>
            </w:r>
          </w:p>
        </w:tc>
        <w:tc>
          <w:tcPr>
            <w:tcW w:w="1276" w:type="dxa"/>
            <w:vAlign w:val="center"/>
          </w:tcPr>
          <w:p>
            <w:pPr>
              <w:pStyle w:val="13"/>
            </w:pPr>
            <w:r>
              <w:t xml:space="preserve">≤15mg/l </w:t>
            </w:r>
          </w:p>
        </w:tc>
        <w:tc>
          <w:tcPr>
            <w:tcW w:w="1843" w:type="dxa"/>
            <w:vAlign w:val="center"/>
          </w:tcPr>
          <w:p>
            <w:pPr>
              <w:pStyle w:val="13"/>
            </w:pPr>
            <w:r>
              <w:t>县委县政府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氨氮指标</w:t>
            </w:r>
          </w:p>
        </w:tc>
        <w:tc>
          <w:tcPr>
            <w:tcW w:w="2891" w:type="dxa"/>
            <w:vAlign w:val="center"/>
          </w:tcPr>
          <w:p>
            <w:pPr>
              <w:pStyle w:val="13"/>
            </w:pPr>
            <w:r>
              <w:t>氨氮指标</w:t>
            </w:r>
          </w:p>
        </w:tc>
        <w:tc>
          <w:tcPr>
            <w:tcW w:w="1276" w:type="dxa"/>
            <w:vAlign w:val="center"/>
          </w:tcPr>
          <w:p>
            <w:pPr>
              <w:pStyle w:val="13"/>
            </w:pPr>
            <w:r>
              <w:t xml:space="preserve">≤2mg/l </w:t>
            </w:r>
          </w:p>
        </w:tc>
        <w:tc>
          <w:tcPr>
            <w:tcW w:w="1843" w:type="dxa"/>
            <w:vAlign w:val="center"/>
          </w:tcPr>
          <w:p>
            <w:pPr>
              <w:pStyle w:val="13"/>
            </w:pPr>
            <w:r>
              <w:t>县委县政府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总磷指标</w:t>
            </w:r>
          </w:p>
        </w:tc>
        <w:tc>
          <w:tcPr>
            <w:tcW w:w="2891" w:type="dxa"/>
            <w:vAlign w:val="center"/>
          </w:tcPr>
          <w:p>
            <w:pPr>
              <w:pStyle w:val="13"/>
            </w:pPr>
            <w:r>
              <w:t>总磷指标</w:t>
            </w:r>
          </w:p>
        </w:tc>
        <w:tc>
          <w:tcPr>
            <w:tcW w:w="1276" w:type="dxa"/>
            <w:vAlign w:val="center"/>
          </w:tcPr>
          <w:p>
            <w:pPr>
              <w:pStyle w:val="13"/>
            </w:pPr>
            <w:r>
              <w:t xml:space="preserve">≤0.4mg/l </w:t>
            </w:r>
          </w:p>
        </w:tc>
        <w:tc>
          <w:tcPr>
            <w:tcW w:w="1843" w:type="dxa"/>
            <w:vAlign w:val="center"/>
          </w:tcPr>
          <w:p>
            <w:pPr>
              <w:pStyle w:val="13"/>
            </w:pPr>
            <w:r>
              <w:t>县委县政府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完成时效</w:t>
            </w:r>
          </w:p>
        </w:tc>
        <w:tc>
          <w:tcPr>
            <w:tcW w:w="2891" w:type="dxa"/>
            <w:vAlign w:val="center"/>
          </w:tcPr>
          <w:p>
            <w:pPr>
              <w:pStyle w:val="13"/>
            </w:pPr>
            <w:r>
              <w:t>完成时效</w:t>
            </w:r>
          </w:p>
        </w:tc>
        <w:tc>
          <w:tcPr>
            <w:tcW w:w="1276" w:type="dxa"/>
            <w:vAlign w:val="center"/>
          </w:tcPr>
          <w:p>
            <w:pPr>
              <w:pStyle w:val="13"/>
            </w:pPr>
            <w:r>
              <w:t>12月</w:t>
            </w:r>
          </w:p>
        </w:tc>
        <w:tc>
          <w:tcPr>
            <w:tcW w:w="1843" w:type="dxa"/>
            <w:vAlign w:val="center"/>
          </w:tcPr>
          <w:p>
            <w:pPr>
              <w:pStyle w:val="13"/>
            </w:pPr>
            <w:r>
              <w:t>县委县政府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花费成本</w:t>
            </w:r>
          </w:p>
        </w:tc>
        <w:tc>
          <w:tcPr>
            <w:tcW w:w="2891" w:type="dxa"/>
            <w:vAlign w:val="center"/>
          </w:tcPr>
          <w:p>
            <w:pPr>
              <w:pStyle w:val="13"/>
            </w:pPr>
            <w:r>
              <w:t>花费成本</w:t>
            </w:r>
          </w:p>
        </w:tc>
        <w:tc>
          <w:tcPr>
            <w:tcW w:w="1276" w:type="dxa"/>
            <w:vAlign w:val="center"/>
          </w:tcPr>
          <w:p>
            <w:pPr>
              <w:pStyle w:val="13"/>
            </w:pPr>
            <w:r>
              <w:t>400万元</w:t>
            </w:r>
          </w:p>
        </w:tc>
        <w:tc>
          <w:tcPr>
            <w:tcW w:w="1843" w:type="dxa"/>
            <w:vAlign w:val="center"/>
          </w:tcPr>
          <w:p>
            <w:pPr>
              <w:pStyle w:val="13"/>
            </w:pPr>
            <w:r>
              <w:t>县委县政府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县域绿色发展水平</w:t>
            </w:r>
          </w:p>
        </w:tc>
        <w:tc>
          <w:tcPr>
            <w:tcW w:w="2891" w:type="dxa"/>
            <w:vAlign w:val="center"/>
          </w:tcPr>
          <w:p>
            <w:pPr>
              <w:pStyle w:val="13"/>
            </w:pPr>
            <w:r>
              <w:t>县域绿色发展水平</w:t>
            </w:r>
          </w:p>
        </w:tc>
        <w:tc>
          <w:tcPr>
            <w:tcW w:w="1276" w:type="dxa"/>
            <w:vAlign w:val="center"/>
          </w:tcPr>
          <w:p>
            <w:pPr>
              <w:pStyle w:val="13"/>
            </w:pPr>
            <w:r>
              <w:t>有所提高</w:t>
            </w:r>
          </w:p>
        </w:tc>
        <w:tc>
          <w:tcPr>
            <w:tcW w:w="1843" w:type="dxa"/>
            <w:vAlign w:val="center"/>
          </w:tcPr>
          <w:p>
            <w:pPr>
              <w:pStyle w:val="13"/>
            </w:pPr>
            <w:r>
              <w:t>县委县政府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环保生态指标</w:t>
            </w:r>
          </w:p>
        </w:tc>
        <w:tc>
          <w:tcPr>
            <w:tcW w:w="2891" w:type="dxa"/>
            <w:vAlign w:val="center"/>
          </w:tcPr>
          <w:p>
            <w:pPr>
              <w:pStyle w:val="13"/>
            </w:pPr>
            <w:r>
              <w:t>环保生态指标</w:t>
            </w:r>
          </w:p>
        </w:tc>
        <w:tc>
          <w:tcPr>
            <w:tcW w:w="1276" w:type="dxa"/>
            <w:vAlign w:val="center"/>
          </w:tcPr>
          <w:p>
            <w:pPr>
              <w:pStyle w:val="13"/>
            </w:pPr>
            <w:r>
              <w:t>有所提高</w:t>
            </w:r>
          </w:p>
        </w:tc>
        <w:tc>
          <w:tcPr>
            <w:tcW w:w="1843" w:type="dxa"/>
            <w:vAlign w:val="center"/>
          </w:tcPr>
          <w:p>
            <w:pPr>
              <w:pStyle w:val="13"/>
            </w:pPr>
            <w:r>
              <w:t>县委县政府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11.综合调研和参谋运转经费绩效目标表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434001乐亭县人民政府办公室本级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13022524P00F04E10034K</w:t>
            </w:r>
          </w:p>
        </w:tc>
        <w:tc>
          <w:tcPr>
            <w:tcW w:w="1587" w:type="dxa"/>
            <w:vAlign w:val="center"/>
          </w:tcPr>
          <w:p>
            <w:pPr>
              <w:pStyle w:val="14"/>
            </w:pPr>
            <w:r>
              <w:t>项目名称</w:t>
            </w:r>
          </w:p>
        </w:tc>
        <w:tc>
          <w:tcPr>
            <w:tcW w:w="4422" w:type="dxa"/>
            <w:gridSpan w:val="3"/>
            <w:vAlign w:val="center"/>
          </w:tcPr>
          <w:p>
            <w:pPr>
              <w:pStyle w:val="13"/>
            </w:pPr>
            <w:r>
              <w:t>综合调研和参谋运转经费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w:t>
            </w:r>
          </w:p>
        </w:tc>
        <w:tc>
          <w:tcPr>
            <w:tcW w:w="1587" w:type="dxa"/>
            <w:vAlign w:val="center"/>
          </w:tcPr>
          <w:p>
            <w:pPr>
              <w:pStyle w:val="14"/>
            </w:pPr>
            <w:r>
              <w:t>其中：财政    资金</w:t>
            </w:r>
          </w:p>
        </w:tc>
        <w:tc>
          <w:tcPr>
            <w:tcW w:w="1304" w:type="dxa"/>
            <w:vAlign w:val="center"/>
          </w:tcPr>
          <w:p>
            <w:pPr>
              <w:pStyle w:val="13"/>
            </w:pPr>
            <w:r>
              <w:t>140.00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综合调研和参谋运转经费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1.用于围绕县政府总体工作部署开展综合调研，收集和处理信息、反映动态；督导检查县政府重要工作部署贯彻落实情况，传达和催办上级领导和县政府领导批示精神。</w:t>
            </w:r>
          </w:p>
          <w:p>
            <w:pPr>
              <w:pStyle w:val="13"/>
            </w:pPr>
            <w:r>
              <w:t>2.承接重要客商接待工作等。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开展综合调研次数</w:t>
            </w:r>
          </w:p>
        </w:tc>
        <w:tc>
          <w:tcPr>
            <w:tcW w:w="2891" w:type="dxa"/>
            <w:vAlign w:val="center"/>
          </w:tcPr>
          <w:p>
            <w:pPr>
              <w:pStyle w:val="13"/>
            </w:pPr>
            <w:r>
              <w:t>开展综合调研次数</w:t>
            </w:r>
          </w:p>
        </w:tc>
        <w:tc>
          <w:tcPr>
            <w:tcW w:w="1276" w:type="dxa"/>
            <w:vAlign w:val="center"/>
          </w:tcPr>
          <w:p>
            <w:pPr>
              <w:pStyle w:val="13"/>
            </w:pPr>
            <w:r>
              <w:t>6次</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承接重要客商次数</w:t>
            </w:r>
          </w:p>
        </w:tc>
        <w:tc>
          <w:tcPr>
            <w:tcW w:w="2891" w:type="dxa"/>
            <w:vAlign w:val="center"/>
          </w:tcPr>
          <w:p>
            <w:pPr>
              <w:pStyle w:val="13"/>
            </w:pPr>
            <w:r>
              <w:t>承接重要客商次数</w:t>
            </w:r>
          </w:p>
        </w:tc>
        <w:tc>
          <w:tcPr>
            <w:tcW w:w="1276" w:type="dxa"/>
            <w:vAlign w:val="center"/>
          </w:tcPr>
          <w:p>
            <w:pPr>
              <w:pStyle w:val="13"/>
            </w:pPr>
            <w:r>
              <w:t>按工作要求完成</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督导、检查次数</w:t>
            </w:r>
          </w:p>
        </w:tc>
        <w:tc>
          <w:tcPr>
            <w:tcW w:w="2891" w:type="dxa"/>
            <w:vAlign w:val="center"/>
          </w:tcPr>
          <w:p>
            <w:pPr>
              <w:pStyle w:val="13"/>
            </w:pPr>
            <w:r>
              <w:t>督导、检查次数</w:t>
            </w:r>
          </w:p>
        </w:tc>
        <w:tc>
          <w:tcPr>
            <w:tcW w:w="1276" w:type="dxa"/>
            <w:vAlign w:val="center"/>
          </w:tcPr>
          <w:p>
            <w:pPr>
              <w:pStyle w:val="13"/>
            </w:pPr>
            <w:r>
              <w:t>按工作要求完成</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会议效果良好率</w:t>
            </w:r>
          </w:p>
        </w:tc>
        <w:tc>
          <w:tcPr>
            <w:tcW w:w="2891" w:type="dxa"/>
            <w:vAlign w:val="center"/>
          </w:tcPr>
          <w:p>
            <w:pPr>
              <w:pStyle w:val="13"/>
            </w:pPr>
            <w:r>
              <w:t>会议效果良好率</w:t>
            </w:r>
          </w:p>
        </w:tc>
        <w:tc>
          <w:tcPr>
            <w:tcW w:w="1276" w:type="dxa"/>
            <w:vAlign w:val="center"/>
          </w:tcPr>
          <w:p>
            <w:pPr>
              <w:pStyle w:val="13"/>
            </w:pPr>
            <w:r>
              <w:t>&gt;90%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社会科学规划研究及时性</w:t>
            </w:r>
          </w:p>
        </w:tc>
        <w:tc>
          <w:tcPr>
            <w:tcW w:w="2891" w:type="dxa"/>
            <w:vAlign w:val="center"/>
          </w:tcPr>
          <w:p>
            <w:pPr>
              <w:pStyle w:val="13"/>
            </w:pPr>
            <w:r>
              <w:t>社会科学规划研究及时性</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按期完成率</w:t>
            </w:r>
          </w:p>
        </w:tc>
        <w:tc>
          <w:tcPr>
            <w:tcW w:w="2891" w:type="dxa"/>
            <w:vAlign w:val="center"/>
          </w:tcPr>
          <w:p>
            <w:pPr>
              <w:pStyle w:val="13"/>
            </w:pPr>
            <w:r>
              <w:t>按期完成率</w:t>
            </w:r>
          </w:p>
        </w:tc>
        <w:tc>
          <w:tcPr>
            <w:tcW w:w="1276" w:type="dxa"/>
            <w:vAlign w:val="center"/>
          </w:tcPr>
          <w:p>
            <w:pPr>
              <w:pStyle w:val="13"/>
            </w:pPr>
            <w:r>
              <w:t>100%</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花费成本</w:t>
            </w:r>
            <w:r>
              <w:tab/>
            </w:r>
          </w:p>
          <w:p>
            <w:pPr>
              <w:pStyle w:val="13"/>
            </w:pPr>
          </w:p>
        </w:tc>
        <w:tc>
          <w:tcPr>
            <w:tcW w:w="2891" w:type="dxa"/>
            <w:vAlign w:val="center"/>
          </w:tcPr>
          <w:p>
            <w:pPr>
              <w:pStyle w:val="13"/>
            </w:pPr>
            <w:r>
              <w:t>花费成本</w:t>
            </w:r>
            <w:r>
              <w:tab/>
            </w:r>
          </w:p>
          <w:p>
            <w:pPr>
              <w:pStyle w:val="13"/>
            </w:pPr>
          </w:p>
        </w:tc>
        <w:tc>
          <w:tcPr>
            <w:tcW w:w="1276" w:type="dxa"/>
            <w:vAlign w:val="center"/>
          </w:tcPr>
          <w:p>
            <w:pPr>
              <w:pStyle w:val="13"/>
            </w:pPr>
            <w:r>
              <w:t>140万元</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县政府工作落实率</w:t>
            </w:r>
          </w:p>
        </w:tc>
        <w:tc>
          <w:tcPr>
            <w:tcW w:w="2891" w:type="dxa"/>
            <w:vAlign w:val="center"/>
          </w:tcPr>
          <w:p>
            <w:pPr>
              <w:pStyle w:val="13"/>
            </w:pPr>
            <w:r>
              <w:t>县政府工作落实率</w:t>
            </w:r>
          </w:p>
        </w:tc>
        <w:tc>
          <w:tcPr>
            <w:tcW w:w="1276" w:type="dxa"/>
            <w:vAlign w:val="center"/>
          </w:tcPr>
          <w:p>
            <w:pPr>
              <w:pStyle w:val="13"/>
            </w:pPr>
            <w:r>
              <w:t>有所提高</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县域经济效益</w:t>
            </w:r>
          </w:p>
        </w:tc>
        <w:tc>
          <w:tcPr>
            <w:tcW w:w="2891" w:type="dxa"/>
            <w:vAlign w:val="center"/>
          </w:tcPr>
          <w:p>
            <w:pPr>
              <w:pStyle w:val="13"/>
            </w:pPr>
            <w:r>
              <w:t>县域经济效益</w:t>
            </w:r>
          </w:p>
        </w:tc>
        <w:tc>
          <w:tcPr>
            <w:tcW w:w="1276" w:type="dxa"/>
            <w:vAlign w:val="center"/>
          </w:tcPr>
          <w:p>
            <w:pPr>
              <w:pStyle w:val="13"/>
            </w:pPr>
            <w:r>
              <w:t>有所提高</w:t>
            </w:r>
          </w:p>
        </w:tc>
        <w:tc>
          <w:tcPr>
            <w:tcW w:w="1843" w:type="dxa"/>
            <w:vAlign w:val="center"/>
          </w:tcPr>
          <w:p>
            <w:pPr>
              <w:pStyle w:val="13"/>
            </w:pPr>
            <w:r>
              <w:t>县委县政府决定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县委县政府决定</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F3"/>
    <w:rsid w:val="000C44F3"/>
    <w:rsid w:val="00207B94"/>
    <w:rsid w:val="00446D74"/>
    <w:rsid w:val="00730469"/>
    <w:rsid w:val="00BF1BAE"/>
    <w:rsid w:val="00D3395E"/>
    <w:rsid w:val="2162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2024-02-04T09:34:04Z</dcterms:created>
  <dcterms:modified xsi:type="dcterms:W3CDTF">2024-02-04T01:34:04Z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2024-02-04T09:34:05Z</dcterms:created>
  <dcterms:modified xsi:type="dcterms:W3CDTF">2024-02-04T01:34:05Z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2024-02-04T09:34:06Z</dcterms:created>
  <dcterms:modified xsi:type="dcterms:W3CDTF">2024-02-04T01:34:06Z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2024-02-04T09:34:03Z</dcterms:created>
  <dcterms:modified xsi:type="dcterms:W3CDTF">2024-02-04T01:34:03Z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2024-02-04T09:34:05Z</dcterms:created>
  <dcterms:modified xsi:type="dcterms:W3CDTF">2024-02-04T01:34:05Z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2024-02-04T09:34:03Z</dcterms:created>
  <dcterms:modified xsi:type="dcterms:W3CDTF">2024-02-04T01:34:03Z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2024-02-04T09:34:03Z</dcterms:created>
  <dcterms:modified xsi:type="dcterms:W3CDTF">2024-02-04T01:34:03Z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2024-02-04T09:34:04Z</dcterms:created>
  <dcterms:modified xsi:type="dcterms:W3CDTF">2024-02-04T01:34:04Z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2024-02-04T09:34:03Z</dcterms:created>
  <dcterms:modified xsi:type="dcterms:W3CDTF">2024-02-04T01:34:03Z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2024-02-04T09:34:05Z</dcterms:created>
  <dcterms:modified xsi:type="dcterms:W3CDTF">2024-02-04T01:34:05Z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2024-02-04T09:34:06Z</dcterms:created>
  <dcterms:modified xsi:type="dcterms:W3CDTF">2024-02-04T01:34:06Z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2024-02-04T09:34:04Z</dcterms:created>
  <dcterms:modified xsi:type="dcterms:W3CDTF">2024-02-04T01:34:04Z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2024-02-04T09:34:06Z</dcterms:created>
  <dcterms:modified xsi:type="dcterms:W3CDTF">2024-02-04T01:34:06Z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D3FD23-1A07-4F64-880C-CC99D3B6BB87}">
  <ds:schemaRefs/>
</ds:datastoreItem>
</file>

<file path=customXml/itemProps10.xml><?xml version="1.0" encoding="utf-8"?>
<ds:datastoreItem xmlns:ds="http://schemas.openxmlformats.org/officeDocument/2006/customXml" ds:itemID="{5C75A3BB-74DC-4AB0-9F10-82F04194A77C}">
  <ds:schemaRefs/>
</ds:datastoreItem>
</file>

<file path=customXml/itemProps11.xml><?xml version="1.0" encoding="utf-8"?>
<ds:datastoreItem xmlns:ds="http://schemas.openxmlformats.org/officeDocument/2006/customXml" ds:itemID="{72CD7629-9D3E-471B-89D3-A9A6605D1217}">
  <ds:schemaRefs/>
</ds:datastoreItem>
</file>

<file path=customXml/itemProps12.xml><?xml version="1.0" encoding="utf-8"?>
<ds:datastoreItem xmlns:ds="http://schemas.openxmlformats.org/officeDocument/2006/customXml" ds:itemID="{019DD060-E123-4EDC-B862-7D3F576A449F}">
  <ds:schemaRefs/>
</ds:datastoreItem>
</file>

<file path=customXml/itemProps13.xml><?xml version="1.0" encoding="utf-8"?>
<ds:datastoreItem xmlns:ds="http://schemas.openxmlformats.org/officeDocument/2006/customXml" ds:itemID="{4EE94511-BB21-4A07-ADD9-57D7E10F55F1}">
  <ds:schemaRefs/>
</ds:datastoreItem>
</file>

<file path=customXml/itemProps14.xml><?xml version="1.0" encoding="utf-8"?>
<ds:datastoreItem xmlns:ds="http://schemas.openxmlformats.org/officeDocument/2006/customXml" ds:itemID="{CD2A1BB5-0304-48C3-98A6-7119FA9CB1BD}">
  <ds:schemaRefs/>
</ds:datastoreItem>
</file>

<file path=customXml/itemProps15.xml><?xml version="1.0" encoding="utf-8"?>
<ds:datastoreItem xmlns:ds="http://schemas.openxmlformats.org/officeDocument/2006/customXml" ds:itemID="{CFAA508B-3FF6-4DDE-907E-6E62CC9DEF67}">
  <ds:schemaRefs/>
</ds:datastoreItem>
</file>

<file path=customXml/itemProps16.xml><?xml version="1.0" encoding="utf-8"?>
<ds:datastoreItem xmlns:ds="http://schemas.openxmlformats.org/officeDocument/2006/customXml" ds:itemID="{C437DCAD-385C-4D94-95C2-488DD6EB0E6C}">
  <ds:schemaRefs/>
</ds:datastoreItem>
</file>

<file path=customXml/itemProps17.xml><?xml version="1.0" encoding="utf-8"?>
<ds:datastoreItem xmlns:ds="http://schemas.openxmlformats.org/officeDocument/2006/customXml" ds:itemID="{E62E080C-A2DF-48F7-A8F9-E1FE2AD8665A}">
  <ds:schemaRefs/>
</ds:datastoreItem>
</file>

<file path=customXml/itemProps18.xml><?xml version="1.0" encoding="utf-8"?>
<ds:datastoreItem xmlns:ds="http://schemas.openxmlformats.org/officeDocument/2006/customXml" ds:itemID="{A2DA9575-5B7C-4A9C-B1A9-58E940D8DDE3}">
  <ds:schemaRefs/>
</ds:datastoreItem>
</file>

<file path=customXml/itemProps19.xml><?xml version="1.0" encoding="utf-8"?>
<ds:datastoreItem xmlns:ds="http://schemas.openxmlformats.org/officeDocument/2006/customXml" ds:itemID="{AF201097-B21B-4C52-9C21-9C40769E84A7}">
  <ds:schemaRefs/>
</ds:datastoreItem>
</file>

<file path=customXml/itemProps2.xml><?xml version="1.0" encoding="utf-8"?>
<ds:datastoreItem xmlns:ds="http://schemas.openxmlformats.org/officeDocument/2006/customXml" ds:itemID="{1AEFB1E6-7041-4989-A564-B363A456BE5A}">
  <ds:schemaRefs/>
</ds:datastoreItem>
</file>

<file path=customXml/itemProps20.xml><?xml version="1.0" encoding="utf-8"?>
<ds:datastoreItem xmlns:ds="http://schemas.openxmlformats.org/officeDocument/2006/customXml" ds:itemID="{D39B4B1D-6D74-4606-86DC-0DDD4F4F7BAF}">
  <ds:schemaRefs/>
</ds:datastoreItem>
</file>

<file path=customXml/itemProps21.xml><?xml version="1.0" encoding="utf-8"?>
<ds:datastoreItem xmlns:ds="http://schemas.openxmlformats.org/officeDocument/2006/customXml" ds:itemID="{2E7D90D2-86BF-4548-9D54-F15D58679528}">
  <ds:schemaRefs/>
</ds:datastoreItem>
</file>

<file path=customXml/itemProps22.xml><?xml version="1.0" encoding="utf-8"?>
<ds:datastoreItem xmlns:ds="http://schemas.openxmlformats.org/officeDocument/2006/customXml" ds:itemID="{4E7A98B7-3D86-40D9-833B-16F442A1B022}">
  <ds:schemaRefs/>
</ds:datastoreItem>
</file>

<file path=customXml/itemProps23.xml><?xml version="1.0" encoding="utf-8"?>
<ds:datastoreItem xmlns:ds="http://schemas.openxmlformats.org/officeDocument/2006/customXml" ds:itemID="{DEA6B7EB-4BF7-469D-8461-801422379DF1}">
  <ds:schemaRefs/>
</ds:datastoreItem>
</file>

<file path=customXml/itemProps24.xml><?xml version="1.0" encoding="utf-8"?>
<ds:datastoreItem xmlns:ds="http://schemas.openxmlformats.org/officeDocument/2006/customXml" ds:itemID="{1779EE80-2AEE-4445-9D88-956EB0AC3C0F}">
  <ds:schemaRefs/>
</ds:datastoreItem>
</file>

<file path=customXml/itemProps25.xml><?xml version="1.0" encoding="utf-8"?>
<ds:datastoreItem xmlns:ds="http://schemas.openxmlformats.org/officeDocument/2006/customXml" ds:itemID="{883C9B06-5843-44CC-9F93-BE16096D5982}">
  <ds:schemaRefs/>
</ds:datastoreItem>
</file>

<file path=customXml/itemProps26.xml><?xml version="1.0" encoding="utf-8"?>
<ds:datastoreItem xmlns:ds="http://schemas.openxmlformats.org/officeDocument/2006/customXml" ds:itemID="{1A5F7015-1CE4-4D8A-8ECC-B8D579C70DE6}">
  <ds:schemaRefs/>
</ds:datastoreItem>
</file>

<file path=customXml/itemProps3.xml><?xml version="1.0" encoding="utf-8"?>
<ds:datastoreItem xmlns:ds="http://schemas.openxmlformats.org/officeDocument/2006/customXml" ds:itemID="{1EC7EA23-D81B-4FA9-BC06-99D5008A058C}">
  <ds:schemaRefs/>
</ds:datastoreItem>
</file>

<file path=customXml/itemProps4.xml><?xml version="1.0" encoding="utf-8"?>
<ds:datastoreItem xmlns:ds="http://schemas.openxmlformats.org/officeDocument/2006/customXml" ds:itemID="{3E61A381-17FC-4DB7-83DC-CF4E982B065A}">
  <ds:schemaRefs/>
</ds:datastoreItem>
</file>

<file path=customXml/itemProps5.xml><?xml version="1.0" encoding="utf-8"?>
<ds:datastoreItem xmlns:ds="http://schemas.openxmlformats.org/officeDocument/2006/customXml" ds:itemID="{854DC52D-B5AF-4DE4-98A9-159A835D504A}">
  <ds:schemaRefs/>
</ds:datastoreItem>
</file>

<file path=customXml/itemProps6.xml><?xml version="1.0" encoding="utf-8"?>
<ds:datastoreItem xmlns:ds="http://schemas.openxmlformats.org/officeDocument/2006/customXml" ds:itemID="{31A7512A-8B87-4081-817B-E75E233A36F4}">
  <ds:schemaRefs/>
</ds:datastoreItem>
</file>

<file path=customXml/itemProps7.xml><?xml version="1.0" encoding="utf-8"?>
<ds:datastoreItem xmlns:ds="http://schemas.openxmlformats.org/officeDocument/2006/customXml" ds:itemID="{15C493E2-DD9B-4F85-9276-8F4C4C0F1224}">
  <ds:schemaRefs/>
</ds:datastoreItem>
</file>

<file path=customXml/itemProps8.xml><?xml version="1.0" encoding="utf-8"?>
<ds:datastoreItem xmlns:ds="http://schemas.openxmlformats.org/officeDocument/2006/customXml" ds:itemID="{7228E145-C4F1-47FE-8C98-653A0AE10990}">
  <ds:schemaRefs/>
</ds:datastoreItem>
</file>

<file path=customXml/itemProps9.xml><?xml version="1.0" encoding="utf-8"?>
<ds:datastoreItem xmlns:ds="http://schemas.openxmlformats.org/officeDocument/2006/customXml" ds:itemID="{36994F60-643E-465A-9D15-EF54EB6766A5}">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1732</Words>
  <Characters>9874</Characters>
  <Lines>82</Lines>
  <Paragraphs>23</Paragraphs>
  <TotalTime>320</TotalTime>
  <ScaleCrop>false</ScaleCrop>
  <LinksUpToDate>false</LinksUpToDate>
  <CharactersWithSpaces>11583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2024-02-04T01:33:00Z</dcterms:created>
  <dc:creator>Administrator</dc:creator>
  <cp:lastModifiedBy>Administrator</cp:lastModifiedBy>
  <dcterms:modified xsi:type="dcterms:W3CDTF">2024-03-28T06:53:18Z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56EE0B64534E471FAE510C64716F5609</vt:lpwstr>
  </property>
</Properties>
</file>