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313消防救援</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828.41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828.41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828.41</w:t>
            </w:r>
          </w:p>
        </w:tc>
        <w:tc>
          <w:tcPr>
            <w:tcW w:w="4535" w:type="dxa"/>
            <w:vAlign w:val="center"/>
          </w:tcPr>
          <w:p>
            <w:pPr>
              <w:pStyle w:val="14"/>
            </w:pPr>
            <w:r>
              <w:t>本年支出合计</w:t>
            </w:r>
          </w:p>
        </w:tc>
        <w:tc>
          <w:tcPr>
            <w:tcW w:w="2126" w:type="dxa"/>
            <w:vAlign w:val="center"/>
          </w:tcPr>
          <w:p>
            <w:pPr>
              <w:pStyle w:val="15"/>
            </w:pPr>
            <w:r>
              <w:t>828.41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828.41</w:t>
            </w:r>
          </w:p>
        </w:tc>
        <w:tc>
          <w:tcPr>
            <w:tcW w:w="4535" w:type="dxa"/>
            <w:vAlign w:val="center"/>
          </w:tcPr>
          <w:p>
            <w:pPr>
              <w:pStyle w:val="14"/>
            </w:pPr>
            <w:r>
              <w:t>支出总计</w:t>
            </w:r>
          </w:p>
        </w:tc>
        <w:tc>
          <w:tcPr>
            <w:tcW w:w="2126" w:type="dxa"/>
            <w:vAlign w:val="center"/>
          </w:tcPr>
          <w:p>
            <w:pPr>
              <w:pStyle w:val="15"/>
            </w:pPr>
            <w:r>
              <w:t>828.41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313消防救援</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828.41</w:t>
            </w:r>
          </w:p>
        </w:tc>
        <w:tc>
          <w:tcPr>
            <w:tcW w:w="1134" w:type="dxa"/>
            <w:vAlign w:val="center"/>
          </w:tcPr>
          <w:p>
            <w:pPr>
              <w:pStyle w:val="15"/>
            </w:pPr>
            <w:r>
              <w:t>828.41</w:t>
            </w:r>
          </w:p>
        </w:tc>
        <w:tc>
          <w:tcPr>
            <w:tcW w:w="1134" w:type="dxa"/>
            <w:vAlign w:val="center"/>
          </w:tcPr>
          <w:p>
            <w:pPr>
              <w:pStyle w:val="15"/>
            </w:pPr>
            <w:r>
              <w:t>828.41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r>
              <w:t>828.41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828.41</w:t>
            </w:r>
          </w:p>
        </w:tc>
        <w:tc>
          <w:tcPr>
            <w:tcW w:w="1361" w:type="dxa"/>
            <w:vAlign w:val="center"/>
          </w:tcPr>
          <w:p>
            <w:pPr>
              <w:pStyle w:val="15"/>
            </w:pPr>
            <w:r>
              <w:t>556.69</w:t>
            </w:r>
          </w:p>
        </w:tc>
        <w:tc>
          <w:tcPr>
            <w:tcW w:w="1361" w:type="dxa"/>
            <w:vAlign w:val="center"/>
          </w:tcPr>
          <w:p>
            <w:pPr>
              <w:pStyle w:val="15"/>
            </w:pPr>
            <w:r>
              <w:t>271.72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828.41</w:t>
            </w:r>
          </w:p>
        </w:tc>
        <w:tc>
          <w:tcPr>
            <w:tcW w:w="1361" w:type="dxa"/>
            <w:vAlign w:val="center"/>
          </w:tcPr>
          <w:p>
            <w:pPr>
              <w:pStyle w:val="11"/>
            </w:pPr>
            <w:r>
              <w:t>556.69</w:t>
            </w:r>
          </w:p>
        </w:tc>
        <w:tc>
          <w:tcPr>
            <w:tcW w:w="1361" w:type="dxa"/>
            <w:vAlign w:val="center"/>
          </w:tcPr>
          <w:p>
            <w:pPr>
              <w:pStyle w:val="11"/>
            </w:pPr>
            <w:r>
              <w:t>271.72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313消防救援</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828.41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ind w:right="105"/>
              <w:rPr>
                <w:rFonts w:hint="eastAsia" w:eastAsiaTheme="minorEastAsia"/>
                <w:lang w:eastAsia="zh-CN"/>
              </w:rPr>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828.41</w:t>
            </w:r>
          </w:p>
        </w:tc>
        <w:tc>
          <w:tcPr>
            <w:tcW w:w="1474" w:type="dxa"/>
            <w:vAlign w:val="center"/>
          </w:tcPr>
          <w:p>
            <w:pPr>
              <w:pStyle w:val="11"/>
            </w:pPr>
            <w:r>
              <w:t>828.41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828.41</w:t>
            </w:r>
          </w:p>
        </w:tc>
        <w:tc>
          <w:tcPr>
            <w:tcW w:w="3402" w:type="dxa"/>
            <w:vAlign w:val="center"/>
          </w:tcPr>
          <w:p>
            <w:pPr>
              <w:pStyle w:val="14"/>
            </w:pPr>
            <w:r>
              <w:t>本年支出合计</w:t>
            </w:r>
          </w:p>
        </w:tc>
        <w:tc>
          <w:tcPr>
            <w:tcW w:w="1474" w:type="dxa"/>
            <w:vAlign w:val="center"/>
          </w:tcPr>
          <w:p>
            <w:pPr>
              <w:pStyle w:val="15"/>
            </w:pPr>
            <w:r>
              <w:t>828.41</w:t>
            </w:r>
          </w:p>
        </w:tc>
        <w:tc>
          <w:tcPr>
            <w:tcW w:w="1474" w:type="dxa"/>
            <w:vAlign w:val="center"/>
          </w:tcPr>
          <w:p>
            <w:pPr>
              <w:pStyle w:val="15"/>
            </w:pPr>
            <w:r>
              <w:t>828.41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828.41</w:t>
            </w:r>
          </w:p>
        </w:tc>
        <w:tc>
          <w:tcPr>
            <w:tcW w:w="3402" w:type="dxa"/>
            <w:vAlign w:val="center"/>
          </w:tcPr>
          <w:p>
            <w:pPr>
              <w:pStyle w:val="14"/>
            </w:pPr>
            <w:r>
              <w:t>支出总计</w:t>
            </w:r>
          </w:p>
        </w:tc>
        <w:tc>
          <w:tcPr>
            <w:tcW w:w="1474" w:type="dxa"/>
            <w:vAlign w:val="center"/>
          </w:tcPr>
          <w:p>
            <w:pPr>
              <w:pStyle w:val="15"/>
            </w:pPr>
            <w:r>
              <w:t>828.41</w:t>
            </w:r>
          </w:p>
        </w:tc>
        <w:tc>
          <w:tcPr>
            <w:tcW w:w="1474" w:type="dxa"/>
            <w:vAlign w:val="center"/>
          </w:tcPr>
          <w:p>
            <w:pPr>
              <w:pStyle w:val="15"/>
            </w:pPr>
            <w:r>
              <w:t>828.41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828.41</w:t>
            </w:r>
          </w:p>
        </w:tc>
        <w:tc>
          <w:tcPr>
            <w:tcW w:w="2551" w:type="dxa"/>
            <w:vAlign w:val="center"/>
          </w:tcPr>
          <w:p>
            <w:pPr>
              <w:pStyle w:val="15"/>
            </w:pPr>
            <w:r>
              <w:t>556.69</w:t>
            </w:r>
          </w:p>
        </w:tc>
        <w:tc>
          <w:tcPr>
            <w:tcW w:w="2551" w:type="dxa"/>
            <w:vAlign w:val="center"/>
          </w:tcPr>
          <w:p>
            <w:pPr>
              <w:pStyle w:val="15"/>
            </w:pPr>
            <w:r>
              <w:t>271.72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828.41</w:t>
            </w:r>
          </w:p>
        </w:tc>
        <w:tc>
          <w:tcPr>
            <w:tcW w:w="2551" w:type="dxa"/>
            <w:vAlign w:val="center"/>
          </w:tcPr>
          <w:p>
            <w:pPr>
              <w:pStyle w:val="11"/>
            </w:pPr>
            <w:r>
              <w:t>556.69</w:t>
            </w:r>
          </w:p>
        </w:tc>
        <w:tc>
          <w:tcPr>
            <w:tcW w:w="2551" w:type="dxa"/>
            <w:vAlign w:val="center"/>
          </w:tcPr>
          <w:p>
            <w:pPr>
              <w:pStyle w:val="11"/>
            </w:pPr>
            <w:r>
              <w:t>271.72</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556.69</w:t>
            </w:r>
          </w:p>
        </w:tc>
        <w:tc>
          <w:tcPr>
            <w:tcW w:w="2551" w:type="dxa"/>
            <w:vAlign w:val="center"/>
          </w:tcPr>
          <w:p>
            <w:pPr>
              <w:pStyle w:val="15"/>
            </w:pPr>
            <w:r>
              <w:t>317.50</w:t>
            </w:r>
          </w:p>
        </w:tc>
        <w:tc>
          <w:tcPr>
            <w:tcW w:w="2551" w:type="dxa"/>
            <w:vAlign w:val="center"/>
          </w:tcPr>
          <w:p>
            <w:pPr>
              <w:pStyle w:val="15"/>
            </w:pPr>
            <w:r>
              <w:t>239.19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317.50</w:t>
            </w:r>
          </w:p>
        </w:tc>
        <w:tc>
          <w:tcPr>
            <w:tcW w:w="2551" w:type="dxa"/>
            <w:vAlign w:val="center"/>
          </w:tcPr>
          <w:p>
            <w:pPr>
              <w:pStyle w:val="11"/>
            </w:pPr>
            <w:r>
              <w:t>317.50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183.74</w:t>
            </w:r>
          </w:p>
        </w:tc>
        <w:tc>
          <w:tcPr>
            <w:tcW w:w="2551" w:type="dxa"/>
            <w:vAlign w:val="center"/>
          </w:tcPr>
          <w:p>
            <w:pPr>
              <w:pStyle w:val="11"/>
            </w:pPr>
            <w:r>
              <w:t>183.74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30114</w:t>
            </w:r>
          </w:p>
        </w:tc>
        <w:tc>
          <w:tcPr>
            <w:tcW w:w="4535" w:type="dxa"/>
            <w:vAlign w:val="center"/>
          </w:tcPr>
          <w:p>
            <w:pPr>
              <w:pStyle w:val="12"/>
            </w:pPr>
            <w:r>
              <w:t>医疗费</w:t>
            </w:r>
          </w:p>
        </w:tc>
        <w:tc>
          <w:tcPr>
            <w:tcW w:w="2551" w:type="dxa"/>
            <w:vAlign w:val="center"/>
          </w:tcPr>
          <w:p>
            <w:pPr>
              <w:pStyle w:val="11"/>
            </w:pPr>
            <w:r>
              <w:t>14.96</w:t>
            </w:r>
          </w:p>
        </w:tc>
        <w:tc>
          <w:tcPr>
            <w:tcW w:w="2551" w:type="dxa"/>
            <w:vAlign w:val="center"/>
          </w:tcPr>
          <w:p>
            <w:pPr>
              <w:pStyle w:val="11"/>
            </w:pPr>
            <w:r>
              <w:t>14.96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118.80</w:t>
            </w:r>
          </w:p>
        </w:tc>
        <w:tc>
          <w:tcPr>
            <w:tcW w:w="2551" w:type="dxa"/>
            <w:vAlign w:val="center"/>
          </w:tcPr>
          <w:p>
            <w:pPr>
              <w:pStyle w:val="11"/>
            </w:pPr>
            <w:r>
              <w:t>118.80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239.19</w:t>
            </w:r>
          </w:p>
        </w:tc>
        <w:tc>
          <w:tcPr>
            <w:tcW w:w="2551" w:type="dxa"/>
            <w:vAlign w:val="center"/>
          </w:tcPr>
          <w:p>
            <w:pPr>
              <w:pStyle w:val="11"/>
            </w:pPr>
          </w:p>
        </w:tc>
        <w:tc>
          <w:tcPr>
            <w:tcW w:w="2551" w:type="dxa"/>
            <w:vAlign w:val="center"/>
          </w:tcPr>
          <w:p>
            <w:pPr>
              <w:pStyle w:val="11"/>
            </w:pPr>
            <w:r>
              <w:t>239.19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34.01</w:t>
            </w:r>
          </w:p>
        </w:tc>
        <w:tc>
          <w:tcPr>
            <w:tcW w:w="2551" w:type="dxa"/>
            <w:vAlign w:val="center"/>
          </w:tcPr>
          <w:p>
            <w:pPr>
              <w:pStyle w:val="11"/>
            </w:pPr>
          </w:p>
        </w:tc>
        <w:tc>
          <w:tcPr>
            <w:tcW w:w="2551" w:type="dxa"/>
            <w:vAlign w:val="center"/>
          </w:tcPr>
          <w:p>
            <w:pPr>
              <w:pStyle w:val="11"/>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1.43</w:t>
            </w:r>
          </w:p>
        </w:tc>
        <w:tc>
          <w:tcPr>
            <w:tcW w:w="2551" w:type="dxa"/>
            <w:vAlign w:val="center"/>
          </w:tcPr>
          <w:p>
            <w:pPr>
              <w:pStyle w:val="11"/>
            </w:pPr>
          </w:p>
        </w:tc>
        <w:tc>
          <w:tcPr>
            <w:tcW w:w="2551" w:type="dxa"/>
            <w:vAlign w:val="center"/>
          </w:tcPr>
          <w:p>
            <w:pPr>
              <w:pStyle w:val="11"/>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4.12</w:t>
            </w:r>
          </w:p>
        </w:tc>
        <w:tc>
          <w:tcPr>
            <w:tcW w:w="2551" w:type="dxa"/>
            <w:vAlign w:val="center"/>
          </w:tcPr>
          <w:p>
            <w:pPr>
              <w:pStyle w:val="11"/>
            </w:pPr>
          </w:p>
        </w:tc>
        <w:tc>
          <w:tcPr>
            <w:tcW w:w="2551" w:type="dxa"/>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39.60</w:t>
            </w:r>
          </w:p>
        </w:tc>
        <w:tc>
          <w:tcPr>
            <w:tcW w:w="2551" w:type="dxa"/>
            <w:vAlign w:val="center"/>
          </w:tcPr>
          <w:p>
            <w:pPr>
              <w:pStyle w:val="11"/>
            </w:pPr>
          </w:p>
        </w:tc>
        <w:tc>
          <w:tcPr>
            <w:tcW w:w="2551" w:type="dxa"/>
            <w:vAlign w:val="center"/>
          </w:tcPr>
          <w:p>
            <w:pPr>
              <w:pStyle w:val="11"/>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8.55</w:t>
            </w:r>
          </w:p>
        </w:tc>
        <w:tc>
          <w:tcPr>
            <w:tcW w:w="2551" w:type="dxa"/>
            <w:vAlign w:val="center"/>
          </w:tcPr>
          <w:p>
            <w:pPr>
              <w:pStyle w:val="11"/>
            </w:pPr>
          </w:p>
        </w:tc>
        <w:tc>
          <w:tcPr>
            <w:tcW w:w="2551" w:type="dxa"/>
            <w:vAlign w:val="center"/>
          </w:tcPr>
          <w:p>
            <w:pPr>
              <w:pStyle w:val="11"/>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5.70</w:t>
            </w:r>
          </w:p>
        </w:tc>
        <w:tc>
          <w:tcPr>
            <w:tcW w:w="2551" w:type="dxa"/>
            <w:vAlign w:val="center"/>
          </w:tcPr>
          <w:p>
            <w:pPr>
              <w:pStyle w:val="11"/>
            </w:pPr>
          </w:p>
        </w:tc>
        <w:tc>
          <w:tcPr>
            <w:tcW w:w="2551" w:type="dxa"/>
            <w:vAlign w:val="center"/>
          </w:tcPr>
          <w:p>
            <w:pPr>
              <w:pStyle w:val="11"/>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rPr>
                <w:rFonts w:hint="eastAsia" w:eastAsiaTheme="minorEastAsia"/>
                <w:lang w:eastAsia="zh-CN"/>
              </w:rPr>
            </w:pPr>
            <w:r>
              <w:t>302</w:t>
            </w:r>
            <w:r>
              <w:rPr>
                <w:rFonts w:hint="eastAsia" w:eastAsiaTheme="minorEastAsia"/>
                <w:lang w:eastAsia="zh-CN"/>
              </w:rPr>
              <w:t>25</w:t>
            </w:r>
          </w:p>
        </w:tc>
        <w:tc>
          <w:tcPr>
            <w:tcW w:w="4535" w:type="dxa"/>
            <w:vAlign w:val="center"/>
          </w:tcPr>
          <w:p>
            <w:pPr>
              <w:pStyle w:val="12"/>
              <w:rPr>
                <w:rFonts w:hint="eastAsia" w:eastAsiaTheme="minorEastAsia"/>
                <w:lang w:eastAsia="zh-CN"/>
              </w:rPr>
            </w:pPr>
            <w:r>
              <w:rPr>
                <w:rFonts w:hint="eastAsia" w:eastAsiaTheme="minorEastAsia"/>
                <w:lang w:eastAsia="zh-CN"/>
              </w:rPr>
              <w:t>专用燃料费及维修费</w:t>
            </w:r>
          </w:p>
        </w:tc>
        <w:tc>
          <w:tcPr>
            <w:tcW w:w="2551" w:type="dxa"/>
            <w:vAlign w:val="center"/>
          </w:tcPr>
          <w:p>
            <w:pPr>
              <w:pStyle w:val="11"/>
            </w:pPr>
            <w:r>
              <w:t>138.92</w:t>
            </w:r>
          </w:p>
        </w:tc>
        <w:tc>
          <w:tcPr>
            <w:tcW w:w="2551" w:type="dxa"/>
            <w:vAlign w:val="center"/>
          </w:tcPr>
          <w:p>
            <w:pPr>
              <w:pStyle w:val="11"/>
            </w:pPr>
          </w:p>
        </w:tc>
        <w:tc>
          <w:tcPr>
            <w:tcW w:w="2551" w:type="dxa"/>
            <w:vAlign w:val="center"/>
          </w:tcPr>
          <w:p>
            <w:pPr>
              <w:pStyle w:val="11"/>
            </w:pPr>
            <w:r>
              <w:t>138.92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313消防救援</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rPr>
                <w:rFonts w:hint="eastAsia" w:eastAsiaTheme="minorEastAsia"/>
                <w:lang w:eastAsia="zh-CN"/>
              </w:rPr>
            </w:pPr>
            <w:r>
              <w:rPr>
                <w:rFonts w:hint="eastAsia" w:eastAsiaTheme="minorEastAsia"/>
                <w:lang w:eastAsia="zh-CN"/>
              </w:rPr>
              <w:t>0</w:t>
            </w:r>
          </w:p>
        </w:tc>
        <w:tc>
          <w:tcPr>
            <w:tcW w:w="2381" w:type="dxa"/>
            <w:vAlign w:val="center"/>
          </w:tcPr>
          <w:p>
            <w:pPr>
              <w:pStyle w:val="11"/>
              <w:rPr>
                <w:rFonts w:hint="eastAsia" w:eastAsiaTheme="minorEastAsia"/>
                <w:lang w:eastAsia="zh-CN"/>
              </w:rPr>
            </w:pPr>
            <w:r>
              <w:rPr>
                <w:rFonts w:hint="eastAsia" w:eastAsiaTheme="minorEastAsia"/>
                <w:lang w:eastAsia="zh-CN"/>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注：无“三公”经费预算财政拨款预算，空表列示。</w:t>
      </w:r>
    </w:p>
    <w:p>
      <w:pPr>
        <w:jc w:val="center"/>
        <w:outlineLvl w:val="0"/>
        <w:rPr>
          <w:rFonts w:eastAsiaTheme="minorEastAsia"/>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消防救援2022年部门预算信息公开情况</w:t>
      </w:r>
    </w:p>
    <w:p>
      <w:pPr>
        <w:jc w:val="center"/>
      </w:pPr>
      <w:r>
        <w:rPr>
          <w:rFonts w:ascii="方正小标宋_GBK" w:hAnsi="方正小标宋_GBK" w:eastAsia="方正小标宋_GBK" w:cs="方正小标宋_GBK"/>
          <w:color w:val="000000"/>
          <w:sz w:val="44"/>
        </w:rPr>
        <w:t>消防救援2022年部门预算信息公开情况说明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eastAsia="方正仿宋_GBK"/>
          <w:color w:val="000000"/>
          <w:sz w:val="28"/>
        </w:rPr>
        <w:t>预算法》、《地方预决算公开操作规程》和《关于进一步推进预算公开工作的实施意见》规定，现将消防救援2022年部门预算公开如下：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消防救援大队部门职责</w:t>
      </w:r>
    </w:p>
    <w:p>
      <w:pPr>
        <w:pStyle w:val="17"/>
      </w:pPr>
      <w:r>
        <w:t>逐步形成“政府统一领导、部门依法监管、单位全面负责、公民积极参与”的社会化防控火灾网络，全县火灾数量和造成的损失得到有效控制，为全县经济社会发展和广大人民群众营造安居乐业、安全、和谐、稳定的消防安全环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乐亭县消防救援大队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按照预算管理有关规定，目前我省部门预算的编制实行综合预算管理，即全部收入和支出都反映在预算中。消防救援机关及所属事业单位的收支包含在部门预算中。</w:t>
      </w:r>
    </w:p>
    <w:p>
      <w:pPr>
        <w:pStyle w:val="18"/>
      </w:pPr>
      <w:r>
        <w:t>2022年预算安排总体情况</w:t>
      </w:r>
    </w:p>
    <w:p>
      <w:pPr>
        <w:pStyle w:val="18"/>
        <w:rPr>
          <w:rFonts w:hint="default" w:eastAsia="方正仿宋_GBK"/>
          <w:lang w:val="en-US" w:eastAsia="zh-CN"/>
        </w:rPr>
      </w:pPr>
      <w:r>
        <w:t>1、收入说明：本年度一般公共预算拨款828.41万元。</w:t>
      </w:r>
      <w:r>
        <w:rPr>
          <w:rFonts w:hint="eastAsia"/>
          <w:lang w:eastAsia="zh-CN"/>
        </w:rPr>
        <w:t>主要项目包括购置重型泡沫车及登高车尾款</w:t>
      </w:r>
      <w:r>
        <w:rPr>
          <w:rFonts w:hint="eastAsia"/>
          <w:lang w:val="en-US" w:eastAsia="zh-CN"/>
        </w:rPr>
        <w:t>134.8万元、综合业务管理40万元、购置个人防护器材资金37.19万元。</w:t>
      </w:r>
    </w:p>
    <w:p>
      <w:pPr>
        <w:pStyle w:val="18"/>
      </w:pPr>
      <w:r>
        <w:t>2、支出说明：本年度预算支出828.41万元，其中基本支出556.69万元，项目支出271.72万元。基本支出中人员经费317.5万元，日常公用经费239.19万元。</w:t>
      </w:r>
    </w:p>
    <w:p>
      <w:pPr>
        <w:pStyle w:val="18"/>
      </w:pPr>
      <w:r>
        <w:t>3、比上年增减情况：本年度预算支出减少267.54万元。人员经费增加95.95万元，主要是消防队员伙食费增加；日常公用经费增加6.25万元，主要是取暖费的增加；项目经费减少369.74万元，主要是减少大型消防救援车购置项目。</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2022年预算</w:t>
      </w:r>
    </w:p>
    <w:p>
      <w:pPr>
        <w:pStyle w:val="19"/>
      </w:pPr>
      <w:r>
        <w:t>机关运行经费安排情况</w:t>
      </w:r>
    </w:p>
    <w:p>
      <w:pPr>
        <w:pStyle w:val="19"/>
      </w:pPr>
      <w:r>
        <w:t>机关运行经费共计安排239.19万元，主要用于办公及水电费、办公用房取暖费、消防车辆用油及维修费等。</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w:t>
      </w:r>
      <w:r>
        <w:rPr>
          <w:rFonts w:hint="eastAsia"/>
          <w:lang w:val="en-US" w:eastAsia="zh-CN"/>
        </w:rPr>
        <w:t>2</w:t>
      </w:r>
      <w:r>
        <w:t>年我部门“三公”经费</w:t>
      </w:r>
      <w:r>
        <w:rPr>
          <w:rFonts w:hint="eastAsia"/>
          <w:lang w:val="en-US" w:eastAsia="zh-CN"/>
        </w:rPr>
        <w:t>无预算安排，</w:t>
      </w:r>
      <w:r>
        <w:t>较上年</w:t>
      </w:r>
      <w:r>
        <w:rPr>
          <w:rFonts w:hint="eastAsia"/>
          <w:lang w:eastAsia="zh-CN"/>
        </w:rPr>
        <w:t>持平</w:t>
      </w:r>
      <w:r>
        <w:t xml:space="preserve">。具体安排情况为： </w:t>
      </w:r>
    </w:p>
    <w:p>
      <w:pPr>
        <w:pStyle w:val="20"/>
      </w:pPr>
      <w:r>
        <w:t>（一）公务用车购置及运行费。共计安排</w:t>
      </w:r>
      <w:r>
        <w:rPr>
          <w:rFonts w:hint="eastAsia"/>
          <w:lang w:val="en-US" w:eastAsia="zh-CN"/>
        </w:rPr>
        <w:t>0</w:t>
      </w:r>
      <w:r>
        <w:t>万元，较上年</w:t>
      </w:r>
      <w:r>
        <w:rPr>
          <w:rFonts w:hint="eastAsia"/>
          <w:lang w:eastAsia="zh-CN"/>
        </w:rPr>
        <w:t>持平</w:t>
      </w:r>
      <w:r>
        <w:t>。</w:t>
      </w:r>
    </w:p>
    <w:p>
      <w:pPr>
        <w:pStyle w:val="20"/>
      </w:pPr>
      <w:r>
        <w:t>①公务用车购置安排</w:t>
      </w:r>
      <w:r>
        <w:rPr>
          <w:rFonts w:hint="eastAsia"/>
          <w:lang w:val="en-US" w:eastAsia="zh-CN"/>
        </w:rPr>
        <w:t>0</w:t>
      </w:r>
      <w:r>
        <w:t>万元。</w:t>
      </w:r>
      <w:r>
        <w:rPr>
          <w:rFonts w:hint="eastAsia"/>
          <w:lang w:eastAsia="zh-CN"/>
        </w:rPr>
        <w:t>较上年持平</w:t>
      </w:r>
      <w:r>
        <w:t>。</w:t>
      </w:r>
    </w:p>
    <w:p>
      <w:pPr>
        <w:pStyle w:val="20"/>
        <w:rPr>
          <w:rFonts w:hint="eastAsia" w:eastAsia="方正仿宋_GBK"/>
          <w:lang w:eastAsia="zh-CN"/>
        </w:rPr>
      </w:pPr>
      <w:r>
        <w:t>②公车运行维护经费安排</w:t>
      </w:r>
      <w:r>
        <w:rPr>
          <w:rFonts w:hint="eastAsia"/>
          <w:lang w:val="en-US" w:eastAsia="zh-CN"/>
        </w:rPr>
        <w:t>0</w:t>
      </w:r>
      <w:r>
        <w:t>万元，与上年</w:t>
      </w:r>
      <w:r>
        <w:rPr>
          <w:rFonts w:hint="eastAsia"/>
          <w:lang w:eastAsia="zh-CN"/>
        </w:rPr>
        <w:t>持平。</w:t>
      </w:r>
    </w:p>
    <w:p>
      <w:pPr>
        <w:pStyle w:val="20"/>
        <w:rPr>
          <w:rFonts w:hint="eastAsia" w:eastAsia="方正仿宋_GBK"/>
          <w:lang w:eastAsia="zh-CN"/>
        </w:rPr>
      </w:pPr>
      <w:r>
        <w:t>（</w:t>
      </w:r>
      <w:r>
        <w:rPr>
          <w:rFonts w:hint="eastAsia"/>
          <w:lang w:eastAsia="zh-CN"/>
        </w:rPr>
        <w:t>二</w:t>
      </w:r>
      <w:r>
        <w:t>）公务接待费。安排</w:t>
      </w:r>
      <w:r>
        <w:rPr>
          <w:rFonts w:hint="eastAsia"/>
          <w:lang w:val="en-US" w:eastAsia="zh-CN"/>
        </w:rPr>
        <w:t>0</w:t>
      </w:r>
      <w:r>
        <w:t>万元，与上年持平。</w:t>
      </w:r>
      <w:r>
        <w:rPr>
          <w:rFonts w:hint="eastAsia"/>
          <w:lang w:eastAsia="zh-CN"/>
        </w:rPr>
        <w:t>单位管理进一步规范，减少招待费支出。</w:t>
      </w:r>
    </w:p>
    <w:p>
      <w:pPr>
        <w:pStyle w:val="20"/>
        <w:rPr>
          <w:rFonts w:hint="default" w:eastAsia="方正仿宋_GBK"/>
          <w:lang w:val="en-US" w:eastAsia="zh-CN"/>
        </w:rPr>
      </w:pPr>
      <w:r>
        <w:t>（</w:t>
      </w:r>
      <w:r>
        <w:rPr>
          <w:rFonts w:hint="eastAsia"/>
          <w:lang w:eastAsia="zh-CN"/>
        </w:rPr>
        <w:t>三</w:t>
      </w:r>
      <w:r>
        <w:t>）因公出国（境）费安排0万元，与上年持平。</w:t>
      </w:r>
    </w:p>
    <w:p>
      <w:pPr>
        <w:pStyle w:val="20"/>
        <w:ind w:left="0" w:leftChars="0" w:firstLine="560" w:firstLineChars="200"/>
      </w:pPr>
    </w:p>
    <w:p>
      <w:pPr>
        <w:pStyle w:val="20"/>
        <w:rPr>
          <w:rFonts w:hint="default" w:eastAsia="方正仿宋_GBK"/>
          <w:lang w:val="en-US" w:eastAsia="zh-CN"/>
        </w:rPr>
      </w:pPr>
      <w:r>
        <w:rPr>
          <w:rFonts w:hint="eastAsia"/>
          <w:lang w:val="en-US"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总体绩效目标</w:t>
      </w:r>
    </w:p>
    <w:p>
      <w:pPr>
        <w:pStyle w:val="21"/>
      </w:pPr>
      <w:r>
        <w:t>为适应我县经济又快又好发展，提高大队灭火救援能力，减少大型火灾事故的发生，将进一步加大对辖区重点单位进行全面排查，以保护全县人民生命财产安全。逐步树立和完善消防业务经费保障体制，确保消防履行消防监督、灭火救援、社会抢险等各项职能的经费需求，有效落实消防员福利保障机制，确保关键时刻装备器材能够冲得上，打得赢。</w:t>
      </w:r>
    </w:p>
    <w:p>
      <w:pPr>
        <w:spacing w:line="500" w:lineRule="exact"/>
        <w:ind w:firstLine="560"/>
      </w:pPr>
      <w:r>
        <w:rPr>
          <w:rFonts w:eastAsia="方正仿宋_GBK"/>
          <w:color w:val="000000"/>
          <w:sz w:val="28"/>
        </w:rPr>
        <w:t>（二）分项绩效目标</w:t>
      </w:r>
    </w:p>
    <w:p>
      <w:pPr>
        <w:pStyle w:val="22"/>
      </w:pPr>
      <w:r>
        <w:t>分项绩效目标</w:t>
      </w:r>
    </w:p>
    <w:p>
      <w:pPr>
        <w:pStyle w:val="22"/>
      </w:pPr>
      <w:r>
        <w:t>1、做好全县的抢险、灭火出警任务；</w:t>
      </w:r>
    </w:p>
    <w:p>
      <w:pPr>
        <w:pStyle w:val="22"/>
      </w:pPr>
      <w:r>
        <w:t>2、进行防火检查，督促机关、团体、企业、事业单位和个人落实消防安全责任；</w:t>
      </w:r>
    </w:p>
    <w:p>
      <w:pPr>
        <w:pStyle w:val="22"/>
      </w:pPr>
      <w:r>
        <w:t>3、对社会单位进行消防宣传教育培训</w:t>
      </w:r>
    </w:p>
    <w:p>
      <w:pPr>
        <w:pStyle w:val="22"/>
      </w:pPr>
      <w:r>
        <w:t>4、购置更新消防装备。</w:t>
      </w:r>
    </w:p>
    <w:p>
      <w:pPr>
        <w:spacing w:line="500" w:lineRule="exact"/>
        <w:ind w:firstLine="560"/>
      </w:pPr>
      <w:r>
        <w:rPr>
          <w:rFonts w:eastAsia="方正仿宋_GBK"/>
          <w:color w:val="000000"/>
          <w:sz w:val="28"/>
        </w:rPr>
        <w:t>（三）工作保障措施</w:t>
      </w:r>
    </w:p>
    <w:p>
      <w:pPr>
        <w:pStyle w:val="23"/>
      </w:pPr>
      <w:r>
        <w:t>。</w:t>
      </w:r>
    </w:p>
    <w:p>
      <w:pPr>
        <w:pStyle w:val="23"/>
      </w:pPr>
      <w:r>
        <w:t>工作保障措施</w:t>
      </w:r>
    </w:p>
    <w:p>
      <w:pPr>
        <w:pStyle w:val="23"/>
      </w:pPr>
      <w:r>
        <w:t>为适应我县经济又好又快发展形势的需要，逐步建立和完善消防保障机制，确保消防部队经费保障机制，确保消防部队履行消防监督、灭火救援及社会抢险等各项职能的经费需求，根据《国务院进一步加强消防工作的意见》（国发【2006】15号）、河北省人民政府《关于进一步加强消防工作的实施意见》（冀政【2007】23号）和河北省财政厅关于转发财政部《地方消防经费管理办法》的通知（冀财行【2012】168号）精神，做好2022年经费开支。</w:t>
      </w:r>
    </w:p>
    <w:p>
      <w:pPr>
        <w:pStyle w:val="23"/>
      </w:pPr>
    </w:p>
    <w:p>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1、业务费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1.保障辖区内灭火需求 提高消防救援能力</w:t>
            </w:r>
          </w:p>
          <w:p>
            <w:pPr>
              <w:pStyle w:val="12"/>
            </w:pPr>
            <w:r>
              <w:t xml:space="preserve">                                                                                                                                                                                                                                                                                                2.提高消防救援能力                                                                                                                                            </w:t>
            </w:r>
          </w:p>
          <w:p>
            <w:pPr>
              <w:pStyle w:val="12"/>
            </w:pPr>
            <w:r>
              <w:t xml:space="preserve">3.保障辖区内灭火需求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业务装备消耗费财政拨款专款专用情况</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培训效果影响程度</w:t>
            </w:r>
          </w:p>
        </w:tc>
        <w:tc>
          <w:tcPr>
            <w:tcW w:w="2835" w:type="dxa"/>
            <w:vAlign w:val="center"/>
          </w:tcPr>
          <w:p>
            <w:pPr>
              <w:pStyle w:val="12"/>
            </w:pPr>
            <w:r>
              <w:t>培训效果影响程度</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事故死亡人数下降率（%）</w:t>
            </w:r>
          </w:p>
        </w:tc>
        <w:tc>
          <w:tcPr>
            <w:tcW w:w="2835" w:type="dxa"/>
            <w:vAlign w:val="center"/>
          </w:tcPr>
          <w:p>
            <w:pPr>
              <w:pStyle w:val="12"/>
            </w:pPr>
            <w:r>
              <w:t>事故死亡人数下降率（%）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灭火效率、灭火能力持续影响</w:t>
            </w:r>
          </w:p>
        </w:tc>
        <w:tc>
          <w:tcPr>
            <w:tcW w:w="2835" w:type="dxa"/>
            <w:vAlign w:val="center"/>
          </w:tcPr>
          <w:p>
            <w:pPr>
              <w:pStyle w:val="12"/>
            </w:pPr>
            <w:r>
              <w:t>灭火效率、灭火能力持续影响</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2、综合业务管理绩效目标表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1.加强专项资金监管</w:t>
            </w:r>
          </w:p>
          <w:p>
            <w:pPr>
              <w:pStyle w:val="12"/>
            </w:pPr>
            <w:r>
              <w:t>2.开展对外合作交流</w:t>
            </w:r>
          </w:p>
          <w:p>
            <w:pPr>
              <w:pStyle w:val="12"/>
            </w:pPr>
            <w:r>
              <w:t>3.加强安全生产审批管理；开展行政复议及行政应诉工作；信访接待、业务宣传、政务信息公开等工作；开展网上行政服务；依法行政等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安全教育平台覆盖率（%）</w:t>
            </w:r>
          </w:p>
        </w:tc>
        <w:tc>
          <w:tcPr>
            <w:tcW w:w="2835" w:type="dxa"/>
            <w:vAlign w:val="center"/>
          </w:tcPr>
          <w:p>
            <w:pPr>
              <w:pStyle w:val="12"/>
            </w:pPr>
            <w:r>
              <w:t>安全教育平台覆盖率（%）</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资金到位率</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资金支出情况</w:t>
            </w:r>
          </w:p>
        </w:tc>
        <w:tc>
          <w:tcPr>
            <w:tcW w:w="2835" w:type="dxa"/>
            <w:vAlign w:val="center"/>
          </w:tcPr>
          <w:p>
            <w:pPr>
              <w:pStyle w:val="12"/>
            </w:pPr>
            <w:r>
              <w:t>资金支出情况</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2835" w:type="dxa"/>
            <w:vAlign w:val="center"/>
          </w:tcPr>
          <w:p>
            <w:pPr>
              <w:pStyle w:val="12"/>
            </w:pPr>
            <w:r>
              <w:t>公共服务水平提升情况</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业务保障能力</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灭火效率、灭火能力持续影响</w:t>
            </w:r>
          </w:p>
        </w:tc>
        <w:tc>
          <w:tcPr>
            <w:tcW w:w="2835" w:type="dxa"/>
            <w:vAlign w:val="center"/>
          </w:tcPr>
          <w:p>
            <w:pPr>
              <w:pStyle w:val="12"/>
            </w:pPr>
            <w:r>
              <w:t>灭火效率、灭火能力持续影响</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群众对高速公路运营管理的整体满意度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3、2022年乐亭县消防救援大队改革性和奖励性补贴绩效目标表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1.消防队伍改革性和奖励性补贴</w:t>
            </w:r>
          </w:p>
          <w:p>
            <w:pPr>
              <w:pStyle w:val="12"/>
            </w:pPr>
            <w:r>
              <w:t>2.保障补助款项正常发放</w:t>
            </w:r>
          </w:p>
          <w:p>
            <w:pPr>
              <w:pStyle w:val="12"/>
            </w:pPr>
            <w:r>
              <w:t>3.提升消防指战员满足感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补贴财政拨款专款专用情况</w:t>
            </w:r>
          </w:p>
        </w:tc>
        <w:tc>
          <w:tcPr>
            <w:tcW w:w="2551" w:type="dxa"/>
            <w:vAlign w:val="center"/>
          </w:tcPr>
          <w:p>
            <w:pPr>
              <w:pStyle w:val="12"/>
            </w:pPr>
            <w:r>
              <w:t>100</w:t>
            </w:r>
          </w:p>
        </w:tc>
        <w:tc>
          <w:tcPr>
            <w:tcW w:w="2268"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≥95</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发放人数</w:t>
            </w:r>
          </w:p>
        </w:tc>
        <w:tc>
          <w:tcPr>
            <w:tcW w:w="2551" w:type="dxa"/>
            <w:vAlign w:val="center"/>
          </w:tcPr>
          <w:p>
            <w:pPr>
              <w:pStyle w:val="12"/>
            </w:pPr>
            <w:r>
              <w:t>≥5实有人数为准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保障工作开展</w:t>
            </w:r>
          </w:p>
        </w:tc>
        <w:tc>
          <w:tcPr>
            <w:tcW w:w="2551" w:type="dxa"/>
            <w:vAlign w:val="center"/>
          </w:tcPr>
          <w:p>
            <w:pPr>
              <w:pStyle w:val="12"/>
            </w:pPr>
            <w:r>
              <w:t>≥98</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提升消防员工作积极性</w:t>
            </w:r>
          </w:p>
        </w:tc>
        <w:tc>
          <w:tcPr>
            <w:tcW w:w="2835" w:type="dxa"/>
            <w:vAlign w:val="center"/>
          </w:tcPr>
          <w:p>
            <w:pPr>
              <w:pStyle w:val="12"/>
            </w:pPr>
            <w:r>
              <w:t>提升消防员工作积极性</w:t>
            </w:r>
          </w:p>
        </w:tc>
        <w:tc>
          <w:tcPr>
            <w:tcW w:w="2551" w:type="dxa"/>
            <w:vAlign w:val="center"/>
          </w:tcPr>
          <w:p>
            <w:pPr>
              <w:pStyle w:val="12"/>
            </w:pPr>
            <w:r>
              <w:t>≥98</w:t>
            </w:r>
          </w:p>
        </w:tc>
        <w:tc>
          <w:tcPr>
            <w:tcW w:w="2268" w:type="dxa"/>
            <w:vAlign w:val="center"/>
          </w:tcPr>
          <w:p>
            <w:pPr>
              <w:pStyle w:val="12"/>
            </w:pPr>
            <w:r>
              <w:t>单位规定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单位规定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4、购置个人防护器材资金绩效目标表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1.用于购置消防器材及个人防护装备</w:t>
            </w:r>
          </w:p>
          <w:p>
            <w:pPr>
              <w:pStyle w:val="12"/>
            </w:pPr>
            <w:r>
              <w:t>2.用于购置消防器材及个人防护装备</w:t>
            </w:r>
          </w:p>
          <w:p>
            <w:pPr>
              <w:pStyle w:val="12"/>
            </w:pPr>
            <w:r>
              <w:t>3.用于购置消防器材及个人防护装备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正常使用率</w:t>
            </w:r>
          </w:p>
        </w:tc>
        <w:tc>
          <w:tcPr>
            <w:tcW w:w="2835" w:type="dxa"/>
            <w:vAlign w:val="center"/>
          </w:tcPr>
          <w:p>
            <w:pPr>
              <w:pStyle w:val="12"/>
            </w:pPr>
            <w:r>
              <w:t>正常使用率</w:t>
            </w:r>
          </w:p>
        </w:tc>
        <w:tc>
          <w:tcPr>
            <w:tcW w:w="2551" w:type="dxa"/>
            <w:vAlign w:val="center"/>
          </w:tcPr>
          <w:p>
            <w:pPr>
              <w:pStyle w:val="12"/>
            </w:pPr>
            <w:r>
              <w:t>100</w:t>
            </w:r>
          </w:p>
        </w:tc>
        <w:tc>
          <w:tcPr>
            <w:tcW w:w="2268" w:type="dxa"/>
            <w:vAlign w:val="center"/>
          </w:tcPr>
          <w:p>
            <w:pPr>
              <w:pStyle w:val="12"/>
            </w:pPr>
            <w:r>
              <w:t>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100</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p>
            <w:pPr>
              <w:pStyle w:val="12"/>
            </w:pPr>
          </w:p>
          <w:p>
            <w:pPr>
              <w:pStyle w:val="12"/>
            </w:pPr>
          </w:p>
        </w:tc>
        <w:tc>
          <w:tcPr>
            <w:tcW w:w="2835" w:type="dxa"/>
            <w:vAlign w:val="center"/>
          </w:tcPr>
          <w:p>
            <w:pPr>
              <w:pStyle w:val="12"/>
            </w:pPr>
            <w:r>
              <w:t>业务处理及时性(％)</w:t>
            </w:r>
          </w:p>
          <w:p>
            <w:pPr>
              <w:pStyle w:val="12"/>
            </w:pPr>
          </w:p>
          <w:p>
            <w:pPr>
              <w:pStyle w:val="12"/>
            </w:pPr>
          </w:p>
        </w:tc>
        <w:tc>
          <w:tcPr>
            <w:tcW w:w="2551" w:type="dxa"/>
            <w:vAlign w:val="center"/>
          </w:tcPr>
          <w:p>
            <w:pPr>
              <w:pStyle w:val="12"/>
            </w:pPr>
            <w:r>
              <w:t>≥98</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群众财产保障度</w:t>
            </w:r>
          </w:p>
        </w:tc>
        <w:tc>
          <w:tcPr>
            <w:tcW w:w="2835" w:type="dxa"/>
            <w:vAlign w:val="center"/>
          </w:tcPr>
          <w:p>
            <w:pPr>
              <w:pStyle w:val="12"/>
            </w:pPr>
            <w:r>
              <w:t>群众财产保障度</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5、购置重型泡沫车及登高车尾款绩效目标表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1.用于增强我县救火能力</w:t>
            </w:r>
          </w:p>
          <w:p>
            <w:pPr>
              <w:pStyle w:val="12"/>
            </w:pPr>
            <w:r>
              <w:t>2.用于增强我县救火能力</w:t>
            </w:r>
          </w:p>
          <w:p>
            <w:pPr>
              <w:pStyle w:val="12"/>
            </w:pPr>
            <w:r>
              <w:t>3.用于增强我县救火能力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项目验收通过率（%）</w:t>
            </w:r>
          </w:p>
        </w:tc>
        <w:tc>
          <w:tcPr>
            <w:tcW w:w="2835" w:type="dxa"/>
            <w:vAlign w:val="center"/>
          </w:tcPr>
          <w:p>
            <w:pPr>
              <w:pStyle w:val="12"/>
            </w:pPr>
            <w:r>
              <w:t>项目验收通过率（%）</w:t>
            </w:r>
          </w:p>
        </w:tc>
        <w:tc>
          <w:tcPr>
            <w:tcW w:w="2551" w:type="dxa"/>
            <w:vAlign w:val="center"/>
          </w:tcPr>
          <w:p>
            <w:pPr>
              <w:pStyle w:val="12"/>
            </w:pPr>
            <w:r>
              <w:t>100</w:t>
            </w:r>
          </w:p>
        </w:tc>
        <w:tc>
          <w:tcPr>
            <w:tcW w:w="2268" w:type="dxa"/>
            <w:vAlign w:val="center"/>
          </w:tcPr>
          <w:p>
            <w:pPr>
              <w:pStyle w:val="12"/>
            </w:pPr>
            <w:r>
              <w:t>专家确认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购置数量</w:t>
            </w:r>
          </w:p>
        </w:tc>
        <w:tc>
          <w:tcPr>
            <w:tcW w:w="2835" w:type="dxa"/>
            <w:vAlign w:val="center"/>
          </w:tcPr>
          <w:p>
            <w:pPr>
              <w:pStyle w:val="12"/>
            </w:pPr>
            <w:r>
              <w:t>购置数量</w:t>
            </w:r>
          </w:p>
        </w:tc>
        <w:tc>
          <w:tcPr>
            <w:tcW w:w="2551" w:type="dxa"/>
            <w:vAlign w:val="center"/>
          </w:tcPr>
          <w:p>
            <w:pPr>
              <w:pStyle w:val="12"/>
            </w:pPr>
            <w:r>
              <w:t>1</w:t>
            </w:r>
          </w:p>
        </w:tc>
        <w:tc>
          <w:tcPr>
            <w:tcW w:w="2268" w:type="dxa"/>
            <w:vAlign w:val="center"/>
          </w:tcPr>
          <w:p>
            <w:pPr>
              <w:pStyle w:val="12"/>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各项任务完成及时率（%）</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≥95</w:t>
            </w:r>
          </w:p>
        </w:tc>
        <w:tc>
          <w:tcPr>
            <w:tcW w:w="2268"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2835" w:type="dxa"/>
            <w:vAlign w:val="center"/>
          </w:tcPr>
          <w:p>
            <w:pPr>
              <w:pStyle w:val="12"/>
            </w:pPr>
            <w:r>
              <w:t>持续发展作用力</w:t>
            </w:r>
          </w:p>
        </w:tc>
        <w:tc>
          <w:tcPr>
            <w:tcW w:w="2551" w:type="dxa"/>
            <w:vAlign w:val="center"/>
          </w:tcPr>
          <w:p>
            <w:pPr>
              <w:pStyle w:val="12"/>
            </w:pPr>
            <w:r>
              <w:t>≥98</w:t>
            </w:r>
          </w:p>
        </w:tc>
        <w:tc>
          <w:tcPr>
            <w:tcW w:w="2268" w:type="dxa"/>
            <w:vAlign w:val="center"/>
          </w:tcPr>
          <w:p>
            <w:pPr>
              <w:pStyle w:val="12"/>
            </w:pPr>
            <w:r>
              <w:t>单位需要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≥98</w:t>
            </w:r>
          </w:p>
        </w:tc>
        <w:tc>
          <w:tcPr>
            <w:tcW w:w="2268" w:type="dxa"/>
            <w:vAlign w:val="center"/>
          </w:tcPr>
          <w:p>
            <w:pPr>
              <w:pStyle w:val="12"/>
            </w:pPr>
            <w:r>
              <w:t>单位要求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2022年，消防救援安排政府采购预算</w:t>
      </w:r>
      <w:r>
        <w:rPr>
          <w:rFonts w:hint="eastAsia" w:eastAsia="方正仿宋_GBK"/>
          <w:color w:val="000000"/>
          <w:sz w:val="28"/>
          <w:lang w:val="en-US" w:eastAsia="zh-CN"/>
        </w:rPr>
        <w:t>171.99</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313消防救援</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方正书宋_GBK"/>
                <w:lang w:eastAsia="zh-CN"/>
              </w:rPr>
            </w:pPr>
            <w:r>
              <w:rPr>
                <w:rFonts w:hint="eastAsia"/>
                <w:lang w:eastAsia="zh-CN"/>
              </w:rPr>
              <w:t>购置重型泡沫车</w:t>
            </w:r>
          </w:p>
        </w:tc>
        <w:tc>
          <w:tcPr>
            <w:tcW w:w="964" w:type="dxa"/>
            <w:vAlign w:val="center"/>
          </w:tcPr>
          <w:p>
            <w:pPr>
              <w:pStyle w:val="11"/>
              <w:rPr>
                <w:rFonts w:hint="default" w:eastAsia="方正书宋_GBK"/>
                <w:lang w:val="en-US" w:eastAsia="zh-CN"/>
              </w:rPr>
            </w:pPr>
            <w:r>
              <w:rPr>
                <w:rFonts w:hint="eastAsia"/>
                <w:lang w:val="en-US" w:eastAsia="zh-CN"/>
              </w:rPr>
              <w:t>134.8</w:t>
            </w:r>
          </w:p>
        </w:tc>
        <w:tc>
          <w:tcPr>
            <w:tcW w:w="1134" w:type="dxa"/>
            <w:vAlign w:val="center"/>
          </w:tcPr>
          <w:p>
            <w:pPr>
              <w:pStyle w:val="12"/>
            </w:pPr>
            <w:r>
              <w:rPr>
                <w:rFonts w:hint="eastAsia"/>
                <w:lang w:eastAsia="zh-CN"/>
              </w:rPr>
              <w:t>重型泡沫车</w:t>
            </w: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1辆</w:t>
            </w:r>
          </w:p>
        </w:tc>
        <w:tc>
          <w:tcPr>
            <w:tcW w:w="850" w:type="dxa"/>
            <w:vAlign w:val="center"/>
          </w:tcPr>
          <w:p>
            <w:pPr>
              <w:pStyle w:val="11"/>
              <w:rPr>
                <w:rFonts w:hint="default" w:eastAsia="方正书宋_GBK"/>
                <w:lang w:val="en-US" w:eastAsia="zh-CN"/>
              </w:rPr>
            </w:pPr>
            <w:r>
              <w:rPr>
                <w:rFonts w:hint="eastAsia"/>
                <w:lang w:val="en-US" w:eastAsia="zh-CN"/>
              </w:rPr>
              <w:t>134.8</w:t>
            </w:r>
          </w:p>
        </w:tc>
        <w:tc>
          <w:tcPr>
            <w:tcW w:w="964" w:type="dxa"/>
            <w:vAlign w:val="center"/>
          </w:tcPr>
          <w:p>
            <w:pPr>
              <w:pStyle w:val="11"/>
              <w:rPr>
                <w:rFonts w:hint="default" w:eastAsia="方正书宋_GBK"/>
                <w:lang w:val="en-US" w:eastAsia="zh-CN"/>
              </w:rPr>
            </w:pPr>
            <w:r>
              <w:rPr>
                <w:rFonts w:hint="eastAsia"/>
                <w:lang w:val="en-US" w:eastAsia="zh-CN"/>
              </w:rPr>
              <w:t>134.8</w:t>
            </w:r>
          </w:p>
        </w:tc>
        <w:tc>
          <w:tcPr>
            <w:tcW w:w="964" w:type="dxa"/>
            <w:vAlign w:val="center"/>
          </w:tcPr>
          <w:p>
            <w:pPr>
              <w:pStyle w:val="11"/>
              <w:rPr>
                <w:rFonts w:hint="default" w:eastAsia="方正书宋_GBK"/>
                <w:lang w:val="en-US" w:eastAsia="zh-CN"/>
              </w:rPr>
            </w:pPr>
            <w:r>
              <w:rPr>
                <w:rFonts w:hint="eastAsia"/>
                <w:lang w:val="en-US" w:eastAsia="zh-CN"/>
              </w:rPr>
              <w:t>134.8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方正书宋_GBK"/>
                <w:lang w:eastAsia="zh-CN"/>
              </w:rPr>
            </w:pPr>
            <w:r>
              <w:rPr>
                <w:rFonts w:hint="eastAsia"/>
                <w:lang w:eastAsia="zh-CN"/>
              </w:rPr>
              <w:t>购置个人防护器材</w:t>
            </w:r>
          </w:p>
        </w:tc>
        <w:tc>
          <w:tcPr>
            <w:tcW w:w="964" w:type="dxa"/>
            <w:vAlign w:val="center"/>
          </w:tcPr>
          <w:p>
            <w:pPr>
              <w:pStyle w:val="11"/>
              <w:rPr>
                <w:rFonts w:hint="default" w:eastAsia="方正书宋_GBK"/>
                <w:lang w:val="en-US" w:eastAsia="zh-CN"/>
              </w:rPr>
            </w:pPr>
            <w:r>
              <w:rPr>
                <w:rFonts w:hint="eastAsia"/>
                <w:lang w:val="en-US" w:eastAsia="zh-CN"/>
              </w:rPr>
              <w:t>37.19</w:t>
            </w:r>
          </w:p>
        </w:tc>
        <w:tc>
          <w:tcPr>
            <w:tcW w:w="1134" w:type="dxa"/>
            <w:vAlign w:val="center"/>
          </w:tcPr>
          <w:p>
            <w:pPr>
              <w:pStyle w:val="12"/>
            </w:pPr>
            <w:r>
              <w:rPr>
                <w:rFonts w:hint="eastAsia"/>
                <w:lang w:eastAsia="zh-CN"/>
              </w:rPr>
              <w:t>防护器材</w:t>
            </w: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eastAsia="方正书宋_GBK"/>
                <w:lang w:val="en-US" w:eastAsia="zh-CN"/>
              </w:rPr>
            </w:pPr>
            <w:r>
              <w:rPr>
                <w:rFonts w:hint="eastAsia"/>
                <w:lang w:val="en-US" w:eastAsia="zh-CN"/>
              </w:rPr>
              <w:t>1批</w:t>
            </w:r>
          </w:p>
        </w:tc>
        <w:tc>
          <w:tcPr>
            <w:tcW w:w="850" w:type="dxa"/>
            <w:vAlign w:val="center"/>
          </w:tcPr>
          <w:p>
            <w:pPr>
              <w:pStyle w:val="11"/>
              <w:rPr>
                <w:rFonts w:hint="default" w:eastAsia="方正书宋_GBK"/>
                <w:lang w:val="en-US" w:eastAsia="zh-CN"/>
              </w:rPr>
            </w:pPr>
            <w:r>
              <w:rPr>
                <w:rFonts w:hint="eastAsia"/>
                <w:lang w:val="en-US" w:eastAsia="zh-CN"/>
              </w:rPr>
              <w:t>37.19</w:t>
            </w:r>
          </w:p>
        </w:tc>
        <w:tc>
          <w:tcPr>
            <w:tcW w:w="964" w:type="dxa"/>
            <w:vAlign w:val="center"/>
          </w:tcPr>
          <w:p>
            <w:pPr>
              <w:pStyle w:val="11"/>
              <w:rPr>
                <w:rFonts w:hint="default" w:eastAsia="方正书宋_GBK"/>
                <w:lang w:val="en-US" w:eastAsia="zh-CN"/>
              </w:rPr>
            </w:pPr>
            <w:r>
              <w:rPr>
                <w:rFonts w:hint="eastAsia"/>
                <w:lang w:val="en-US" w:eastAsia="zh-CN"/>
              </w:rPr>
              <w:t>37.19</w:t>
            </w:r>
          </w:p>
        </w:tc>
        <w:tc>
          <w:tcPr>
            <w:tcW w:w="964" w:type="dxa"/>
            <w:vAlign w:val="center"/>
          </w:tcPr>
          <w:p>
            <w:pPr>
              <w:pStyle w:val="11"/>
              <w:rPr>
                <w:rFonts w:hint="default" w:eastAsia="方正书宋_GBK"/>
                <w:lang w:val="en-US" w:eastAsia="zh-CN"/>
              </w:rPr>
            </w:pPr>
            <w:r>
              <w:rPr>
                <w:rFonts w:hint="eastAsia"/>
                <w:lang w:val="en-US" w:eastAsia="zh-CN"/>
              </w:rPr>
              <w:t>37.19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jc w:val="center"/>
        </w:trPr>
        <w:tc>
          <w:tcPr>
            <w:tcW w:w="1701" w:type="dxa"/>
            <w:vAlign w:val="center"/>
          </w:tcPr>
          <w:p>
            <w:pPr>
              <w:pStyle w:val="12"/>
              <w:rPr>
                <w:rFonts w:hint="eastAsia"/>
                <w:lang w:eastAsia="zh-CN"/>
              </w:rPr>
            </w:pPr>
            <w:r>
              <w:rPr>
                <w:rFonts w:hint="eastAsia"/>
                <w:lang w:eastAsia="zh-CN"/>
              </w:rPr>
              <w:t>合计</w:t>
            </w:r>
          </w:p>
        </w:tc>
        <w:tc>
          <w:tcPr>
            <w:tcW w:w="964" w:type="dxa"/>
            <w:vAlign w:val="center"/>
          </w:tcPr>
          <w:p>
            <w:pPr>
              <w:pStyle w:val="11"/>
              <w:rPr>
                <w:rFonts w:hint="default"/>
                <w:lang w:val="en-US" w:eastAsia="zh-CN"/>
              </w:rPr>
            </w:pPr>
            <w:r>
              <w:rPr>
                <w:rFonts w:hint="eastAsia"/>
                <w:lang w:val="en-US" w:eastAsia="zh-CN"/>
              </w:rPr>
              <w:t>171.99</w:t>
            </w:r>
          </w:p>
        </w:tc>
        <w:tc>
          <w:tcPr>
            <w:tcW w:w="1134" w:type="dxa"/>
            <w:vAlign w:val="center"/>
          </w:tcPr>
          <w:p>
            <w:pPr>
              <w:pStyle w:val="12"/>
              <w:rPr>
                <w:rFonts w:hint="eastAsia"/>
                <w:lang w:eastAsia="zh-CN"/>
              </w:rPr>
            </w:pPr>
          </w:p>
        </w:tc>
        <w:tc>
          <w:tcPr>
            <w:tcW w:w="1134" w:type="dxa"/>
            <w:vAlign w:val="center"/>
          </w:tcPr>
          <w:p>
            <w:pPr>
              <w:pStyle w:val="12"/>
            </w:pPr>
          </w:p>
        </w:tc>
        <w:tc>
          <w:tcPr>
            <w:tcW w:w="709" w:type="dxa"/>
            <w:vAlign w:val="center"/>
          </w:tcPr>
          <w:p>
            <w:pPr>
              <w:pStyle w:val="13"/>
            </w:pPr>
          </w:p>
        </w:tc>
        <w:tc>
          <w:tcPr>
            <w:tcW w:w="850" w:type="dxa"/>
            <w:vAlign w:val="center"/>
          </w:tcPr>
          <w:p>
            <w:pPr>
              <w:pStyle w:val="11"/>
              <w:rPr>
                <w:rFonts w:hint="eastAsia"/>
                <w:lang w:val="en-US" w:eastAsia="zh-CN"/>
              </w:rPr>
            </w:pPr>
          </w:p>
        </w:tc>
        <w:tc>
          <w:tcPr>
            <w:tcW w:w="850" w:type="dxa"/>
            <w:vAlign w:val="center"/>
          </w:tcPr>
          <w:p>
            <w:pPr>
              <w:pStyle w:val="11"/>
              <w:rPr>
                <w:rFonts w:hint="eastAsia"/>
                <w:lang w:val="en-US" w:eastAsia="zh-CN"/>
              </w:rPr>
            </w:pPr>
          </w:p>
        </w:tc>
        <w:tc>
          <w:tcPr>
            <w:tcW w:w="964" w:type="dxa"/>
            <w:vAlign w:val="center"/>
          </w:tcPr>
          <w:p>
            <w:pPr>
              <w:pStyle w:val="11"/>
              <w:rPr>
                <w:rFonts w:hint="default"/>
                <w:lang w:val="en-US" w:eastAsia="zh-CN"/>
              </w:rPr>
            </w:pPr>
            <w:r>
              <w:rPr>
                <w:rFonts w:hint="eastAsia"/>
                <w:lang w:val="en-US" w:eastAsia="zh-CN"/>
              </w:rPr>
              <w:t>171.99</w:t>
            </w:r>
          </w:p>
        </w:tc>
        <w:tc>
          <w:tcPr>
            <w:tcW w:w="964" w:type="dxa"/>
            <w:vAlign w:val="center"/>
          </w:tcPr>
          <w:p>
            <w:pPr>
              <w:pStyle w:val="11"/>
              <w:rPr>
                <w:rFonts w:hint="default"/>
                <w:lang w:val="en-US" w:eastAsia="zh-CN"/>
              </w:rPr>
            </w:pPr>
            <w:r>
              <w:rPr>
                <w:rFonts w:hint="eastAsia"/>
                <w:lang w:val="en-US" w:eastAsia="zh-CN"/>
              </w:rPr>
              <w:t>171.99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消防救援（含所属单位）上年末固定资产金额为</w:t>
      </w:r>
      <w:r>
        <w:rPr>
          <w:rFonts w:hint="eastAsia" w:eastAsia="方正仿宋_GBK"/>
          <w:color w:val="000000"/>
          <w:sz w:val="28"/>
          <w:lang w:val="en-US" w:eastAsia="zh-CN"/>
        </w:rPr>
        <w:t>3815.66</w:t>
      </w:r>
      <w:r>
        <w:rPr>
          <w:rFonts w:eastAsia="方正仿宋_GBK"/>
          <w:color w:val="000000"/>
          <w:sz w:val="28"/>
        </w:rPr>
        <w:t>万元（详见下表）。本年度拟购置固定资产总额为</w:t>
      </w:r>
      <w:r>
        <w:rPr>
          <w:rFonts w:hint="eastAsia" w:eastAsia="方正仿宋_GBK"/>
          <w:color w:val="000000"/>
          <w:sz w:val="28"/>
          <w:lang w:val="en-US" w:eastAsia="zh-CN"/>
        </w:rPr>
        <w:t>171.99</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313消防救援</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3815.66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eastAsia="方正书宋_GBK"/>
                <w:lang w:val="en-US" w:eastAsia="zh-CN"/>
              </w:rPr>
            </w:pPr>
            <w:r>
              <w:rPr>
                <w:rFonts w:hint="eastAsia"/>
                <w:lang w:val="en-US" w:eastAsia="zh-CN"/>
              </w:rPr>
              <w:t>3117</w:t>
            </w:r>
          </w:p>
        </w:tc>
        <w:tc>
          <w:tcPr>
            <w:tcW w:w="2835" w:type="dxa"/>
            <w:vAlign w:val="center"/>
          </w:tcPr>
          <w:p>
            <w:pPr>
              <w:pStyle w:val="11"/>
              <w:rPr>
                <w:rFonts w:hint="default" w:eastAsia="方正书宋_GBK"/>
                <w:lang w:val="en-US" w:eastAsia="zh-CN"/>
              </w:rPr>
            </w:pPr>
            <w:r>
              <w:rPr>
                <w:rFonts w:hint="eastAsia"/>
                <w:lang w:val="en-US" w:eastAsia="zh-CN"/>
              </w:rPr>
              <w:t>1248.11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eastAsia="方正书宋_GBK"/>
                <w:lang w:val="en-US" w:eastAsia="zh-CN"/>
              </w:rPr>
            </w:pPr>
            <w:r>
              <w:rPr>
                <w:rFonts w:hint="eastAsia"/>
                <w:lang w:val="en-US" w:eastAsia="zh-CN"/>
              </w:rPr>
              <w:t>500</w:t>
            </w:r>
          </w:p>
        </w:tc>
        <w:tc>
          <w:tcPr>
            <w:tcW w:w="2835" w:type="dxa"/>
            <w:vAlign w:val="center"/>
          </w:tcPr>
          <w:p>
            <w:pPr>
              <w:pStyle w:val="11"/>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eastAsia="方正书宋_GBK"/>
                <w:lang w:val="en-US" w:eastAsia="zh-CN"/>
              </w:rPr>
            </w:pPr>
            <w:r>
              <w:rPr>
                <w:rFonts w:hint="eastAsia"/>
                <w:lang w:val="en-US" w:eastAsia="zh-CN"/>
              </w:rPr>
              <w:t>29</w:t>
            </w:r>
          </w:p>
        </w:tc>
        <w:tc>
          <w:tcPr>
            <w:tcW w:w="2835" w:type="dxa"/>
            <w:vAlign w:val="center"/>
          </w:tcPr>
          <w:p>
            <w:pPr>
              <w:pStyle w:val="11"/>
              <w:rPr>
                <w:rFonts w:hint="default" w:eastAsia="方正书宋_GBK"/>
                <w:lang w:val="en-US" w:eastAsia="zh-CN"/>
              </w:rPr>
            </w:pPr>
            <w:r>
              <w:rPr>
                <w:rFonts w:hint="eastAsia"/>
                <w:lang w:val="en-US" w:eastAsia="zh-CN"/>
              </w:rPr>
              <w:t>2188.4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1287</w:t>
            </w:r>
          </w:p>
        </w:tc>
        <w:tc>
          <w:tcPr>
            <w:tcW w:w="2835" w:type="dxa"/>
            <w:vAlign w:val="center"/>
          </w:tcPr>
          <w:p>
            <w:pPr>
              <w:pStyle w:val="11"/>
              <w:rPr>
                <w:rFonts w:hint="default" w:eastAsia="方正书宋_GBK"/>
                <w:lang w:val="en-US" w:eastAsia="zh-CN"/>
              </w:rPr>
            </w:pPr>
            <w:r>
              <w:rPr>
                <w:rFonts w:hint="eastAsia"/>
                <w:lang w:val="en-US" w:eastAsia="zh-CN"/>
              </w:rPr>
              <w:t>379.15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g0Nzc1NjY3ZjUyMjcyY2VjYjY3OTAwM2JjN2UifQ=="/>
  </w:docVars>
  <w:rsids>
    <w:rsidRoot w:val="00975617"/>
    <w:rsid w:val="000C0D52"/>
    <w:rsid w:val="001045F2"/>
    <w:rsid w:val="001F42DF"/>
    <w:rsid w:val="00287619"/>
    <w:rsid w:val="00373D92"/>
    <w:rsid w:val="00391EA7"/>
    <w:rsid w:val="008371E7"/>
    <w:rsid w:val="008678F1"/>
    <w:rsid w:val="00975617"/>
    <w:rsid w:val="018F6893"/>
    <w:rsid w:val="07176830"/>
    <w:rsid w:val="08BD609A"/>
    <w:rsid w:val="09E93141"/>
    <w:rsid w:val="0B1C0B9E"/>
    <w:rsid w:val="179A401D"/>
    <w:rsid w:val="234B0564"/>
    <w:rsid w:val="2C4C26B5"/>
    <w:rsid w:val="2C5C2731"/>
    <w:rsid w:val="2EAD506D"/>
    <w:rsid w:val="44077A42"/>
    <w:rsid w:val="5DAD3C44"/>
    <w:rsid w:val="62C50A66"/>
    <w:rsid w:val="7D2B1C79"/>
    <w:rsid w:val="7EB0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2022-02-27T18:27:50Z</dcterms:created>
  <dcterms:modified xsi:type="dcterms:W3CDTF">2022-02-27T10:27:50Z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2022-02-27T18:27:50Z</dcterms:created>
  <dcterms:modified xsi:type="dcterms:W3CDTF">2022-02-27T10:27:50Z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2022-02-27T18:27:52Z</dcterms:created>
  <dcterms:modified xsi:type="dcterms:W3CDTF">2022-02-27T10:27:52Z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2022-02-27T18:27:51Z</dcterms:created>
  <dcterms:modified xsi:type="dcterms:W3CDTF">2022-02-27T10:27:51Z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2022-02-27T18:27:53Z</dcterms:created>
  <dcterms:modified xsi:type="dcterms:W3CDTF">2022-02-27T10:27:53Z</dcterms:modified>
</cp:coreProperties>
</file>

<file path=customXml/itemProps1.xml><?xml version="1.0" encoding="utf-8"?>
<ds:datastoreItem xmlns:ds="http://schemas.openxmlformats.org/officeDocument/2006/customXml" ds:itemID="{2E76500F-F1A7-4CA4-A391-AB7221E0FD52}">
  <ds:schemaRefs/>
</ds:datastoreItem>
</file>

<file path=customXml/itemProps10.xml><?xml version="1.0" encoding="utf-8"?>
<ds:datastoreItem xmlns:ds="http://schemas.openxmlformats.org/officeDocument/2006/customXml" ds:itemID="{AD898518-FF04-4F7A-86E4-24A6287CAB4E}">
  <ds:schemaRefs/>
</ds:datastoreItem>
</file>

<file path=customXml/itemProps11.xml><?xml version="1.0" encoding="utf-8"?>
<ds:datastoreItem xmlns:ds="http://schemas.openxmlformats.org/officeDocument/2006/customXml" ds:itemID="{69ACA972-4625-4899-955C-74CF2958380A}">
  <ds:schemaRefs/>
</ds:datastoreItem>
</file>

<file path=customXml/itemProps12.xml><?xml version="1.0" encoding="utf-8"?>
<ds:datastoreItem xmlns:ds="http://schemas.openxmlformats.org/officeDocument/2006/customXml" ds:itemID="{902C638D-7B5F-44BC-9F95-B447D578DEF3}">
  <ds:schemaRefs/>
</ds:datastoreItem>
</file>

<file path=customXml/itemProps13.xml><?xml version="1.0" encoding="utf-8"?>
<ds:datastoreItem xmlns:ds="http://schemas.openxmlformats.org/officeDocument/2006/customXml" ds:itemID="{893523FF-82AD-4907-A346-5D485A5A056B}">
  <ds:schemaRefs/>
</ds:datastoreItem>
</file>

<file path=customXml/itemProps14.xml><?xml version="1.0" encoding="utf-8"?>
<ds:datastoreItem xmlns:ds="http://schemas.openxmlformats.org/officeDocument/2006/customXml" ds:itemID="{89A29B55-34F4-4AAD-81C6-3EE27F606081}">
  <ds:schemaRefs/>
</ds:datastoreItem>
</file>

<file path=customXml/itemProps15.xml><?xml version="1.0" encoding="utf-8"?>
<ds:datastoreItem xmlns:ds="http://schemas.openxmlformats.org/officeDocument/2006/customXml" ds:itemID="{BDB2C0A5-C8E9-46AC-84E2-53490C5467F8}">
  <ds:schemaRefs/>
</ds:datastoreItem>
</file>

<file path=customXml/itemProps16.xml><?xml version="1.0" encoding="utf-8"?>
<ds:datastoreItem xmlns:ds="http://schemas.openxmlformats.org/officeDocument/2006/customXml" ds:itemID="{5EFBEEE7-5C8D-4EB5-8CC5-E0197A2E1C29}">
  <ds:schemaRefs/>
</ds:datastoreItem>
</file>

<file path=customXml/itemProps17.xml><?xml version="1.0" encoding="utf-8"?>
<ds:datastoreItem xmlns:ds="http://schemas.openxmlformats.org/officeDocument/2006/customXml" ds:itemID="{4181C21C-510E-440E-AEE5-E6D3793DD784}">
  <ds:schemaRefs/>
</ds:datastoreItem>
</file>

<file path=customXml/itemProps18.xml><?xml version="1.0" encoding="utf-8"?>
<ds:datastoreItem xmlns:ds="http://schemas.openxmlformats.org/officeDocument/2006/customXml" ds:itemID="{C6804356-D8A2-4359-B450-049162CADED6}">
  <ds:schemaRefs/>
</ds:datastoreItem>
</file>

<file path=customXml/itemProps19.xml><?xml version="1.0" encoding="utf-8"?>
<ds:datastoreItem xmlns:ds="http://schemas.openxmlformats.org/officeDocument/2006/customXml" ds:itemID="{0E64D639-C6A9-4AA1-813A-A512487AE1DF}">
  <ds:schemaRefs/>
</ds:datastoreItem>
</file>

<file path=customXml/itemProps2.xml><?xml version="1.0" encoding="utf-8"?>
<ds:datastoreItem xmlns:ds="http://schemas.openxmlformats.org/officeDocument/2006/customXml" ds:itemID="{642CFE7D-86F9-4304-8394-C6FF6F8A7FC9}">
  <ds:schemaRefs/>
</ds:datastoreItem>
</file>

<file path=customXml/itemProps20.xml><?xml version="1.0" encoding="utf-8"?>
<ds:datastoreItem xmlns:ds="http://schemas.openxmlformats.org/officeDocument/2006/customXml" ds:itemID="{4A3BB4CF-23DC-4962-85BD-7E259967B254}">
  <ds:schemaRefs/>
</ds:datastoreItem>
</file>

<file path=customXml/itemProps21.xml><?xml version="1.0" encoding="utf-8"?>
<ds:datastoreItem xmlns:ds="http://schemas.openxmlformats.org/officeDocument/2006/customXml" ds:itemID="{98BB4215-9527-4DE1-A337-E7A07B5FB849}">
  <ds:schemaRefs/>
</ds:datastoreItem>
</file>

<file path=customXml/itemProps22.xml><?xml version="1.0" encoding="utf-8"?>
<ds:datastoreItem xmlns:ds="http://schemas.openxmlformats.org/officeDocument/2006/customXml" ds:itemID="{DCC70B2E-5ECB-4ADB-8363-46594800A26C}">
  <ds:schemaRefs/>
</ds:datastoreItem>
</file>

<file path=customXml/itemProps23.xml><?xml version="1.0" encoding="utf-8"?>
<ds:datastoreItem xmlns:ds="http://schemas.openxmlformats.org/officeDocument/2006/customXml" ds:itemID="{32C9D16D-F0B5-4C3F-BDB9-5D987DA7468F}">
  <ds:schemaRefs/>
</ds:datastoreItem>
</file>

<file path=customXml/itemProps24.xml><?xml version="1.0" encoding="utf-8"?>
<ds:datastoreItem xmlns:ds="http://schemas.openxmlformats.org/officeDocument/2006/customXml" ds:itemID="{CAF1915B-A018-469B-82FC-83D46D736B59}">
  <ds:schemaRefs/>
</ds:datastoreItem>
</file>

<file path=customXml/itemProps25.xml><?xml version="1.0" encoding="utf-8"?>
<ds:datastoreItem xmlns:ds="http://schemas.openxmlformats.org/officeDocument/2006/customXml" ds:itemID="{D8C0ACC5-6448-4662-B801-471AF5B7821E}">
  <ds:schemaRefs/>
</ds:datastoreItem>
</file>

<file path=customXml/itemProps26.xml><?xml version="1.0" encoding="utf-8"?>
<ds:datastoreItem xmlns:ds="http://schemas.openxmlformats.org/officeDocument/2006/customXml" ds:itemID="{4BAFB2FD-E8FF-4836-9CE6-3858B86ABDCF}">
  <ds:schemaRefs/>
</ds:datastoreItem>
</file>

<file path=customXml/itemProps27.xml><?xml version="1.0" encoding="utf-8"?>
<ds:datastoreItem xmlns:ds="http://schemas.openxmlformats.org/officeDocument/2006/customXml" ds:itemID="{5B00BAC9-1DAC-4B4B-B272-9E79A3F91E1E}">
  <ds:schemaRefs/>
</ds:datastoreItem>
</file>

<file path=customXml/itemProps28.xml><?xml version="1.0" encoding="utf-8"?>
<ds:datastoreItem xmlns:ds="http://schemas.openxmlformats.org/officeDocument/2006/customXml" ds:itemID="{C577C42A-AA66-4F14-B36F-4209DDF25BA6}">
  <ds:schemaRefs/>
</ds:datastoreItem>
</file>

<file path=customXml/itemProps29.xml><?xml version="1.0" encoding="utf-8"?>
<ds:datastoreItem xmlns:ds="http://schemas.openxmlformats.org/officeDocument/2006/customXml" ds:itemID="{A58D193A-803C-4EF6-9622-93A390811587}">
  <ds:schemaRefs/>
</ds:datastoreItem>
</file>

<file path=customXml/itemProps3.xml><?xml version="1.0" encoding="utf-8"?>
<ds:datastoreItem xmlns:ds="http://schemas.openxmlformats.org/officeDocument/2006/customXml" ds:itemID="{423EB8CE-803A-4709-AA13-78092C75214A}">
  <ds:schemaRefs/>
</ds:datastoreItem>
</file>

<file path=customXml/itemProps30.xml><?xml version="1.0" encoding="utf-8"?>
<ds:datastoreItem xmlns:ds="http://schemas.openxmlformats.org/officeDocument/2006/customXml" ds:itemID="{85CC3356-AF01-4D6C-8243-AD9C22718302}">
  <ds:schemaRefs/>
</ds:datastoreItem>
</file>

<file path=customXml/itemProps4.xml><?xml version="1.0" encoding="utf-8"?>
<ds:datastoreItem xmlns:ds="http://schemas.openxmlformats.org/officeDocument/2006/customXml" ds:itemID="{3736F292-827E-48E3-9D6C-EBDDE13859E7}">
  <ds:schemaRefs/>
</ds:datastoreItem>
</file>

<file path=customXml/itemProps5.xml><?xml version="1.0" encoding="utf-8"?>
<ds:datastoreItem xmlns:ds="http://schemas.openxmlformats.org/officeDocument/2006/customXml" ds:itemID="{B078E7DD-F5C2-4536-BC37-B7F226A9058D}">
  <ds:schemaRefs/>
</ds:datastoreItem>
</file>

<file path=customXml/itemProps6.xml><?xml version="1.0" encoding="utf-8"?>
<ds:datastoreItem xmlns:ds="http://schemas.openxmlformats.org/officeDocument/2006/customXml" ds:itemID="{05EFC9EC-38BC-4E38-BFC6-74F34D38F2FD}">
  <ds:schemaRefs/>
</ds:datastoreItem>
</file>

<file path=customXml/itemProps7.xml><?xml version="1.0" encoding="utf-8"?>
<ds:datastoreItem xmlns:ds="http://schemas.openxmlformats.org/officeDocument/2006/customXml" ds:itemID="{95B74D27-4E0D-40ED-A4DB-0B5A6C75484A}">
  <ds:schemaRefs/>
</ds:datastoreItem>
</file>

<file path=customXml/itemProps8.xml><?xml version="1.0" encoding="utf-8"?>
<ds:datastoreItem xmlns:ds="http://schemas.openxmlformats.org/officeDocument/2006/customXml" ds:itemID="{92E57CD4-F2B1-463B-8F76-6AA3BDC04F64}">
  <ds:schemaRefs/>
</ds:datastoreItem>
</file>

<file path=customXml/itemProps9.xml><?xml version="1.0" encoding="utf-8"?>
<ds:datastoreItem xmlns:ds="http://schemas.openxmlformats.org/officeDocument/2006/customXml" ds:itemID="{FD856D21-58C8-48A4-8E1F-753F1C2B6E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2714</Words>
  <Characters>15471</Characters>
  <Lines>128</Lines>
  <Paragraphs>36</Paragraphs>
  <TotalTime>3</TotalTime>
  <ScaleCrop>false</ScaleCrop>
  <LinksUpToDate>false</LinksUpToDate>
  <CharactersWithSpaces>18149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2022-02-28T08:48:00Z</dcterms:created>
  <dc:creator>Administrator</dc:creator>
  <cp:lastModifiedBy>Administrator</cp:lastModifiedBy>
  <cp:lastPrinted>2022-03-01T10:24:00Z</cp:lastPrinted>
  <dcterms:modified xsi:type="dcterms:W3CDTF">2024-03-19T01:32:09Z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1D2274D80AD6410FB847B36D635E63F3_13</vt:lpwstr>
  </property>
</Properties>
</file>