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7</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1096.36</w:t>
            </w:r>
          </w:p>
        </w:tc>
        <w:tc>
          <w:tcPr>
            <w:tcW w:w="4535" w:type="dxa"/>
            <w:vAlign w:val="center"/>
          </w:tcPr>
          <w:p>
            <w:pPr>
              <w:pStyle w:val="14"/>
            </w:pPr>
            <w:r>
              <w:t>一、一般公共服务支出</w:t>
            </w:r>
          </w:p>
        </w:tc>
        <w:tc>
          <w:tcPr>
            <w:tcW w:w="2126" w:type="dxa"/>
            <w:vAlign w:val="center"/>
          </w:tcPr>
          <w:p>
            <w:pPr>
              <w:pStyle w:val="13"/>
            </w:pPr>
            <w:r>
              <w:t>865.09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1096.36</w:t>
            </w:r>
          </w:p>
        </w:tc>
        <w:tc>
          <w:tcPr>
            <w:tcW w:w="4535" w:type="dxa"/>
            <w:vAlign w:val="center"/>
          </w:tcPr>
          <w:p>
            <w:pPr>
              <w:pStyle w:val="16"/>
            </w:pPr>
            <w:r>
              <w:t>本年支出合计</w:t>
            </w:r>
          </w:p>
        </w:tc>
        <w:tc>
          <w:tcPr>
            <w:tcW w:w="2126" w:type="dxa"/>
            <w:vAlign w:val="center"/>
          </w:tcPr>
          <w:p>
            <w:pPr>
              <w:pStyle w:val="17"/>
            </w:pPr>
            <w:r>
              <w:t>1206.36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110.00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1206.36</w:t>
            </w:r>
          </w:p>
        </w:tc>
        <w:tc>
          <w:tcPr>
            <w:tcW w:w="4535" w:type="dxa"/>
            <w:vAlign w:val="center"/>
          </w:tcPr>
          <w:p>
            <w:pPr>
              <w:pStyle w:val="16"/>
            </w:pPr>
            <w:r>
              <w:t>支出总计</w:t>
            </w:r>
          </w:p>
        </w:tc>
        <w:tc>
          <w:tcPr>
            <w:tcW w:w="2126" w:type="dxa"/>
            <w:vAlign w:val="center"/>
          </w:tcPr>
          <w:p>
            <w:pPr>
              <w:pStyle w:val="17"/>
            </w:pPr>
            <w:r>
              <w:t>1206.36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1206.36</w:t>
            </w:r>
          </w:p>
        </w:tc>
        <w:tc>
          <w:tcPr>
            <w:tcW w:w="1134" w:type="dxa"/>
            <w:vAlign w:val="center"/>
          </w:tcPr>
          <w:p>
            <w:pPr>
              <w:pStyle w:val="17"/>
            </w:pPr>
            <w:r>
              <w:t>1096.36</w:t>
            </w:r>
          </w:p>
        </w:tc>
        <w:tc>
          <w:tcPr>
            <w:tcW w:w="1134" w:type="dxa"/>
            <w:vAlign w:val="center"/>
          </w:tcPr>
          <w:p>
            <w:pPr>
              <w:pStyle w:val="17"/>
            </w:pPr>
            <w:r>
              <w:t>1096.36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110.00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865.09</w:t>
            </w:r>
          </w:p>
        </w:tc>
        <w:tc>
          <w:tcPr>
            <w:tcW w:w="1134" w:type="dxa"/>
            <w:vAlign w:val="center"/>
          </w:tcPr>
          <w:p>
            <w:pPr>
              <w:pStyle w:val="13"/>
            </w:pPr>
            <w:r>
              <w:t>755.09</w:t>
            </w:r>
          </w:p>
        </w:tc>
        <w:tc>
          <w:tcPr>
            <w:tcW w:w="1134" w:type="dxa"/>
            <w:vAlign w:val="center"/>
          </w:tcPr>
          <w:p>
            <w:pPr>
              <w:pStyle w:val="13"/>
            </w:pPr>
            <w:r>
              <w:t>755.09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865.09</w:t>
            </w:r>
          </w:p>
        </w:tc>
        <w:tc>
          <w:tcPr>
            <w:tcW w:w="1134" w:type="dxa"/>
            <w:vAlign w:val="center"/>
          </w:tcPr>
          <w:p>
            <w:pPr>
              <w:pStyle w:val="13"/>
            </w:pPr>
            <w:r>
              <w:t>755.09</w:t>
            </w:r>
          </w:p>
        </w:tc>
        <w:tc>
          <w:tcPr>
            <w:tcW w:w="1134" w:type="dxa"/>
            <w:vAlign w:val="center"/>
          </w:tcPr>
          <w:p>
            <w:pPr>
              <w:pStyle w:val="13"/>
            </w:pPr>
            <w:r>
              <w:t>755.09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2011301</w:t>
            </w:r>
          </w:p>
        </w:tc>
        <w:tc>
          <w:tcPr>
            <w:tcW w:w="1559" w:type="dxa"/>
            <w:vAlign w:val="center"/>
          </w:tcPr>
          <w:p>
            <w:pPr>
              <w:pStyle w:val="14"/>
            </w:pPr>
            <w:r>
              <w:t>行政运行</w:t>
            </w:r>
          </w:p>
        </w:tc>
        <w:tc>
          <w:tcPr>
            <w:tcW w:w="1134" w:type="dxa"/>
            <w:vAlign w:val="center"/>
          </w:tcPr>
          <w:p>
            <w:pPr>
              <w:pStyle w:val="13"/>
            </w:pPr>
            <w:r>
              <w:t>605.09</w:t>
            </w:r>
          </w:p>
        </w:tc>
        <w:tc>
          <w:tcPr>
            <w:tcW w:w="1134" w:type="dxa"/>
            <w:vAlign w:val="center"/>
          </w:tcPr>
          <w:p>
            <w:pPr>
              <w:pStyle w:val="13"/>
            </w:pPr>
            <w:r>
              <w:t>605.09</w:t>
            </w:r>
          </w:p>
        </w:tc>
        <w:tc>
          <w:tcPr>
            <w:tcW w:w="1134" w:type="dxa"/>
            <w:vAlign w:val="center"/>
          </w:tcPr>
          <w:p>
            <w:pPr>
              <w:pStyle w:val="13"/>
            </w:pPr>
            <w:r>
              <w:t>605.09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260.00</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181.54</w:t>
            </w:r>
          </w:p>
        </w:tc>
        <w:tc>
          <w:tcPr>
            <w:tcW w:w="1134" w:type="dxa"/>
            <w:vAlign w:val="center"/>
          </w:tcPr>
          <w:p>
            <w:pPr>
              <w:pStyle w:val="13"/>
            </w:pPr>
            <w:r>
              <w:t>181.54</w:t>
            </w:r>
          </w:p>
        </w:tc>
        <w:tc>
          <w:tcPr>
            <w:tcW w:w="1134" w:type="dxa"/>
            <w:vAlign w:val="center"/>
          </w:tcPr>
          <w:p>
            <w:pPr>
              <w:pStyle w:val="13"/>
            </w:pPr>
            <w:r>
              <w:t>181.54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181.54</w:t>
            </w:r>
          </w:p>
        </w:tc>
        <w:tc>
          <w:tcPr>
            <w:tcW w:w="1134" w:type="dxa"/>
            <w:vAlign w:val="center"/>
          </w:tcPr>
          <w:p>
            <w:pPr>
              <w:pStyle w:val="13"/>
            </w:pPr>
            <w:r>
              <w:t>181.54</w:t>
            </w:r>
          </w:p>
        </w:tc>
        <w:tc>
          <w:tcPr>
            <w:tcW w:w="1134" w:type="dxa"/>
            <w:vAlign w:val="center"/>
          </w:tcPr>
          <w:p>
            <w:pPr>
              <w:pStyle w:val="13"/>
            </w:pPr>
            <w:r>
              <w:t>181.54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109.66</w:t>
            </w:r>
          </w:p>
        </w:tc>
        <w:tc>
          <w:tcPr>
            <w:tcW w:w="1134" w:type="dxa"/>
            <w:vAlign w:val="center"/>
          </w:tcPr>
          <w:p>
            <w:pPr>
              <w:pStyle w:val="13"/>
            </w:pPr>
            <w:r>
              <w:t>109.66</w:t>
            </w:r>
          </w:p>
        </w:tc>
        <w:tc>
          <w:tcPr>
            <w:tcW w:w="1134" w:type="dxa"/>
            <w:vAlign w:val="center"/>
          </w:tcPr>
          <w:p>
            <w:pPr>
              <w:pStyle w:val="13"/>
            </w:pPr>
            <w:r>
              <w:t>109.66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71.88</w:t>
            </w:r>
          </w:p>
        </w:tc>
        <w:tc>
          <w:tcPr>
            <w:tcW w:w="1134" w:type="dxa"/>
            <w:vAlign w:val="center"/>
          </w:tcPr>
          <w:p>
            <w:pPr>
              <w:pStyle w:val="13"/>
            </w:pPr>
            <w:r>
              <w:t>71.88</w:t>
            </w:r>
          </w:p>
        </w:tc>
        <w:tc>
          <w:tcPr>
            <w:tcW w:w="1134" w:type="dxa"/>
            <w:vAlign w:val="center"/>
          </w:tcPr>
          <w:p>
            <w:pPr>
              <w:pStyle w:val="13"/>
            </w:pPr>
            <w:r>
              <w:t>71.88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106.03</w:t>
            </w:r>
          </w:p>
        </w:tc>
        <w:tc>
          <w:tcPr>
            <w:tcW w:w="1134" w:type="dxa"/>
            <w:vAlign w:val="center"/>
          </w:tcPr>
          <w:p>
            <w:pPr>
              <w:pStyle w:val="13"/>
            </w:pPr>
            <w:r>
              <w:t>106.03</w:t>
            </w:r>
          </w:p>
        </w:tc>
        <w:tc>
          <w:tcPr>
            <w:tcW w:w="1134" w:type="dxa"/>
            <w:vAlign w:val="center"/>
          </w:tcPr>
          <w:p>
            <w:pPr>
              <w:pStyle w:val="13"/>
            </w:pPr>
            <w:r>
              <w:t>106.03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106.03</w:t>
            </w:r>
          </w:p>
        </w:tc>
        <w:tc>
          <w:tcPr>
            <w:tcW w:w="1134" w:type="dxa"/>
            <w:vAlign w:val="center"/>
          </w:tcPr>
          <w:p>
            <w:pPr>
              <w:pStyle w:val="13"/>
            </w:pPr>
            <w:r>
              <w:t>106.03</w:t>
            </w:r>
          </w:p>
        </w:tc>
        <w:tc>
          <w:tcPr>
            <w:tcW w:w="1134" w:type="dxa"/>
            <w:vAlign w:val="center"/>
          </w:tcPr>
          <w:p>
            <w:pPr>
              <w:pStyle w:val="13"/>
            </w:pPr>
            <w:r>
              <w:t>106.03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35.63</w:t>
            </w:r>
          </w:p>
        </w:tc>
        <w:tc>
          <w:tcPr>
            <w:tcW w:w="1134" w:type="dxa"/>
            <w:vAlign w:val="center"/>
          </w:tcPr>
          <w:p>
            <w:pPr>
              <w:pStyle w:val="13"/>
            </w:pPr>
            <w:r>
              <w:t>35.63</w:t>
            </w:r>
          </w:p>
        </w:tc>
        <w:tc>
          <w:tcPr>
            <w:tcW w:w="1134" w:type="dxa"/>
            <w:vAlign w:val="center"/>
          </w:tcPr>
          <w:p>
            <w:pPr>
              <w:pStyle w:val="13"/>
            </w:pPr>
            <w:r>
              <w:t>35.63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70.40</w:t>
            </w:r>
          </w:p>
        </w:tc>
        <w:tc>
          <w:tcPr>
            <w:tcW w:w="1134" w:type="dxa"/>
            <w:vAlign w:val="center"/>
          </w:tcPr>
          <w:p>
            <w:pPr>
              <w:pStyle w:val="13"/>
            </w:pPr>
            <w:r>
              <w:t>70.40</w:t>
            </w:r>
          </w:p>
        </w:tc>
        <w:tc>
          <w:tcPr>
            <w:tcW w:w="1134" w:type="dxa"/>
            <w:vAlign w:val="center"/>
          </w:tcPr>
          <w:p>
            <w:pPr>
              <w:pStyle w:val="13"/>
            </w:pPr>
            <w:r>
              <w:t>70.40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53.70</w:t>
            </w:r>
          </w:p>
        </w:tc>
        <w:tc>
          <w:tcPr>
            <w:tcW w:w="1134" w:type="dxa"/>
            <w:vAlign w:val="center"/>
          </w:tcPr>
          <w:p>
            <w:pPr>
              <w:pStyle w:val="13"/>
            </w:pPr>
            <w:r>
              <w:t>53.70</w:t>
            </w:r>
          </w:p>
        </w:tc>
        <w:tc>
          <w:tcPr>
            <w:tcW w:w="1134" w:type="dxa"/>
            <w:vAlign w:val="center"/>
          </w:tcPr>
          <w:p>
            <w:pPr>
              <w:pStyle w:val="13"/>
            </w:pPr>
            <w:r>
              <w:t>53.70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53.70</w:t>
            </w:r>
          </w:p>
        </w:tc>
        <w:tc>
          <w:tcPr>
            <w:tcW w:w="1134" w:type="dxa"/>
            <w:vAlign w:val="center"/>
          </w:tcPr>
          <w:p>
            <w:pPr>
              <w:pStyle w:val="13"/>
            </w:pPr>
            <w:r>
              <w:t>53.70</w:t>
            </w:r>
          </w:p>
        </w:tc>
        <w:tc>
          <w:tcPr>
            <w:tcW w:w="1134" w:type="dxa"/>
            <w:vAlign w:val="center"/>
          </w:tcPr>
          <w:p>
            <w:pPr>
              <w:pStyle w:val="13"/>
            </w:pPr>
            <w:r>
              <w:t>53.70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53.70</w:t>
            </w:r>
          </w:p>
        </w:tc>
        <w:tc>
          <w:tcPr>
            <w:tcW w:w="1134" w:type="dxa"/>
            <w:vAlign w:val="center"/>
          </w:tcPr>
          <w:p>
            <w:pPr>
              <w:pStyle w:val="13"/>
            </w:pPr>
            <w:r>
              <w:t>53.70</w:t>
            </w:r>
          </w:p>
        </w:tc>
        <w:tc>
          <w:tcPr>
            <w:tcW w:w="1134" w:type="dxa"/>
            <w:vAlign w:val="center"/>
          </w:tcPr>
          <w:p>
            <w:pPr>
              <w:pStyle w:val="13"/>
            </w:pPr>
            <w:r>
              <w:t>53.70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1206.36</w:t>
            </w:r>
          </w:p>
        </w:tc>
        <w:tc>
          <w:tcPr>
            <w:tcW w:w="1361" w:type="dxa"/>
            <w:vAlign w:val="center"/>
          </w:tcPr>
          <w:p>
            <w:pPr>
              <w:pStyle w:val="17"/>
            </w:pPr>
            <w:r>
              <w:t>911.36</w:t>
            </w:r>
          </w:p>
        </w:tc>
        <w:tc>
          <w:tcPr>
            <w:tcW w:w="1361" w:type="dxa"/>
            <w:vAlign w:val="center"/>
          </w:tcPr>
          <w:p>
            <w:pPr>
              <w:pStyle w:val="17"/>
            </w:pPr>
            <w:r>
              <w:t>295.00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865.09</w:t>
            </w:r>
          </w:p>
        </w:tc>
        <w:tc>
          <w:tcPr>
            <w:tcW w:w="1361" w:type="dxa"/>
            <w:vAlign w:val="center"/>
          </w:tcPr>
          <w:p>
            <w:pPr>
              <w:pStyle w:val="13"/>
            </w:pPr>
            <w:r>
              <w:t>570.09</w:t>
            </w:r>
          </w:p>
        </w:tc>
        <w:tc>
          <w:tcPr>
            <w:tcW w:w="1361" w:type="dxa"/>
            <w:vAlign w:val="center"/>
          </w:tcPr>
          <w:p>
            <w:pPr>
              <w:pStyle w:val="13"/>
            </w:pPr>
            <w:r>
              <w:t>295.00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865.09</w:t>
            </w:r>
          </w:p>
        </w:tc>
        <w:tc>
          <w:tcPr>
            <w:tcW w:w="1361" w:type="dxa"/>
            <w:vAlign w:val="center"/>
          </w:tcPr>
          <w:p>
            <w:pPr>
              <w:pStyle w:val="13"/>
            </w:pPr>
            <w:r>
              <w:t>570.09</w:t>
            </w:r>
          </w:p>
        </w:tc>
        <w:tc>
          <w:tcPr>
            <w:tcW w:w="1361" w:type="dxa"/>
            <w:vAlign w:val="center"/>
          </w:tcPr>
          <w:p>
            <w:pPr>
              <w:pStyle w:val="13"/>
            </w:pPr>
            <w:r>
              <w:t>295.00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2011301</w:t>
            </w:r>
          </w:p>
        </w:tc>
        <w:tc>
          <w:tcPr>
            <w:tcW w:w="4535" w:type="dxa"/>
            <w:vAlign w:val="center"/>
          </w:tcPr>
          <w:p>
            <w:pPr>
              <w:pStyle w:val="14"/>
            </w:pPr>
            <w:r>
              <w:t>行政运行</w:t>
            </w:r>
          </w:p>
        </w:tc>
        <w:tc>
          <w:tcPr>
            <w:tcW w:w="1361" w:type="dxa"/>
            <w:vAlign w:val="center"/>
          </w:tcPr>
          <w:p>
            <w:pPr>
              <w:pStyle w:val="13"/>
            </w:pPr>
            <w:r>
              <w:t>605.09</w:t>
            </w:r>
          </w:p>
        </w:tc>
        <w:tc>
          <w:tcPr>
            <w:tcW w:w="1361" w:type="dxa"/>
            <w:vAlign w:val="center"/>
          </w:tcPr>
          <w:p>
            <w:pPr>
              <w:pStyle w:val="13"/>
            </w:pPr>
            <w:r>
              <w:t>570.09</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260.00</w:t>
            </w:r>
          </w:p>
        </w:tc>
        <w:tc>
          <w:tcPr>
            <w:tcW w:w="1361" w:type="dxa"/>
            <w:vAlign w:val="center"/>
          </w:tcPr>
          <w:p>
            <w:pPr>
              <w:pStyle w:val="13"/>
            </w:pPr>
          </w:p>
        </w:tc>
        <w:tc>
          <w:tcPr>
            <w:tcW w:w="1361" w:type="dxa"/>
            <w:vAlign w:val="center"/>
          </w:tcPr>
          <w:p>
            <w:pPr>
              <w:pStyle w:val="13"/>
            </w:pPr>
            <w:r>
              <w:t>260.00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181.54</w:t>
            </w:r>
          </w:p>
        </w:tc>
        <w:tc>
          <w:tcPr>
            <w:tcW w:w="1361" w:type="dxa"/>
            <w:vAlign w:val="center"/>
          </w:tcPr>
          <w:p>
            <w:pPr>
              <w:pStyle w:val="13"/>
            </w:pPr>
            <w:r>
              <w:t>181.54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181.54</w:t>
            </w:r>
          </w:p>
        </w:tc>
        <w:tc>
          <w:tcPr>
            <w:tcW w:w="1361" w:type="dxa"/>
            <w:vAlign w:val="center"/>
          </w:tcPr>
          <w:p>
            <w:pPr>
              <w:pStyle w:val="13"/>
            </w:pPr>
            <w:r>
              <w:t>181.54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109.66</w:t>
            </w:r>
          </w:p>
        </w:tc>
        <w:tc>
          <w:tcPr>
            <w:tcW w:w="1361" w:type="dxa"/>
            <w:vAlign w:val="center"/>
          </w:tcPr>
          <w:p>
            <w:pPr>
              <w:pStyle w:val="13"/>
            </w:pPr>
            <w:r>
              <w:t>109.66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71.88</w:t>
            </w:r>
          </w:p>
        </w:tc>
        <w:tc>
          <w:tcPr>
            <w:tcW w:w="1361" w:type="dxa"/>
            <w:vAlign w:val="center"/>
          </w:tcPr>
          <w:p>
            <w:pPr>
              <w:pStyle w:val="13"/>
            </w:pPr>
            <w:r>
              <w:t>71.88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106.03</w:t>
            </w:r>
          </w:p>
        </w:tc>
        <w:tc>
          <w:tcPr>
            <w:tcW w:w="1361" w:type="dxa"/>
            <w:vAlign w:val="center"/>
          </w:tcPr>
          <w:p>
            <w:pPr>
              <w:pStyle w:val="13"/>
            </w:pPr>
            <w:r>
              <w:t>106.03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106.03</w:t>
            </w:r>
          </w:p>
        </w:tc>
        <w:tc>
          <w:tcPr>
            <w:tcW w:w="1361" w:type="dxa"/>
            <w:vAlign w:val="center"/>
          </w:tcPr>
          <w:p>
            <w:pPr>
              <w:pStyle w:val="13"/>
            </w:pPr>
            <w:r>
              <w:t>106.03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35.63</w:t>
            </w:r>
          </w:p>
        </w:tc>
        <w:tc>
          <w:tcPr>
            <w:tcW w:w="1361" w:type="dxa"/>
            <w:vAlign w:val="center"/>
          </w:tcPr>
          <w:p>
            <w:pPr>
              <w:pStyle w:val="13"/>
            </w:pPr>
            <w:r>
              <w:t>35.63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70.40</w:t>
            </w:r>
          </w:p>
        </w:tc>
        <w:tc>
          <w:tcPr>
            <w:tcW w:w="1361" w:type="dxa"/>
            <w:vAlign w:val="center"/>
          </w:tcPr>
          <w:p>
            <w:pPr>
              <w:pStyle w:val="13"/>
            </w:pPr>
            <w:r>
              <w:t>70.40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53.70</w:t>
            </w:r>
          </w:p>
        </w:tc>
        <w:tc>
          <w:tcPr>
            <w:tcW w:w="1361" w:type="dxa"/>
            <w:vAlign w:val="center"/>
          </w:tcPr>
          <w:p>
            <w:pPr>
              <w:pStyle w:val="13"/>
            </w:pPr>
            <w:r>
              <w:t>53.70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53.70</w:t>
            </w:r>
          </w:p>
        </w:tc>
        <w:tc>
          <w:tcPr>
            <w:tcW w:w="1361" w:type="dxa"/>
            <w:vAlign w:val="center"/>
          </w:tcPr>
          <w:p>
            <w:pPr>
              <w:pStyle w:val="13"/>
            </w:pPr>
            <w:r>
              <w:t>53.70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53.70</w:t>
            </w:r>
          </w:p>
        </w:tc>
        <w:tc>
          <w:tcPr>
            <w:tcW w:w="1361" w:type="dxa"/>
            <w:vAlign w:val="center"/>
          </w:tcPr>
          <w:p>
            <w:pPr>
              <w:pStyle w:val="13"/>
            </w:pPr>
            <w:r>
              <w:t>53.70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1096.36</w:t>
            </w:r>
          </w:p>
        </w:tc>
        <w:tc>
          <w:tcPr>
            <w:tcW w:w="3402" w:type="dxa"/>
            <w:vAlign w:val="center"/>
          </w:tcPr>
          <w:p>
            <w:pPr>
              <w:pStyle w:val="14"/>
            </w:pPr>
            <w:r>
              <w:t>一、一般公共服务支出</w:t>
            </w:r>
          </w:p>
        </w:tc>
        <w:tc>
          <w:tcPr>
            <w:tcW w:w="1474" w:type="dxa"/>
            <w:vAlign w:val="center"/>
          </w:tcPr>
          <w:p>
            <w:pPr>
              <w:pStyle w:val="13"/>
            </w:pPr>
            <w:r>
              <w:t>865.09</w:t>
            </w:r>
          </w:p>
        </w:tc>
        <w:tc>
          <w:tcPr>
            <w:tcW w:w="1474" w:type="dxa"/>
            <w:vAlign w:val="center"/>
          </w:tcPr>
          <w:p>
            <w:pPr>
              <w:pStyle w:val="13"/>
            </w:pPr>
            <w:r>
              <w:t>865.09</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181.54</w:t>
            </w:r>
          </w:p>
        </w:tc>
        <w:tc>
          <w:tcPr>
            <w:tcW w:w="1474" w:type="dxa"/>
            <w:vAlign w:val="center"/>
          </w:tcPr>
          <w:p>
            <w:pPr>
              <w:pStyle w:val="13"/>
            </w:pPr>
            <w:r>
              <w:t>181.54</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106.03</w:t>
            </w:r>
          </w:p>
        </w:tc>
        <w:tc>
          <w:tcPr>
            <w:tcW w:w="1474" w:type="dxa"/>
            <w:vAlign w:val="center"/>
          </w:tcPr>
          <w:p>
            <w:pPr>
              <w:pStyle w:val="13"/>
            </w:pPr>
            <w:r>
              <w:t>106.03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53.70</w:t>
            </w:r>
          </w:p>
        </w:tc>
        <w:tc>
          <w:tcPr>
            <w:tcW w:w="1474" w:type="dxa"/>
            <w:vAlign w:val="center"/>
          </w:tcPr>
          <w:p>
            <w:pPr>
              <w:pStyle w:val="13"/>
            </w:pPr>
            <w:r>
              <w:t>53.70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1096.36</w:t>
            </w:r>
          </w:p>
        </w:tc>
        <w:tc>
          <w:tcPr>
            <w:tcW w:w="3402" w:type="dxa"/>
            <w:vAlign w:val="center"/>
          </w:tcPr>
          <w:p>
            <w:pPr>
              <w:pStyle w:val="16"/>
            </w:pPr>
            <w:r>
              <w:t>本年支出合计</w:t>
            </w:r>
          </w:p>
        </w:tc>
        <w:tc>
          <w:tcPr>
            <w:tcW w:w="1474" w:type="dxa"/>
            <w:vAlign w:val="center"/>
          </w:tcPr>
          <w:p>
            <w:pPr>
              <w:pStyle w:val="17"/>
            </w:pPr>
            <w:r>
              <w:t>1206.36</w:t>
            </w:r>
          </w:p>
        </w:tc>
        <w:tc>
          <w:tcPr>
            <w:tcW w:w="1474" w:type="dxa"/>
            <w:vAlign w:val="center"/>
          </w:tcPr>
          <w:p>
            <w:pPr>
              <w:pStyle w:val="17"/>
            </w:pPr>
            <w:r>
              <w:t>1206.36</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110.00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110.00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1206.36</w:t>
            </w:r>
          </w:p>
        </w:tc>
        <w:tc>
          <w:tcPr>
            <w:tcW w:w="3402" w:type="dxa"/>
            <w:vAlign w:val="center"/>
          </w:tcPr>
          <w:p>
            <w:pPr>
              <w:pStyle w:val="16"/>
            </w:pPr>
            <w:r>
              <w:t>支出总计</w:t>
            </w:r>
          </w:p>
        </w:tc>
        <w:tc>
          <w:tcPr>
            <w:tcW w:w="1474" w:type="dxa"/>
            <w:vAlign w:val="center"/>
          </w:tcPr>
          <w:p>
            <w:pPr>
              <w:pStyle w:val="17"/>
            </w:pPr>
            <w:r>
              <w:t>1206.36</w:t>
            </w:r>
          </w:p>
        </w:tc>
        <w:tc>
          <w:tcPr>
            <w:tcW w:w="1474" w:type="dxa"/>
            <w:vAlign w:val="center"/>
          </w:tcPr>
          <w:p>
            <w:pPr>
              <w:pStyle w:val="17"/>
            </w:pPr>
            <w:r>
              <w:t>1206.36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1206.36</w:t>
            </w:r>
          </w:p>
        </w:tc>
        <w:tc>
          <w:tcPr>
            <w:tcW w:w="2551" w:type="dxa"/>
            <w:vAlign w:val="center"/>
          </w:tcPr>
          <w:p>
            <w:pPr>
              <w:pStyle w:val="17"/>
            </w:pPr>
            <w:r>
              <w:t>911.36</w:t>
            </w:r>
          </w:p>
        </w:tc>
        <w:tc>
          <w:tcPr>
            <w:tcW w:w="2551" w:type="dxa"/>
            <w:vAlign w:val="center"/>
          </w:tcPr>
          <w:p>
            <w:pPr>
              <w:pStyle w:val="17"/>
            </w:pPr>
            <w:r>
              <w:t>295.00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865.09</w:t>
            </w:r>
          </w:p>
        </w:tc>
        <w:tc>
          <w:tcPr>
            <w:tcW w:w="2551" w:type="dxa"/>
            <w:vAlign w:val="center"/>
          </w:tcPr>
          <w:p>
            <w:pPr>
              <w:pStyle w:val="13"/>
            </w:pPr>
            <w:r>
              <w:t>570.09</w:t>
            </w:r>
          </w:p>
        </w:tc>
        <w:tc>
          <w:tcPr>
            <w:tcW w:w="2551" w:type="dxa"/>
            <w:vAlign w:val="center"/>
          </w:tcPr>
          <w:p>
            <w:pPr>
              <w:pStyle w:val="13"/>
            </w:pPr>
            <w:r>
              <w:t>295.00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865.09</w:t>
            </w:r>
          </w:p>
        </w:tc>
        <w:tc>
          <w:tcPr>
            <w:tcW w:w="2551" w:type="dxa"/>
            <w:vAlign w:val="center"/>
          </w:tcPr>
          <w:p>
            <w:pPr>
              <w:pStyle w:val="13"/>
            </w:pPr>
            <w:r>
              <w:t>570.09</w:t>
            </w:r>
          </w:p>
        </w:tc>
        <w:tc>
          <w:tcPr>
            <w:tcW w:w="2551" w:type="dxa"/>
            <w:vAlign w:val="center"/>
          </w:tcPr>
          <w:p>
            <w:pPr>
              <w:pStyle w:val="13"/>
            </w:pPr>
            <w:r>
              <w:t>295.00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t>行政运行</w:t>
            </w:r>
          </w:p>
        </w:tc>
        <w:tc>
          <w:tcPr>
            <w:tcW w:w="2551" w:type="dxa"/>
            <w:vAlign w:val="center"/>
          </w:tcPr>
          <w:p>
            <w:pPr>
              <w:pStyle w:val="13"/>
            </w:pPr>
            <w:r>
              <w:t>605.09</w:t>
            </w:r>
          </w:p>
        </w:tc>
        <w:tc>
          <w:tcPr>
            <w:tcW w:w="2551" w:type="dxa"/>
            <w:vAlign w:val="center"/>
          </w:tcPr>
          <w:p>
            <w:pPr>
              <w:pStyle w:val="13"/>
            </w:pPr>
            <w:r>
              <w:t>570.09</w:t>
            </w: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260.00</w:t>
            </w:r>
          </w:p>
        </w:tc>
        <w:tc>
          <w:tcPr>
            <w:tcW w:w="2551" w:type="dxa"/>
            <w:vAlign w:val="center"/>
          </w:tcPr>
          <w:p>
            <w:pPr>
              <w:pStyle w:val="13"/>
            </w:pPr>
          </w:p>
        </w:tc>
        <w:tc>
          <w:tcPr>
            <w:tcW w:w="2551" w:type="dxa"/>
            <w:vAlign w:val="center"/>
          </w:tcPr>
          <w:p>
            <w:pPr>
              <w:pStyle w:val="13"/>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181.54</w:t>
            </w:r>
          </w:p>
        </w:tc>
        <w:tc>
          <w:tcPr>
            <w:tcW w:w="2551" w:type="dxa"/>
            <w:vAlign w:val="center"/>
          </w:tcPr>
          <w:p>
            <w:pPr>
              <w:pStyle w:val="13"/>
            </w:pPr>
            <w:r>
              <w:t>181.54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181.54</w:t>
            </w:r>
          </w:p>
        </w:tc>
        <w:tc>
          <w:tcPr>
            <w:tcW w:w="2551" w:type="dxa"/>
            <w:vAlign w:val="center"/>
          </w:tcPr>
          <w:p>
            <w:pPr>
              <w:pStyle w:val="13"/>
            </w:pPr>
            <w:r>
              <w:t>181.54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109.66</w:t>
            </w:r>
          </w:p>
        </w:tc>
        <w:tc>
          <w:tcPr>
            <w:tcW w:w="2551" w:type="dxa"/>
            <w:vAlign w:val="center"/>
          </w:tcPr>
          <w:p>
            <w:pPr>
              <w:pStyle w:val="13"/>
            </w:pPr>
            <w:r>
              <w:t>109.66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71.88</w:t>
            </w:r>
          </w:p>
        </w:tc>
        <w:tc>
          <w:tcPr>
            <w:tcW w:w="2551" w:type="dxa"/>
            <w:vAlign w:val="center"/>
          </w:tcPr>
          <w:p>
            <w:pPr>
              <w:pStyle w:val="13"/>
            </w:pPr>
            <w:r>
              <w:t>71.88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106.03</w:t>
            </w:r>
          </w:p>
        </w:tc>
        <w:tc>
          <w:tcPr>
            <w:tcW w:w="2551" w:type="dxa"/>
            <w:vAlign w:val="center"/>
          </w:tcPr>
          <w:p>
            <w:pPr>
              <w:pStyle w:val="13"/>
            </w:pPr>
            <w:r>
              <w:t>106.03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106.03</w:t>
            </w:r>
          </w:p>
        </w:tc>
        <w:tc>
          <w:tcPr>
            <w:tcW w:w="2551" w:type="dxa"/>
            <w:vAlign w:val="center"/>
          </w:tcPr>
          <w:p>
            <w:pPr>
              <w:pStyle w:val="13"/>
            </w:pPr>
            <w:r>
              <w:t>106.03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35.63</w:t>
            </w:r>
          </w:p>
        </w:tc>
        <w:tc>
          <w:tcPr>
            <w:tcW w:w="2551" w:type="dxa"/>
            <w:vAlign w:val="center"/>
          </w:tcPr>
          <w:p>
            <w:pPr>
              <w:pStyle w:val="13"/>
            </w:pPr>
            <w:r>
              <w:t>35.63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70.40</w:t>
            </w:r>
          </w:p>
        </w:tc>
        <w:tc>
          <w:tcPr>
            <w:tcW w:w="2551" w:type="dxa"/>
            <w:vAlign w:val="center"/>
          </w:tcPr>
          <w:p>
            <w:pPr>
              <w:pStyle w:val="13"/>
            </w:pPr>
            <w:r>
              <w:t>70.40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53.70</w:t>
            </w:r>
          </w:p>
        </w:tc>
        <w:tc>
          <w:tcPr>
            <w:tcW w:w="2551" w:type="dxa"/>
            <w:vAlign w:val="center"/>
          </w:tcPr>
          <w:p>
            <w:pPr>
              <w:pStyle w:val="13"/>
            </w:pPr>
            <w:r>
              <w:t>53.70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53.70</w:t>
            </w:r>
          </w:p>
        </w:tc>
        <w:tc>
          <w:tcPr>
            <w:tcW w:w="2551" w:type="dxa"/>
            <w:vAlign w:val="center"/>
          </w:tcPr>
          <w:p>
            <w:pPr>
              <w:pStyle w:val="13"/>
            </w:pPr>
            <w:r>
              <w:t>53.70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53.70</w:t>
            </w:r>
          </w:p>
        </w:tc>
        <w:tc>
          <w:tcPr>
            <w:tcW w:w="2551" w:type="dxa"/>
            <w:vAlign w:val="center"/>
          </w:tcPr>
          <w:p>
            <w:pPr>
              <w:pStyle w:val="13"/>
            </w:pPr>
            <w:r>
              <w:t>53.70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911.36</w:t>
            </w:r>
          </w:p>
        </w:tc>
        <w:tc>
          <w:tcPr>
            <w:tcW w:w="2551" w:type="dxa"/>
            <w:vAlign w:val="center"/>
          </w:tcPr>
          <w:p>
            <w:pPr>
              <w:pStyle w:val="17"/>
            </w:pPr>
            <w:r>
              <w:t>878.44</w:t>
            </w:r>
          </w:p>
        </w:tc>
        <w:tc>
          <w:tcPr>
            <w:tcW w:w="2551" w:type="dxa"/>
            <w:vAlign w:val="center"/>
          </w:tcPr>
          <w:p>
            <w:pPr>
              <w:pStyle w:val="17"/>
            </w:pPr>
            <w:r>
              <w:t>32.92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758.99</w:t>
            </w:r>
          </w:p>
        </w:tc>
        <w:tc>
          <w:tcPr>
            <w:tcW w:w="2551" w:type="dxa"/>
            <w:vAlign w:val="center"/>
          </w:tcPr>
          <w:p>
            <w:pPr>
              <w:pStyle w:val="13"/>
            </w:pPr>
            <w:r>
              <w:t>758.99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228.62</w:t>
            </w:r>
          </w:p>
        </w:tc>
        <w:tc>
          <w:tcPr>
            <w:tcW w:w="2551" w:type="dxa"/>
            <w:vAlign w:val="center"/>
          </w:tcPr>
          <w:p>
            <w:pPr>
              <w:pStyle w:val="13"/>
            </w:pPr>
            <w:r>
              <w:t>228.62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56.69</w:t>
            </w:r>
          </w:p>
        </w:tc>
        <w:tc>
          <w:tcPr>
            <w:tcW w:w="2551" w:type="dxa"/>
            <w:vAlign w:val="center"/>
          </w:tcPr>
          <w:p>
            <w:pPr>
              <w:pStyle w:val="13"/>
            </w:pPr>
            <w:r>
              <w:t>56.69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44.51</w:t>
            </w:r>
          </w:p>
        </w:tc>
        <w:tc>
          <w:tcPr>
            <w:tcW w:w="2551" w:type="dxa"/>
            <w:vAlign w:val="center"/>
          </w:tcPr>
          <w:p>
            <w:pPr>
              <w:pStyle w:val="13"/>
            </w:pPr>
            <w:r>
              <w:t>44.51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136.52</w:t>
            </w:r>
          </w:p>
        </w:tc>
        <w:tc>
          <w:tcPr>
            <w:tcW w:w="2551" w:type="dxa"/>
            <w:vAlign w:val="center"/>
          </w:tcPr>
          <w:p>
            <w:pPr>
              <w:pStyle w:val="13"/>
            </w:pPr>
            <w:r>
              <w:t>136.52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71.88</w:t>
            </w:r>
          </w:p>
        </w:tc>
        <w:tc>
          <w:tcPr>
            <w:tcW w:w="2551" w:type="dxa"/>
            <w:vAlign w:val="center"/>
          </w:tcPr>
          <w:p>
            <w:pPr>
              <w:pStyle w:val="13"/>
            </w:pPr>
            <w:r>
              <w:t>71.88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35.63</w:t>
            </w:r>
          </w:p>
        </w:tc>
        <w:tc>
          <w:tcPr>
            <w:tcW w:w="2551" w:type="dxa"/>
            <w:vAlign w:val="center"/>
          </w:tcPr>
          <w:p>
            <w:pPr>
              <w:pStyle w:val="13"/>
            </w:pPr>
            <w:r>
              <w:t>35.63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70.40</w:t>
            </w:r>
          </w:p>
        </w:tc>
        <w:tc>
          <w:tcPr>
            <w:tcW w:w="2551" w:type="dxa"/>
            <w:vAlign w:val="center"/>
          </w:tcPr>
          <w:p>
            <w:pPr>
              <w:pStyle w:val="13"/>
            </w:pPr>
            <w:r>
              <w:t>70.40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4.53</w:t>
            </w:r>
          </w:p>
        </w:tc>
        <w:tc>
          <w:tcPr>
            <w:tcW w:w="2551" w:type="dxa"/>
            <w:vAlign w:val="center"/>
          </w:tcPr>
          <w:p>
            <w:pPr>
              <w:pStyle w:val="13"/>
            </w:pPr>
            <w:r>
              <w:t>4.53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53.70</w:t>
            </w:r>
          </w:p>
        </w:tc>
        <w:tc>
          <w:tcPr>
            <w:tcW w:w="2551" w:type="dxa"/>
            <w:vAlign w:val="center"/>
          </w:tcPr>
          <w:p>
            <w:pPr>
              <w:pStyle w:val="13"/>
            </w:pPr>
            <w:r>
              <w:t>53.70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56.51</w:t>
            </w:r>
          </w:p>
        </w:tc>
        <w:tc>
          <w:tcPr>
            <w:tcW w:w="2551" w:type="dxa"/>
            <w:vAlign w:val="center"/>
          </w:tcPr>
          <w:p>
            <w:pPr>
              <w:pStyle w:val="13"/>
            </w:pPr>
            <w:r>
              <w:t>56.51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32.92</w:t>
            </w:r>
          </w:p>
        </w:tc>
        <w:tc>
          <w:tcPr>
            <w:tcW w:w="2551" w:type="dxa"/>
            <w:vAlign w:val="center"/>
          </w:tcPr>
          <w:p>
            <w:pPr>
              <w:pStyle w:val="13"/>
            </w:pPr>
          </w:p>
        </w:tc>
        <w:tc>
          <w:tcPr>
            <w:tcW w:w="2551" w:type="dxa"/>
            <w:vAlign w:val="center"/>
          </w:tcPr>
          <w:p>
            <w:pPr>
              <w:pStyle w:val="13"/>
            </w:pPr>
            <w:r>
              <w:t>32.92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4.53</w:t>
            </w:r>
          </w:p>
        </w:tc>
        <w:tc>
          <w:tcPr>
            <w:tcW w:w="2551" w:type="dxa"/>
            <w:vAlign w:val="center"/>
          </w:tcPr>
          <w:p>
            <w:pPr>
              <w:pStyle w:val="13"/>
            </w:pPr>
          </w:p>
        </w:tc>
        <w:tc>
          <w:tcPr>
            <w:tcW w:w="2551" w:type="dxa"/>
            <w:vAlign w:val="center"/>
          </w:tcPr>
          <w:p>
            <w:pPr>
              <w:pStyle w:val="13"/>
            </w:pPr>
            <w:r>
              <w:t>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3.64</w:t>
            </w:r>
          </w:p>
        </w:tc>
        <w:tc>
          <w:tcPr>
            <w:tcW w:w="2551" w:type="dxa"/>
            <w:vAlign w:val="center"/>
          </w:tcPr>
          <w:p>
            <w:pPr>
              <w:pStyle w:val="13"/>
            </w:pPr>
          </w:p>
        </w:tc>
        <w:tc>
          <w:tcPr>
            <w:tcW w:w="2551" w:type="dxa"/>
            <w:vAlign w:val="center"/>
          </w:tcPr>
          <w:p>
            <w:pPr>
              <w:pStyle w:val="13"/>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3.03</w:t>
            </w:r>
          </w:p>
        </w:tc>
        <w:tc>
          <w:tcPr>
            <w:tcW w:w="2551" w:type="dxa"/>
            <w:vAlign w:val="center"/>
          </w:tcPr>
          <w:p>
            <w:pPr>
              <w:pStyle w:val="13"/>
            </w:pPr>
          </w:p>
        </w:tc>
        <w:tc>
          <w:tcPr>
            <w:tcW w:w="2551" w:type="dxa"/>
            <w:vAlign w:val="center"/>
          </w:tcPr>
          <w:p>
            <w:pPr>
              <w:pStyle w:val="13"/>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11.34</w:t>
            </w:r>
          </w:p>
        </w:tc>
        <w:tc>
          <w:tcPr>
            <w:tcW w:w="2551" w:type="dxa"/>
            <w:vAlign w:val="center"/>
          </w:tcPr>
          <w:p>
            <w:pPr>
              <w:pStyle w:val="13"/>
            </w:pPr>
          </w:p>
        </w:tc>
        <w:tc>
          <w:tcPr>
            <w:tcW w:w="2551" w:type="dxa"/>
            <w:vAlign w:val="center"/>
          </w:tcPr>
          <w:p>
            <w:pPr>
              <w:pStyle w:val="13"/>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9.78</w:t>
            </w:r>
          </w:p>
        </w:tc>
        <w:tc>
          <w:tcPr>
            <w:tcW w:w="2551" w:type="dxa"/>
            <w:vAlign w:val="center"/>
          </w:tcPr>
          <w:p>
            <w:pPr>
              <w:pStyle w:val="13"/>
            </w:pPr>
          </w:p>
        </w:tc>
        <w:tc>
          <w:tcPr>
            <w:tcW w:w="2551" w:type="dxa"/>
            <w:vAlign w:val="center"/>
          </w:tcPr>
          <w:p>
            <w:pPr>
              <w:pStyle w:val="13"/>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119.45</w:t>
            </w:r>
          </w:p>
        </w:tc>
        <w:tc>
          <w:tcPr>
            <w:tcW w:w="2551" w:type="dxa"/>
            <w:vAlign w:val="center"/>
          </w:tcPr>
          <w:p>
            <w:pPr>
              <w:pStyle w:val="13"/>
            </w:pPr>
            <w:r>
              <w:t>119.45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33.56</w:t>
            </w:r>
          </w:p>
        </w:tc>
        <w:tc>
          <w:tcPr>
            <w:tcW w:w="2551" w:type="dxa"/>
            <w:vAlign w:val="center"/>
          </w:tcPr>
          <w:p>
            <w:pPr>
              <w:pStyle w:val="13"/>
            </w:pPr>
            <w:r>
              <w:t>33.56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76.10</w:t>
            </w:r>
          </w:p>
        </w:tc>
        <w:tc>
          <w:tcPr>
            <w:tcW w:w="2551" w:type="dxa"/>
            <w:vAlign w:val="center"/>
          </w:tcPr>
          <w:p>
            <w:pPr>
              <w:pStyle w:val="13"/>
            </w:pPr>
            <w:r>
              <w:t>76.10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2.30</w:t>
            </w:r>
          </w:p>
        </w:tc>
        <w:tc>
          <w:tcPr>
            <w:tcW w:w="2551" w:type="dxa"/>
            <w:vAlign w:val="center"/>
          </w:tcPr>
          <w:p>
            <w:pPr>
              <w:pStyle w:val="13"/>
            </w:pPr>
            <w:r>
              <w:t>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6.29</w:t>
            </w:r>
          </w:p>
        </w:tc>
        <w:tc>
          <w:tcPr>
            <w:tcW w:w="2551" w:type="dxa"/>
            <w:vAlign w:val="center"/>
          </w:tcPr>
          <w:p>
            <w:pPr>
              <w:pStyle w:val="13"/>
            </w:pPr>
            <w:r>
              <w:t>6.29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310" w:firstLineChars="11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pStyle w:val="14"/>
              <w:ind w:firstLine="1680" w:firstLineChars="800"/>
              <w:rPr>
                <w:rFonts w:hint="eastAsia" w:ascii="方正书宋_GBK" w:hAnsi="方正书宋_GBK" w:eastAsia="方正书宋_GBK" w:cs="方正书宋_GBK"/>
                <w:sz w:val="21"/>
                <w:szCs w:val="24"/>
                <w:lang w:val="en-US" w:eastAsia="zh-CN" w:bidi="ar-SA"/>
              </w:rPr>
            </w:pPr>
            <w:r>
              <w:rPr>
                <w:rFonts w:hint="eastAsia"/>
                <w:lang w:eastAsia="zh-CN"/>
              </w:rPr>
              <w:t>合合计</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2</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“三公”经费小计</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3</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一、因公出国（境）费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4</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其中：教学科研人员因公出国（境）费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5</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其他因公出国（境）费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6</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11.34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7</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其中：公务用车购置费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ascii="方正书宋_GBK" w:hAnsi="方正书宋_GBK" w:eastAsia="方正书宋_GBK" w:cs="方正书宋_GBK"/>
          <w:color w:val="FFFFFF"/>
          <w:sz w:val="21"/>
        </w:rPr>
        <w:t>一部分  乐亭县商务和投资促进局2023年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乐亭县商务和投资促进局2023年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、《地方预决算公开操作规程》和《关于进一步推进预算公开工作的实施意见》规定，现将乐亭县商务和投资促进局2023年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1、贯彻落实国家和省市有关内外贸易、国际经济合作、招商引资发展战略、方针、政策以及相关法律法规；拟订全县相应的发展规划以及规定、办法和措施。</w:t>
      </w:r>
    </w:p>
    <w:p>
      <w:pPr>
        <w:pStyle w:val="19"/>
      </w:pPr>
      <w:r>
        <w:t>2、指导大宗产品批发市场规划和城市商业网点规划、商业体系建设工作，促进城乡市场发展。负责推进流通产业结构调整，推动流通标准化和连锁经营、商业特许经营、物流配送、电子商务等现代流通方式的发展。</w:t>
      </w:r>
    </w:p>
    <w:p>
      <w:pPr>
        <w:pStyle w:val="19"/>
      </w:pPr>
      <w:r>
        <w:t>3、组织实施重要消费品市场调控和重要生产资料流通管理，建立健全生活必需品市场供应应急管理机制，监测分析市场运行、商品供求状况等，进行预测预警和信息引导。</w:t>
      </w:r>
    </w:p>
    <w:p>
      <w:pPr>
        <w:pStyle w:val="19"/>
      </w:pPr>
      <w:r>
        <w:t>4、负责全县成品油流通监督管理工作；按有关规定对二手车、再生资源回收等行业实施监督管理与服务。承担牵头协调打击侵犯知识产权和制售假冒伪劣商品工作的责任。</w:t>
      </w:r>
    </w:p>
    <w:p>
      <w:pPr>
        <w:pStyle w:val="19"/>
      </w:pPr>
      <w:r>
        <w:t>5、拟订推动现代物流业发展的政策措施并组织落实有关优惠政策；协调解决物流产业发展过程中出现的问题，指导物流业的发展。</w:t>
      </w:r>
    </w:p>
    <w:p>
      <w:pPr>
        <w:pStyle w:val="19"/>
      </w:pPr>
      <w:r>
        <w:t>6、贯彻执行国家、省、市运用电子商务开拓市场的相关政策措施；承担县电子商务工作领导小组办公室工作，负责全县电子商务进农村示范项目的协调并督导项目的实施。</w:t>
      </w:r>
    </w:p>
    <w:p>
      <w:pPr>
        <w:pStyle w:val="19"/>
      </w:pPr>
      <w:r>
        <w:t>7、贯彻执行国家对外贸易、对外经济合作相关政策，贯彻执行国家促进外贸增长方式转变的政策措施，负责全县对外贸易和对外经济合作相关工作。</w:t>
      </w:r>
    </w:p>
    <w:p>
      <w:pPr>
        <w:pStyle w:val="19"/>
      </w:pPr>
      <w:r>
        <w:t>8．贯彻执行国家及省、市关于开展招商引资工作的方针、政策；</w:t>
      </w:r>
    </w:p>
    <w:p>
      <w:pPr>
        <w:pStyle w:val="19"/>
      </w:pPr>
      <w:r>
        <w:t>9．负责招商引资优惠政策的制定及落实；</w:t>
      </w:r>
    </w:p>
    <w:p>
      <w:pPr>
        <w:pStyle w:val="19"/>
      </w:pPr>
      <w:r>
        <w:t>10．负责编制招商引资工作计划，制定工作目标；</w:t>
      </w:r>
    </w:p>
    <w:p>
      <w:pPr>
        <w:pStyle w:val="19"/>
      </w:pPr>
      <w:r>
        <w:t xml:space="preserve">11．负责招商引资项目的协调、审查、实施、管理、服务、上报、统计、汇总、总结等工作。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乐亭县商务和投资促进局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预算的编制实行综合预算管理，即全部收入和支出都反映在预算中。乐亭县商务和投资促进局机关及所属事业单位的收支包含在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（一）本年收入1206.36万元</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其中：一般公共预算收入1206.36万元，其他收入 0万元。本年支出：1206.36万元，</w:t>
      </w:r>
      <w:r>
        <w:rPr>
          <w:rFonts w:hint="eastAsia"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人员经费878.44万元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日常公用经费32.92万元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项目支出295万元。</w:t>
      </w:r>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（二）比上年增减情况</w:t>
      </w:r>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相较2022年预算，我</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预算总收入增加240.93万元，其中：1、人员经费增加241.9万元，增加原因：本年度新</w:t>
      </w:r>
      <w:r>
        <w:rPr>
          <w:rFonts w:hint="eastAsia" w:ascii="Times New Roman" w:hAnsi="Times New Roman" w:eastAsia="方正仿宋_GBK" w:cs="Times New Roman"/>
          <w:color w:val="000000"/>
          <w:sz w:val="28"/>
          <w:szCs w:val="24"/>
          <w:lang w:val="en-US" w:eastAsia="zh-CN" w:bidi="ar-SA"/>
        </w:rPr>
        <w:t>增工作人员</w:t>
      </w:r>
      <w:r>
        <w:rPr>
          <w:rFonts w:hint="eastAsia" w:ascii="Times New Roman" w:hAnsi="Times New Roman" w:eastAsia="方正仿宋_GBK" w:cs="Times New Roman"/>
          <w:color w:val="000000"/>
          <w:sz w:val="28"/>
          <w:szCs w:val="24"/>
          <w:lang w:val="en-US" w:eastAsia="uk-UA" w:bidi="ar-SA"/>
        </w:rPr>
        <w:t>2人，另退休人员经费在单位列支。2、日常公用经费增加2.03万元，增加原因：人员增加及预算项目调整。3、项目经费减少3万元，减少原因：压缩开支。</w:t>
      </w:r>
    </w:p>
    <w:p>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rPr>
        <w:t>三、机关运行经费安排情况</w:t>
      </w:r>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2023年我局机关运行经费预算为32.95万元。其中：办公费4.53万元，邮电费3.64万元，其中：公用固定电话3.21万元、公费手机0.43万元，公务车运行维护费11.34万元，印刷费0.6万元，专用材料费3.06万元、公务车补9.78万元。</w:t>
      </w:r>
    </w:p>
    <w:p>
      <w:pPr>
        <w:spacing w:before="10" w:after="10" w:line="360" w:lineRule="auto"/>
        <w:ind w:firstLine="640"/>
        <w:jc w:val="left"/>
        <w:outlineLvl w:val="2"/>
        <w:rPr>
          <w:rFonts w:hint="eastAsia" w:ascii="黑体" w:hAnsi="黑体" w:eastAsia="黑体" w:cs="黑体"/>
          <w:color w:val="000000"/>
          <w:sz w:val="32"/>
        </w:rPr>
      </w:pPr>
      <w:r>
        <w:rPr>
          <w:rFonts w:hint="eastAsia" w:ascii="黑体" w:hAnsi="黑体" w:eastAsia="黑体" w:cs="黑体"/>
          <w:color w:val="000000"/>
          <w:sz w:val="32"/>
          <w:lang w:val="en-US" w:eastAsia="zh-CN"/>
        </w:rPr>
        <w:t>四</w:t>
      </w:r>
      <w:r>
        <w:rPr>
          <w:rFonts w:hint="eastAsia" w:ascii="黑体" w:hAnsi="黑体" w:eastAsia="黑体" w:cs="黑体"/>
          <w:color w:val="000000"/>
          <w:sz w:val="32"/>
        </w:rPr>
        <w:t>、财政拨款“三公”经费预算情况及增减变化原因</w:t>
      </w:r>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2022年我</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“三公”经费预算安排 11.34万元，较上年预算无变化。具体安排情况为：  （一）公务用车购置及运行费。共计安排11.34万元，较上年预算无变化。公务用车购置费安排0万元。公车运行维护经费安排11.34万元。</w:t>
      </w:r>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公务接待费。安排0万元，较上年预算无变化。</w:t>
      </w:r>
    </w:p>
    <w:p>
      <w:pPr>
        <w:pStyle w:val="2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因公出国（境）费。安排0万元。</w:t>
      </w:r>
    </w:p>
    <w:p>
      <w:pPr>
        <w:pStyle w:val="22"/>
      </w:pPr>
    </w:p>
    <w:p>
      <w:pPr>
        <w:spacing w:before="10" w:after="10" w:line="360" w:lineRule="auto"/>
        <w:ind w:firstLine="640"/>
        <w:jc w:val="left"/>
        <w:outlineLvl w:val="2"/>
      </w:pPr>
      <w:bookmarkStart w:id="11" w:name="_Toc_3_3_0000000014"/>
      <w:r>
        <w:rPr>
          <w:rFonts w:ascii="黑体" w:hAnsi="黑体" w:eastAsia="黑体" w:cs="黑体"/>
          <w:color w:val="000000"/>
          <w:sz w:val="32"/>
        </w:rPr>
        <w:t>五、预算绩效信息</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pStyle w:val="23"/>
      </w:pPr>
      <w:r>
        <w:t>（一）总体绩效目标</w:t>
      </w:r>
    </w:p>
    <w:p>
      <w:pPr>
        <w:pStyle w:val="23"/>
      </w:pPr>
      <w:r>
        <w:t>1.牢固树立“发展靠项目，项目靠招商”的工作理念，继续把京津冀地区、长三角地区作为招商重点，突出江苏沿江地带、天津廊坊轴线、北京郊县等地区招商力度。强化招商引资组织调度推进工作，明确目标和责任分工，加强力量投入，创新方式方法，积极引进更多市场前景好，附加值高，财政贡献大的好项目、大企业。确保年内储备固定资产投资亿元以上项目100个以上，签约项目40个以上，至少引进2个亿元以上新兴产业项目，着力延伸壮大产业链条，引进行业龙头企业，优化产业结构。</w:t>
      </w:r>
    </w:p>
    <w:p>
      <w:pPr>
        <w:pStyle w:val="23"/>
      </w:pPr>
      <w:r>
        <w:t>2.优化结构培育外贸外资新增长点。逐步改变“一钢独大”出口现状，形成工业产品、农产品、日用品等商品并驾齐驱的局面。积极培育江苏速捷、天津源美、北京和意工艺品等新建外向型企业早日实现出口；继续紧盯乐亭绿肯、唐山夏悦等贸易企业扩大出口，同时积极引进新的出口贸易企业落户；引导华北易安德、诺奇电气等传统内贸企业办理进出口权，鼓励企业招聘外贸型人才，开拓国际市场，实现出口突破；帮助唐山丞起、海滨工艺品等通过外地贸易商出口的企业寻求直接出口渠道，实现出口回流。</w:t>
      </w:r>
    </w:p>
    <w:p>
      <w:pPr>
        <w:pStyle w:val="23"/>
      </w:pPr>
      <w:r>
        <w:t>3.整合资源推动电商规模发展。整合物流资源，降低仓储和快件投递成本，依托河北联业冀东国际农产品交易中心内仓库，整合申通快递、圆通快递、韵达快递等7家民营快递资源建设具有物流分拨、仓储转运、邮件揽收处理等功能的电子商务仓储物流分拨中心；引导电商企业集聚，降低运营成本，依托退役军人创业孵化基地建设电子商务示范园区，入住电商和电商生态链企业，提供电商企业孵化、特色品牌培育、商标注册指导、产品包装设计、仓储及发件等服务，实现规模化、集群化发展；整合农村现有资源，扩展电商市场，依托现有乡村便利店、农民专业合作社等资源，分片区建设农村电商服务站，推行快递代收代发、代存代缴、代购代销、农村金融电商、农业技术电商等服务，使农村电商服务站成为农村的信息中心、便民中心、商贸中心和物流中心。</w:t>
      </w:r>
    </w:p>
    <w:p>
      <w:pPr>
        <w:pStyle w:val="23"/>
      </w:pPr>
      <w:r>
        <w:t>4.繁荣市场带动内贸流通消费。培育壮大新型消费业态，积极引入新平台、新媒体、新业态，新模式，推动互联网和实体经济深度融合，鼓励传统商贸企业顺应消费趋势建设网络交易平台；引导促进消费增长，组织开展多种形式的系列促进消费活动，大力培育家电、家居、汽车等热点消费，通过开展促销、引导、宣传活动，不断激发居民消费潜力；深入挖掘夜间和假日消费需求，鼓励引导“青春广场”“振兴路”“民俗风情街”特色夜市、街区发展，丰富消费业态，提升消费品质，打造特色，提升知名度，促进消费增长。</w:t>
      </w:r>
    </w:p>
    <w:p>
      <w:pPr>
        <w:pStyle w:val="23"/>
      </w:pPr>
      <w:r>
        <w:t>5.加强监管促进行业健康发展。坚定不移抓好商贸流通行业安全生产监督管理工作，认真督促企业落实主体责任，继续推进企业双控机制建设，强化企业安全隐患排查治理；加强业务学习，不断提升自身能力与业务水平，加大行业调研力度，摸清行业底数，持续加强在成品油流通、汽车流通、再生资源回收、单用途商业预付卡等领域的监督管理，实现行业健康有序发展。</w:t>
      </w:r>
    </w:p>
    <w:p>
      <w:pPr>
        <w:pStyle w:val="23"/>
      </w:pPr>
      <w:r>
        <w:t>6.落实改制人员相关待遇，维护社会稳定。原商业、物资、外贸三个系统下属企业的改制遗留问题处理工作。改制企业离休干部的年加发工资、书报费；工伤、病休人员的生活补贴、统筹金、医疗费；死亡职工遗属补助；承诺等退职工统筹金。</w:t>
      </w:r>
    </w:p>
    <w:p>
      <w:pPr>
        <w:pStyle w:val="23"/>
      </w:pPr>
    </w:p>
    <w:p>
      <w:pPr>
        <w:pStyle w:val="23"/>
      </w:pPr>
      <w:r>
        <w:t>（二）、分项绩效目标</w:t>
      </w:r>
    </w:p>
    <w:p>
      <w:pPr>
        <w:pStyle w:val="23"/>
      </w:pPr>
      <w:r>
        <w:t>1、招商引资经费绩效目标</w:t>
      </w:r>
    </w:p>
    <w:p>
      <w:pPr>
        <w:pStyle w:val="23"/>
      </w:pPr>
      <w:r>
        <w:t>目标1：积极宣传推介乐亭。各工作组要充分发挥桥梁纽带作用，努力与驻点城市及周边区域的重点企业、商会和行业协会建立沟通渠道和日常联系。宣传推介我县经济社会发展情况、优惠政策、营商环境、园区建设等优势条件，让外界了解乐亭，提高乐亭的知名度和美誉度。</w:t>
      </w:r>
    </w:p>
    <w:p>
      <w:pPr>
        <w:pStyle w:val="23"/>
      </w:pPr>
      <w:r>
        <w:t>目标2：广泛收集招商信息。各工作组通过与当地发改、工信等</w:t>
      </w:r>
      <w:r>
        <w:rPr>
          <w:rFonts w:hint="eastAsia"/>
          <w:lang w:eastAsia="zh-CN"/>
        </w:rPr>
        <w:t>单位</w:t>
      </w:r>
      <w:r>
        <w:t>、园区管委会等单位建立友好关系，积极参加当地各种节会活动。广泛搜集国内外500强企业、产业链龙头企业、上市公司等企业的投资意向信息，收集整理驻地政府重大产业政策调整变化、企业资本转移等信息，建立高质量的外商投资信息库、客商资源库。</w:t>
      </w:r>
    </w:p>
    <w:p>
      <w:pPr>
        <w:pStyle w:val="23"/>
      </w:pPr>
      <w:r>
        <w:t>目标3：对接企业洽谈项目。各工作组要努力探索招商引资有效方法，创新招商引资工作方式，积极对外推介招商项目，充分利用网络、媒体、节会开展招商活动，做到以情招商、以诚招商、以会招商、以商招商、上门招商。同时，主动对接项目，积极跟进项目，全面做好外地客商来我县的考察服务工作。</w:t>
      </w:r>
    </w:p>
    <w:p>
      <w:pPr>
        <w:pStyle w:val="23"/>
      </w:pPr>
      <w:r>
        <w:t>目标4：组织驻点招商活动。各工作组要主动与驻地经济</w:t>
      </w:r>
      <w:r>
        <w:rPr>
          <w:rFonts w:hint="eastAsia"/>
          <w:lang w:eastAsia="zh-CN"/>
        </w:rPr>
        <w:t>单位</w:t>
      </w:r>
      <w:r>
        <w:t>、重点企业进行广泛深入联系，积极参加当地招商引资活动；要协助县委、县政府在驻点开展的招商引资活动，发布相关信息，邀请当地有关人员参加。有条件的工作组可以开展小型定向招商活动，依托活动平台集中招商。</w:t>
      </w:r>
    </w:p>
    <w:p>
      <w:pPr>
        <w:pStyle w:val="23"/>
      </w:pPr>
      <w:r>
        <w:t>2、成品油治理经费。</w:t>
      </w:r>
    </w:p>
    <w:p>
      <w:pPr>
        <w:pStyle w:val="23"/>
      </w:pPr>
      <w:r>
        <w:t>目标1：加强购进油品管控。建立进油发票月报制度，严格审查购进油品质量和来源，保证油品达到国6标准以上。</w:t>
      </w:r>
    </w:p>
    <w:p>
      <w:pPr>
        <w:pStyle w:val="23"/>
      </w:pPr>
      <w:r>
        <w:t>目标2：加强安全生产。积极寻宣传《新安全生产法》、《消防法》等法律法规，加强安全生产培训，指导各油站全部建立安全生产风险分级管控和隐患排查治理机制，落实企业主体责任，确保不发生安全生产事故。</w:t>
      </w:r>
    </w:p>
    <w:p>
      <w:pPr>
        <w:pStyle w:val="23"/>
      </w:pPr>
      <w:r>
        <w:t>目标3：加强信用体系建设。指导各企业遵纪守法，重合同守信用，诚信经营，建立守信激励，失信惩戒机制，签订诚信承诺书。</w:t>
      </w:r>
    </w:p>
    <w:p>
      <w:pPr>
        <w:pStyle w:val="23"/>
      </w:pPr>
      <w:r>
        <w:t>目标4：严厉打击黑车黑点。联合公安、市场、应急等</w:t>
      </w:r>
      <w:r>
        <w:rPr>
          <w:rFonts w:hint="eastAsia"/>
          <w:lang w:eastAsia="zh-CN"/>
        </w:rPr>
        <w:t>单位</w:t>
      </w:r>
      <w:r>
        <w:t>，加大执法力度，坚决取缔黑车黑点。</w:t>
      </w:r>
    </w:p>
    <w:p>
      <w:pPr>
        <w:pStyle w:val="23"/>
      </w:pPr>
      <w:r>
        <w:t>目标5：做好大气污染防治工作。各加油站全部安装三次油气回收装置并稳定运行，按指挥部指令组好错时装卸油工作。</w:t>
      </w:r>
    </w:p>
    <w:p>
      <w:pPr>
        <w:pStyle w:val="23"/>
      </w:pPr>
      <w:r>
        <w:t>目标6：加强疫情防控。督导企业做好外来人员排查、场所消杀、测温、验码等常态化防控措施。</w:t>
      </w:r>
    </w:p>
    <w:p>
      <w:pPr>
        <w:pStyle w:val="23"/>
      </w:pPr>
      <w:r>
        <w:t>3、企业改制资金。</w:t>
      </w:r>
    </w:p>
    <w:p>
      <w:pPr>
        <w:pStyle w:val="23"/>
      </w:pPr>
      <w:r>
        <w:t>目标1：做好改制人员思想政治工作，组织好改制人员学习，落实企业改制人员相关待遇。</w:t>
      </w:r>
    </w:p>
    <w:p>
      <w:pPr>
        <w:pStyle w:val="23"/>
      </w:pPr>
      <w:r>
        <w:t>目标2：解决改制人员生活工作困难，解决遗留问题，维护社会稳定。</w:t>
      </w:r>
    </w:p>
    <w:p>
      <w:pPr>
        <w:pStyle w:val="23"/>
      </w:pPr>
    </w:p>
    <w:p>
      <w:pPr>
        <w:pStyle w:val="23"/>
      </w:pPr>
      <w:r>
        <w:t>（三）、工作保障措施</w:t>
      </w:r>
    </w:p>
    <w:p>
      <w:pPr>
        <w:pStyle w:val="23"/>
      </w:pPr>
      <w:r>
        <w:t>工作保障措施</w:t>
      </w:r>
    </w:p>
    <w:p>
      <w:pPr>
        <w:pStyle w:val="23"/>
      </w:pPr>
      <w:r>
        <w:t>1.多措并举强招商，大力引资促发展。牢牢树立“发展靠项目，项目靠招商”的理念，积极开展行而有效的举措，全力推进招商引资工作。一是夯实招商基础，细研产业链条。按照“4+4+2”现代产业体系完善我县多媒体推介材料和更新宣传画册；研究印发《乐亭县重点产业招商指导目录》，从建筑支护、生物医药、环保装备、现代农业、精细化工等12个产业出发，延伸产业链条，梳理目标企业，开展精准招商。二是创新招商方式，多措并举注实效。深入推进驻点招商，制定《2021年精准招商方案》，通过网上报名、笔试、面试、培训等程序层层筛选，共选派优秀后备干部16名，分为5组，派往京津、廊坊、燕郊、长三角、珠三角等地区招商工作；用实用好产业链招商和以商招商，依托企业家引介和现有工业产品延伸链条，大大提升了招商成功率，据统计今年六成以上新签约项目为企业再投资，产业链延伸合作或企业家介绍。三是强化分析调度，分解任务浓氛围。县领导每月分两次调度县直相关</w:t>
      </w:r>
      <w:r>
        <w:rPr>
          <w:rFonts w:hint="eastAsia"/>
          <w:lang w:eastAsia="zh-CN"/>
        </w:rPr>
        <w:t>单位</w:t>
      </w:r>
      <w:r>
        <w:t>和镇乡、街道招商引资工作，多次前往北京、天津、廊坊等多地考察力促项目成熟；各责任单位积极开展“走出去、请进来”，全县招商氛围浓厚。我县共接待京津沪等地来乐考察客商150余批次，赴北京、天津、深圳等地开展招商活动100余批次，储备固投3000万元以上项目100个。四是加强专业服务，签约项目促落地。</w:t>
      </w:r>
    </w:p>
    <w:p>
      <w:pPr>
        <w:pStyle w:val="23"/>
      </w:pPr>
      <w:r>
        <w:t>2.服务市场主体，全力开展稳外资稳外贸。认真落实</w:t>
      </w:r>
      <w:r>
        <w:rPr>
          <w:rFonts w:hint="eastAsia"/>
          <w:lang w:eastAsia="zh-CN"/>
        </w:rPr>
        <w:t>“六稳”、“六保”</w:t>
      </w:r>
      <w:r>
        <w:t>工作，科学分析研判，实现外资外贸工作平稳发展。一是指导企业复工复产，开展企业包联和帮扶。疫情期间，积极帮助外贸外资企业购买口罩、消毒液等防疫物资，帮助解决用工需求、交通运输等问题，实现较早复工复产；通过实地入企调研、电话、网络等方式，了解企业需求，听取企业意见，及时协调解决企业在复工复产、生产经营、进出口环节及金融等方面所遇到的困难，精准帮扶。二是逐一分析企业，深入开展“暖企促贸”行动。召开全县重点外贸企业座谈会2次，组织参加外贸培训会2次，做到精准服务外贸企业；支持外贸企业开展线上交易，引导企业对接跨境电商平台；服务外贸企业对接金融需求，开展金融护航稳外贸等活动。在全市</w:t>
      </w:r>
      <w:r>
        <w:rPr>
          <w:rFonts w:hint="eastAsia"/>
          <w:lang w:eastAsia="zh-CN"/>
        </w:rPr>
        <w:t>“六稳”、“六保”</w:t>
      </w:r>
      <w:r>
        <w:t>工作落实情况满意度三方机构调查。三是做好服务，培育外贸外资新的增长点。</w:t>
      </w:r>
    </w:p>
    <w:p>
      <w:pPr>
        <w:pStyle w:val="23"/>
      </w:pPr>
      <w:r>
        <w:t>3.紧跟电商新形势，开创电商新局面。一是夯实基础，摸清行业发展情况。二是开展业务培训，提升企业（人员）业务水平。组织企业参加在线商务培训、直播电商培训活动。三是引导传统企业触网，挖掘跨境电商潜力。</w:t>
      </w:r>
    </w:p>
    <w:p>
      <w:pPr>
        <w:pStyle w:val="23"/>
      </w:pPr>
      <w:r>
        <w:t>4.繁荣市场促进消费，加快内贸流通业发展。一是开展乐亭老字号评选活动。面对疫情影响下的低迷消费，在全市开创性开展老字号评选活动通过网络媒体、网红直播带货、唐山农展会等多种形式，宣传推介乐亭老字号产品，在打造乐亭地方名片的同时，扩大产品销售。二是积极开展消费促进活动。组织全县商贸流通企业利用各种节假日、店庆等时机，全力开展形式多样的促销活动。抓住“金九银十”黄金消费期，借助全国消费促进月活动平台，组织商超、汽车销售、加油站等重点商贸企业，在普遍开展的降价、满减、返券等促销手段外，不断创新促销方式，进一步刺激消费，为全年消费加速回补注入新动能。三是引导传统内贸企业探索电商直播新销售模式。组织内贸流通企业参加唐山市直播电商专项培训，帮助企业培育电商运营人才，鼓励企业探索电商直播等新型销售模式。四是积极开展消费扶贫工作。加快推进扶贫产品专柜、专区、专馆建设。指导大东方东城店、西城店、御景嘉园店、水韵名居店、乐亭镇韩坨村农村综合服务中心开设消费扶贫专区，扶贫产品达22种。指导健康社区刘美专营店、汽车站绿健超市、县医院营养餐厅设置消费扶贫专柜，指导刘美实业东大街门市部建设消费扶贫专馆，共制作悬挂标识牌、宣传牌40余块，鼓励群众以购代捐，拓宽扶贫产品销售渠道，助力脱贫攻坚。</w:t>
      </w:r>
    </w:p>
    <w:p>
      <w:pPr>
        <w:pStyle w:val="23"/>
      </w:pPr>
      <w:r>
        <w:t>5.紧定目标严监管，规范行业保稳定。一是做好商贸流通领域新冠疫情防控和复工复产工作。制定疫情防控工作方案和推进复产复工工作实施方案，监测生活必需品供应情况，指导企业做好防控，认真开展人员排查，帮助企业解决实际问题。二是加强成品油市场监督与服务。每两个月对成品油经营企业全覆盖检查一次，发现问题全部整改；配合公安</w:t>
      </w:r>
      <w:r>
        <w:rPr>
          <w:rFonts w:hint="eastAsia"/>
          <w:lang w:eastAsia="zh-CN"/>
        </w:rPr>
        <w:t>单位</w:t>
      </w:r>
      <w:r>
        <w:t>积极开展成品油黑车黑点专项治理，；依法依规做好成品油经营企业年检和成品油零售企业完成换证工作。三是积极推进“双随机、一公开”监管工作。制定年度监管计划，完善监管事项清单，实现监管事项全覆盖。按上级要求抽查比例与企业信用等级相结合，实行</w:t>
      </w:r>
      <w:r>
        <w:rPr>
          <w:rFonts w:hint="eastAsia"/>
          <w:lang w:eastAsia="zh-CN"/>
        </w:rPr>
        <w:t>单位</w:t>
      </w:r>
      <w:r>
        <w:t>间或内部联合抽查，最大限度地减少检查次数。四是抓实抓牢安全生产工作。始终把安全生产做为工作的重中之重，牢牢抓在手上，放在心上，全面落实责任，加强重点防范。在加强日常监督检查的同时，积极开展安全生产双控机制建设、隐患排查治理、安全生产三年行动、“摸排除打”等各专项行动，并联合应急、消防</w:t>
      </w:r>
      <w:r>
        <w:rPr>
          <w:rFonts w:hint="eastAsia"/>
          <w:lang w:eastAsia="zh-CN"/>
        </w:rPr>
        <w:t>单位</w:t>
      </w:r>
      <w:r>
        <w:t>定期赴超市、商场等人员密集场所，对其重点部位、薄弱环节联合检查，进一步压实企业主体责任，及时消除安全隐患，全年未发生一起安全生产事件。五是认真落实生态环保各项要求。深入推进油气三次回收改造，年底前完成全域所有加油站的改造工作；加强督导，严格落实建成区加油站错时装卸油。</w:t>
      </w:r>
    </w:p>
    <w:p>
      <w:pPr>
        <w:pStyle w:val="23"/>
      </w:pPr>
      <w:r>
        <w:t>6.主动作为，抓好党建和信访稳定工作。一是强化党对商促工作的全面领导，扛牢抓实政治责任，以党的政治建设为统领。深入学习贯彻习近平总书记系列重要讲话精神，领导干部率先垂范，全体干部积极践行，切实把加强党的政治建设要求体现在大攻坚任务中。二是不断强化队伍素质培养，以队伍素质提升为主线，将周五下午作为机关干部集中学习时间，认真学习专业领域知识，完成各类培训学习活动29项， 参训460人次。三是抓好党风廉政建设，毫不动摇地抓好党风廉政建设和反腐败斗争，以党风廉政建设新成效服务商促工作大局，强化纪律约束，重点加强对与企业直接接触领域的监督检查，提高拒腐防变的能力。四是积极稳妥化解商务系统遗留问题和防范系统风险。对老职工反映的每一个遗留问题，安排专人详细调查取证，集体研究解决。一年来共解决保险、人事、房屋办证等遗留问题15件；加强系统风险防范，积极开展单用途预付卡、非法集资、境外务工人员安全等风险排查，发现问题及时整治。高度关注夏日事件动态，成立专班，不等不靠，及时采取应对措施，稳定群众情绪，防止群体性事件发生，目前比较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1.招商引资经费。</w:t>
      </w:r>
    </w:p>
    <w:p>
      <w:pPr>
        <w:pStyle w:val="24"/>
      </w:pPr>
      <w:r>
        <w:t>目标1：强化招商基础工作。进一步更新完善多媒体推介材料、投资招商及针对重点行业的专题材料等，确保3月15日前更新完毕；充实招商队伍，各单位主要负责同志要亲自抓并明确分管招商班子成员和专业招商干部；强化对县情、比较优势的把握，加强新形势下招商引资业务知识培训，更新《招商知识手册》，逐步提升招商队伍专业素质。认真梳理排查全县范围内可承载项目用地，一季度末拿出汇总表供全县招商单位参考，推动嫁接合作或腾笼换鸟，进一步优化产业结构。</w:t>
      </w:r>
    </w:p>
    <w:p>
      <w:pPr>
        <w:pStyle w:val="24"/>
      </w:pPr>
      <w:r>
        <w:t>目标2：加强项目谋划与产业研究。立足我县资源优势，充分把握各领域各行业政策窗口期，加大在二产、基础设施、特色农业、教育、医疗卫生、环保、康养、文旅等方面项目的包装谋划，3月15日前每家单位谋划不少于5个项目报至县发改局，形成涉及一、二、三产并具有一定前瞻性和可操作性的产业项目库。各行业</w:t>
      </w:r>
      <w:r>
        <w:rPr>
          <w:rFonts w:hint="eastAsia"/>
          <w:lang w:eastAsia="zh-CN"/>
        </w:rPr>
        <w:t>单位</w:t>
      </w:r>
      <w:r>
        <w:t>要认真研究行业发展现状，细分行业内涵，梳理行业龙头企业不少于10家并逐一对接。</w:t>
      </w:r>
    </w:p>
    <w:p>
      <w:pPr>
        <w:pStyle w:val="24"/>
      </w:pPr>
      <w:r>
        <w:t>目标3：做足资源和产业链文章。依托河钢乐亭钢铁、唐山中厚板材、唐山德龙、国堂钢铁、凯源镍铁等钢铁企业，深入研究下游终端客户结构及地区分布，大力引进耗钢产业。依托即将形成近3000万吨精品钢生产基地及百公里范围内辐射1亿吨钢铁产能的优势，大力引进钢铁冶金运营维护和物资供应企业。依托农产品资源优势，深入研究引进龙头企业开展农产品精深加工。依托旭阳化工、东日新能源等化工企业，深入研究现有产品下游树状图，选择高附加值、高科技含量终端产品，引进龙头企业落户化工园区。依托现有建筑支护装备产业国内影响力，深入对接行业龙头企业，补齐配套链条，并在租赁服务业培育上实现突破。依托丰富风能、太阳能、地热能等资源，前瞻性规划和适时启动各类新能源项目，并力争在渔光互补、农光互补等领域取得实际进展。</w:t>
      </w:r>
    </w:p>
    <w:p>
      <w:pPr>
        <w:pStyle w:val="24"/>
      </w:pPr>
      <w:r>
        <w:t>目标4：深入实施“四个一百”活动。勇于突破高精尖，分析与我县资源和产业发展有一定关联度的500强企业、央企、国企和大型民营企业，逐一联系、逐一排查，力求实现突破；持续加强与科研院所、重点高校的交流与合作，加快推进南开大学、燕山大学、太原理工大学、华北理工大学、北京航空航天大学、北京理工大学、中国农业大学等高等院校合作项目落地；落实人才强县战略，支持钢铁、化工、装备制造业等行业引进高端科技人才。</w:t>
      </w:r>
    </w:p>
    <w:p>
      <w:pPr>
        <w:pStyle w:val="24"/>
      </w:pPr>
      <w:r>
        <w:t>目标5：打好“人文”牌。充分发挥县招商引资顾问行业专家里手和企业人脉优势，共同研究行业发展方向并引荐目标企业，提高招商档次与成效，第二批县招商引资顾问在一季度末完成选拔聘任；深入挖掘乐亭籍社会各界知名人士，特别是知名专家学者、退休领导、企业高管等，积极联系，逐步引导回报乡梓，为家乡经济发展引资引项。抓住庆祝建党100周年时机，大力弘扬大钊精神，打造红色文旅产业，主动谋划蓝色旅游和康养产业。</w:t>
      </w:r>
    </w:p>
    <w:p>
      <w:pPr>
        <w:pStyle w:val="24"/>
      </w:pPr>
      <w:r>
        <w:t>目标6：强化驻点招商。紧盯京津、长三角、珠三角等经济发达地区，积极承接产业疏解和南资北移项目，以2020年驻点干部为基础，做好业务培训、调度、指导、保障等工作，优化激励机制，加强驻点干部与驻地商会组织、行业协会、行业龙头企业的引导与联系，开展小团组招商或举办一定规模招商推介活动。</w:t>
      </w:r>
    </w:p>
    <w:p>
      <w:pPr>
        <w:pStyle w:val="24"/>
      </w:pPr>
      <w:r>
        <w:t>目标7：加大外资项目引进力度。围绕建成东北亚地区经济合作窗口城市重要支点，重点面向日韩等国家，紧盯河钢—韩国浦项合资镀锌汽车板项目，紧抓城建、文旅、交通、能源等领域引入外资的机遇，开展委托招商和网络“云招商”等多种方式招商，收集有价值的项目信息，新签约外资项目至少1个以上。</w:t>
      </w:r>
    </w:p>
    <w:p>
      <w:pPr>
        <w:pStyle w:val="24"/>
      </w:pPr>
      <w:r>
        <w:t>目标8：完善招商引资机制。各单位主要负责同志要带头研究，亲自推进招商引资工作，并安排专职人员开展招商，深挖人脉资源，建立招商台账，多途径多渠道获取项目投资信息，积极走出去，热情请进来，力促洽谈项目早日签约落地。县政府每月召开一次招商调度会，及时研判项目进展情况，推动招商引资项目高效推进；各招商责任单位对于重要招商信息要第一时间向县领导汇报，帮助加快推动项目进展。</w:t>
      </w:r>
    </w:p>
    <w:p>
      <w:pPr>
        <w:pStyle w:val="24"/>
      </w:pPr>
      <w:r>
        <w:rPr>
          <w:rFonts w:hint="eastAsia"/>
          <w:lang w:val="en-US" w:eastAsia="zh-CN"/>
        </w:rPr>
        <w:t>2</w:t>
      </w:r>
      <w:r>
        <w:t>、成品油治理经费。</w:t>
      </w:r>
    </w:p>
    <w:p>
      <w:pPr>
        <w:pStyle w:val="24"/>
      </w:pPr>
      <w:r>
        <w:t>目标1：加强购进油品管控。建立进油发票月报制度，严格审查购进油品质量和来源，保证油品达到国6标准以上。</w:t>
      </w:r>
    </w:p>
    <w:p>
      <w:pPr>
        <w:pStyle w:val="24"/>
      </w:pPr>
      <w:r>
        <w:t>目标2：加强安全生产。积极寻宣传《新安全生产法》、《消防法》等法律法规，加强安全生产培训，指导各油站全部建立安全生产风险分级管控和隐患排查治理机制，落实企业主体责任，确保不发生安全生产事故。</w:t>
      </w:r>
    </w:p>
    <w:p>
      <w:pPr>
        <w:pStyle w:val="24"/>
      </w:pPr>
      <w:r>
        <w:t>目标3：加强信用体系建设。指导各企业遵纪守法，重合同守信用，诚信经营，建立守信激励，失信惩戒机制，签订诚信承诺书。</w:t>
      </w:r>
    </w:p>
    <w:p>
      <w:pPr>
        <w:pStyle w:val="24"/>
      </w:pPr>
      <w:r>
        <w:t>目标4：严厉打击黑车黑点。联合公安、市场、应急等</w:t>
      </w:r>
      <w:r>
        <w:rPr>
          <w:rFonts w:hint="eastAsia"/>
          <w:lang w:eastAsia="zh-CN"/>
        </w:rPr>
        <w:t>单位</w:t>
      </w:r>
      <w:r>
        <w:t>，加大执法力度，坚决取缔黑车黑点。</w:t>
      </w:r>
    </w:p>
    <w:p>
      <w:pPr>
        <w:pStyle w:val="24"/>
      </w:pPr>
      <w:r>
        <w:t>目标5：做好大气污染防治工作。各加油站全部安装三次油气回收装置并稳定运行，按指挥部指令组好错时装卸油工作。</w:t>
      </w:r>
    </w:p>
    <w:p>
      <w:pPr>
        <w:pStyle w:val="24"/>
      </w:pPr>
      <w:r>
        <w:t>目标6：加强疫情防控。督导企业做好外来人员排查、场所消杀、测温、验码等常态化防控措施。</w:t>
      </w:r>
    </w:p>
    <w:p>
      <w:pPr>
        <w:pStyle w:val="24"/>
      </w:pPr>
      <w:r>
        <w:rPr>
          <w:rFonts w:hint="eastAsia"/>
          <w:lang w:val="en-US" w:eastAsia="zh-CN"/>
        </w:rPr>
        <w:t>3</w:t>
      </w:r>
      <w:r>
        <w:t>、企业改制资金。</w:t>
      </w:r>
    </w:p>
    <w:p>
      <w:pPr>
        <w:pStyle w:val="24"/>
      </w:pPr>
      <w:r>
        <w:t>目标1：做好改制人员思想政治工作，组织好改制人员学习，落实企业改制人员相关待遇。</w:t>
      </w:r>
    </w:p>
    <w:p>
      <w:pPr>
        <w:pStyle w:val="24"/>
      </w:pPr>
      <w:r>
        <w:t>目标2：解决改制人员生活工作困难，解决遗留问题，维护社会稳定。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1.多措并举强招商，大力引资促发展。牢牢树立“发展靠项目，项目靠招商”的理念，积极开展行而有效的举措，全力推进招商引资工作。一是夯实招商基础，细研产业链条。按照“4+4+2”现代产业体系完善我县多媒体推介材料和更新宣传画册；研究印发《乐亭县重点产业招商指导目录》，从建筑支护、生物医药、环保装备、现代农业、精细化工等12个产业出发，延伸产业链条，梳理目标企业，开展精准招商。二是创新招商方式，多措并举注实效。深入推进驻点招商，制定《2021年精准招商方案》，通过网上报名、笔试、面试、培训等程序层层筛选，共选派优秀后备干部16名，分为5组，派往京津、廊坊、燕郊、长三角、珠三角等地区招商工作；用实用好产业链招商和以商招商，依托企业家引介和现有工业产品延伸链条，大大提升了招商成功率，据统计今年六成以上新签约项目为企业再投资，产业链延伸合作或企业家介绍。三是强化分析调度，分解任务浓氛围。县领导每月分两次调度县直相关</w:t>
      </w:r>
      <w:r>
        <w:rPr>
          <w:rFonts w:hint="eastAsia"/>
          <w:lang w:eastAsia="zh-CN"/>
        </w:rPr>
        <w:t>单位</w:t>
      </w:r>
      <w:r>
        <w:t>和镇乡、街道招商引资工作，多次前往北京、天津、廊坊等多地考察力促项目成熟；各责任单位积极开展“走出去、请进来”，全县招商氛围浓厚。我县共接待京津沪等地来乐考察客商150余批次，赴北京、天津、深圳等地开展招商活动100余批次，储备固投3000万元以上项目100个。四是加强专业服务，签约项目促落地。</w:t>
      </w:r>
    </w:p>
    <w:p>
      <w:pPr>
        <w:pStyle w:val="25"/>
      </w:pPr>
      <w:r>
        <w:t>2.服务市场主体，全力开展稳外资稳外贸。认真落实</w:t>
      </w:r>
      <w:r>
        <w:rPr>
          <w:rFonts w:hint="eastAsia"/>
          <w:lang w:eastAsia="zh-CN"/>
        </w:rPr>
        <w:t>“六稳”、“六保”</w:t>
      </w:r>
      <w:r>
        <w:t>工作，科学分析研判，实现外资外贸工作平稳发展。一是指导企业复工复产，开展企业包联和帮扶。疫情期间，积极帮助外贸外资企业购买口罩、消毒液等防疫物资，帮助解决用工需求、交通运输等问题，实现较早复工复产；通过实地入企调研、电话、网络等方式，了解企业需求，听取企业意见，及时协调解决企业在复工复产、生产经营、进出口环节及金融等方面所遇到的困难，精准帮扶。二是逐一分析企业，深入开展“暖企促贸”行动。召开全县重点外贸企业座谈会2次，组织参加外贸培训会2次，做到精准服务外贸企业；支持外贸企业开展线上交易，引导企业对接跨境电商平台；服务外贸企业对接金融需求，开展金融护航稳外贸等活动。在全市</w:t>
      </w:r>
      <w:bookmarkStart w:id="16" w:name="_GoBack"/>
      <w:bookmarkEnd w:id="16"/>
      <w:r>
        <w:rPr>
          <w:rFonts w:hint="eastAsia"/>
          <w:lang w:eastAsia="zh-CN"/>
        </w:rPr>
        <w:t>“六稳”、“六保”</w:t>
      </w:r>
      <w:r>
        <w:t>工作落实情况满意度三方机构调查。三是做好服务，培育外贸外资新的增长点。</w:t>
      </w:r>
    </w:p>
    <w:p>
      <w:pPr>
        <w:pStyle w:val="25"/>
      </w:pPr>
      <w:r>
        <w:t>3.紧跟电商新形势，开创电商新局面。一是夯实基础，摸清行业发展情况。二是开展业务培训，提升企业（人员）业务水平。组织企业参加在线商务培训、直播电商培训活动。三是引导传统企业触网，挖掘跨境电商潜力。</w:t>
      </w:r>
    </w:p>
    <w:p>
      <w:pPr>
        <w:pStyle w:val="25"/>
      </w:pPr>
      <w:r>
        <w:t>4.繁荣市场促进消费，加快内贸流通业发展。一是开展乐亭老字号评选活动。面对疫情影响下的低迷消费，在全市开创性开展老字号评选活动通过网络媒体、网红直播带货、唐山农展会等多种形式，宣传推介乐亭老字号产品，在打造乐亭地方名片的同时，扩大产品销售。二是积极开展消费促进活动。组织全县商贸流通企业利用各种节假日、店庆等时机，全力开展形式多样的促销活动。抓住“金九银十”黄金消费期，借助全国消费促进月活动平台，组织商超、汽车销售、加油站等重点商贸企业，在普遍开展的降价、满减、返券等促销手段外，不断创新促销方式，进一步刺激消费，为全年消费加速回补注入新动能。三是引导传统内贸企业探索电商直播新销售模式。组织内贸流通企业参加唐山市直播电商专项培训，帮助企业培育电商运营人才，鼓励企业探索电商直播等新型销售模式。四是积极开展消费扶贫工作。加快推进扶贫产品专柜、专区、专馆建设。指导大东方东城店、西城店、御景嘉园店、水韵名居店、乐亭镇韩坨村农村综合服务中心开设消费扶贫专区，扶贫产品达22种。指导健康社区刘美专营店、汽车站绿健超市、县医院营养餐厅设置消费扶贫专柜，指导刘美实业东大街门市部建设消费扶贫专馆，共制作悬挂标识牌、宣传牌40余块，鼓励群众以购代捐，拓宽扶贫产品销售渠道，助力脱贫攻坚。</w:t>
      </w:r>
    </w:p>
    <w:p>
      <w:pPr>
        <w:pStyle w:val="25"/>
      </w:pPr>
      <w:r>
        <w:t>5.紧定目标严监管，规范行业保稳定。一是做好商贸流通领域新冠疫情防控和复工复产工作。制定疫情防控工作方案和推进复产复工工作实施方案，监测生活必需品供应情况，指导企业做好防控，认真开展人员排查，帮助企业解决实际问题。二是加强成品油市场监督与服务。每两个月对成品油经营企业全覆盖检查一次，发现问题全部整改；配合公安</w:t>
      </w:r>
      <w:r>
        <w:rPr>
          <w:rFonts w:hint="eastAsia"/>
          <w:lang w:eastAsia="zh-CN"/>
        </w:rPr>
        <w:t>单位</w:t>
      </w:r>
      <w:r>
        <w:t>积极开展成品油黑车黑点专项治理，；依法依规做好成品油经营企业年检和成品油零售企业完成换证工作。三是积极推进“双随机、一公开”监管工作。制定年度监管计划，完善监管事项清单，实现监管事项全覆盖。按上级要求抽查比例与企业信用等级相结合，实行</w:t>
      </w:r>
      <w:r>
        <w:rPr>
          <w:rFonts w:hint="eastAsia"/>
          <w:lang w:eastAsia="zh-CN"/>
        </w:rPr>
        <w:t>单位</w:t>
      </w:r>
      <w:r>
        <w:t>间或内部联合抽查，最大限度地减少检查次数。四是抓实抓牢安全生产工作。始终把安全生产做为工作的重中之重，牢牢抓在手上，放在心上，全面落实责任，加强重点防范。在加强日常监督检查的同时，积极开展安全生产双控机制建设、隐患排查治理、安全生产三年行动、“摸排除打”等各专项行动，并联合应急、消防</w:t>
      </w:r>
      <w:r>
        <w:rPr>
          <w:rFonts w:hint="eastAsia"/>
          <w:lang w:eastAsia="zh-CN"/>
        </w:rPr>
        <w:t>单位</w:t>
      </w:r>
      <w:r>
        <w:t>定期赴超市、商场等人员密集场所，对其重点部位、薄弱环节联合检查，进一步压实企业主体责任，及时消除安全隐患，全年未发生一起安全生产事件。五是认真落实生态环保各项要求。深入推进油气三次回收改造，年底前完成全域所有加油站的改造工作；加强督导，严格落实建成区加油站错时装卸油。</w:t>
      </w:r>
    </w:p>
    <w:p>
      <w:pPr>
        <w:pStyle w:val="25"/>
      </w:pPr>
      <w:r>
        <w:t>6.主动作为，抓好党建和信访稳定工作。一是强化党对商促工作的全面领导，扛牢抓实政治责任，以党的政治建设为统领。深入学习贯彻习近平总书记系列重要讲话精神，领导干部率先垂范，全体干部积极践行，切实把加强党的政治建设要求体现在大攻坚任务中。二是不断强化队伍素质培养，以队伍素质提升为主线，将周五下午作为机关干部集中学习时间，认真学习专业领域知识，完成各类培训学习活动29项， 参训460人次。三是抓好党风廉政建设，毫不动摇地抓好党风廉政建设和反腐败斗争，以党风廉政建设新成效服务商促工作大局，强化纪律约束，重点加强对与企业直接接触领域的监督检查，提高拒腐防变的能力。四是积极稳妥化解商务系统遗留问题和防范系统风险。对老职工反映的每一个遗留问题，安排专人详细调查取证，集体研究解决。一年来共解决保险、人事、房屋办证等遗留问题15件；加强系统风险防范，积极开展单用途预付卡、非法集资、境外务工人员安全等风险排查，发现问题及时整治。高度关注夏日事件动态，成立专班，不等不靠，及时采取应对措施，稳定群众情绪，防止群体性事件发生，目前比较稳定。</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1、成品油集中治理经费绩效目标表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1.加强成品油市场管理，加强加油站大气污染管控。加强执法检查。用于成品油治理油气回收治理监管的宣传费、培训费、办公费用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对重点企业进行抽查数量</w:t>
            </w:r>
          </w:p>
        </w:tc>
        <w:tc>
          <w:tcPr>
            <w:tcW w:w="2835" w:type="dxa"/>
            <w:vAlign w:val="center"/>
          </w:tcPr>
          <w:p>
            <w:pPr>
              <w:pStyle w:val="14"/>
            </w:pPr>
            <w:r>
              <w:t>对重点企业进行抽查数量</w:t>
            </w:r>
          </w:p>
        </w:tc>
        <w:tc>
          <w:tcPr>
            <w:tcW w:w="2551" w:type="dxa"/>
            <w:vAlign w:val="center"/>
          </w:tcPr>
          <w:p>
            <w:pPr>
              <w:pStyle w:val="14"/>
            </w:pPr>
            <w:r>
              <w:t>≥30对重点企业进行抽查数量</w:t>
            </w:r>
          </w:p>
        </w:tc>
        <w:tc>
          <w:tcPr>
            <w:tcW w:w="2268" w:type="dxa"/>
            <w:vAlign w:val="center"/>
          </w:tcPr>
          <w:p>
            <w:pPr>
              <w:pStyle w:val="14"/>
            </w:pPr>
            <w:r>
              <w:t>年初工作安排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加油站设施达标，油气回收达标率</w:t>
            </w:r>
          </w:p>
        </w:tc>
        <w:tc>
          <w:tcPr>
            <w:tcW w:w="2835" w:type="dxa"/>
            <w:vAlign w:val="center"/>
          </w:tcPr>
          <w:p>
            <w:pPr>
              <w:pStyle w:val="14"/>
            </w:pPr>
            <w:r>
              <w:t>加油站设施达标，油气回收达标率</w:t>
            </w:r>
          </w:p>
        </w:tc>
        <w:tc>
          <w:tcPr>
            <w:tcW w:w="2551" w:type="dxa"/>
            <w:vAlign w:val="center"/>
          </w:tcPr>
          <w:p>
            <w:pPr>
              <w:pStyle w:val="14"/>
            </w:pPr>
            <w:r>
              <w:t>≥95加油站设施达标，油气回收达标率</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既定目标按期完成率</w:t>
            </w:r>
          </w:p>
        </w:tc>
        <w:tc>
          <w:tcPr>
            <w:tcW w:w="2551" w:type="dxa"/>
            <w:vAlign w:val="center"/>
          </w:tcPr>
          <w:p>
            <w:pPr>
              <w:pStyle w:val="14"/>
            </w:pPr>
            <w:r>
              <w:t>100既定目标按期完成率</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经费预算控制数</w:t>
            </w:r>
          </w:p>
        </w:tc>
        <w:tc>
          <w:tcPr>
            <w:tcW w:w="2835" w:type="dxa"/>
            <w:vAlign w:val="center"/>
          </w:tcPr>
          <w:p>
            <w:pPr>
              <w:pStyle w:val="14"/>
            </w:pPr>
            <w:r>
              <w:t>经费预算控制数5万元</w:t>
            </w:r>
          </w:p>
        </w:tc>
        <w:tc>
          <w:tcPr>
            <w:tcW w:w="2551" w:type="dxa"/>
            <w:vAlign w:val="center"/>
          </w:tcPr>
          <w:p>
            <w:pPr>
              <w:pStyle w:val="14"/>
            </w:pPr>
            <w:r>
              <w:t>5经费预算控制数5万元</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规范成品油市场经营行为，提升油品质量</w:t>
            </w:r>
          </w:p>
        </w:tc>
        <w:tc>
          <w:tcPr>
            <w:tcW w:w="2835" w:type="dxa"/>
            <w:vAlign w:val="center"/>
          </w:tcPr>
          <w:p>
            <w:pPr>
              <w:pStyle w:val="14"/>
            </w:pPr>
            <w:r>
              <w:t>规范成品油市场经营行为，提升油品质量</w:t>
            </w:r>
          </w:p>
        </w:tc>
        <w:tc>
          <w:tcPr>
            <w:tcW w:w="2551" w:type="dxa"/>
            <w:vAlign w:val="center"/>
          </w:tcPr>
          <w:p>
            <w:pPr>
              <w:pStyle w:val="14"/>
            </w:pPr>
            <w:r>
              <w:t>95规范成品油市场经营行为，提升油品质量</w:t>
            </w:r>
          </w:p>
        </w:tc>
        <w:tc>
          <w:tcPr>
            <w:tcW w:w="2268" w:type="dxa"/>
            <w:vAlign w:val="center"/>
          </w:tcPr>
          <w:p>
            <w:pPr>
              <w:pStyle w:val="14"/>
            </w:pPr>
            <w:r>
              <w:t>年初工作安排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加强加油站大气污染管控</w:t>
            </w:r>
          </w:p>
        </w:tc>
        <w:tc>
          <w:tcPr>
            <w:tcW w:w="2835" w:type="dxa"/>
            <w:vAlign w:val="center"/>
          </w:tcPr>
          <w:p>
            <w:pPr>
              <w:pStyle w:val="14"/>
            </w:pPr>
            <w:r>
              <w:t>加强加油站大气污染管控，发挥单位职能作用</w:t>
            </w:r>
          </w:p>
        </w:tc>
        <w:tc>
          <w:tcPr>
            <w:tcW w:w="2551" w:type="dxa"/>
            <w:vAlign w:val="center"/>
          </w:tcPr>
          <w:p>
            <w:pPr>
              <w:pStyle w:val="14"/>
            </w:pPr>
            <w:r>
              <w:t>95加强加油站大气污染管控，发挥单位职能作用</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≥95服务对象满意度</w:t>
            </w:r>
          </w:p>
        </w:tc>
        <w:tc>
          <w:tcPr>
            <w:tcW w:w="2268" w:type="dxa"/>
            <w:vAlign w:val="center"/>
          </w:tcPr>
          <w:p>
            <w:pPr>
              <w:pStyle w:val="14"/>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2、招商引资经费绩效目标表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1.按照县委县政府安排部署，2023年我局选派人员驻北京、天津、长三角、福建、珠三角等地区开展招商引资工作。总体目标：外派驻点招商小组在派驻地区开展招商引资活动，推动客商来我县考察投资。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拜访企业数量</w:t>
            </w:r>
          </w:p>
        </w:tc>
        <w:tc>
          <w:tcPr>
            <w:tcW w:w="2835" w:type="dxa"/>
            <w:vAlign w:val="center"/>
          </w:tcPr>
          <w:p>
            <w:pPr>
              <w:pStyle w:val="14"/>
            </w:pPr>
            <w:r>
              <w:t>拜访数量300家</w:t>
            </w:r>
          </w:p>
        </w:tc>
        <w:tc>
          <w:tcPr>
            <w:tcW w:w="2551" w:type="dxa"/>
            <w:vAlign w:val="center"/>
          </w:tcPr>
          <w:p>
            <w:pPr>
              <w:pStyle w:val="14"/>
            </w:pPr>
            <w:r>
              <w:t>≥300拜访数量300家</w:t>
            </w:r>
          </w:p>
        </w:tc>
        <w:tc>
          <w:tcPr>
            <w:tcW w:w="2268" w:type="dxa"/>
            <w:vAlign w:val="center"/>
          </w:tcPr>
          <w:p>
            <w:pPr>
              <w:pStyle w:val="14"/>
            </w:pPr>
            <w:r>
              <w:t>年初工作安排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举办各类推介会展览会12次</w:t>
            </w:r>
          </w:p>
        </w:tc>
        <w:tc>
          <w:tcPr>
            <w:tcW w:w="2835" w:type="dxa"/>
            <w:vAlign w:val="center"/>
          </w:tcPr>
          <w:p>
            <w:pPr>
              <w:pStyle w:val="14"/>
            </w:pPr>
            <w:r>
              <w:t>举办各类推介会展览会12次</w:t>
            </w:r>
          </w:p>
        </w:tc>
        <w:tc>
          <w:tcPr>
            <w:tcW w:w="2551" w:type="dxa"/>
            <w:vAlign w:val="center"/>
          </w:tcPr>
          <w:p>
            <w:pPr>
              <w:pStyle w:val="14"/>
            </w:pPr>
            <w:r>
              <w:t>12推介会展览会12次</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w:t>
            </w:r>
          </w:p>
        </w:tc>
        <w:tc>
          <w:tcPr>
            <w:tcW w:w="2835" w:type="dxa"/>
            <w:vAlign w:val="center"/>
          </w:tcPr>
          <w:p>
            <w:pPr>
              <w:pStyle w:val="14"/>
            </w:pPr>
            <w:r>
              <w:t>及时完成既定目标</w:t>
            </w:r>
          </w:p>
        </w:tc>
        <w:tc>
          <w:tcPr>
            <w:tcW w:w="2551" w:type="dxa"/>
            <w:vAlign w:val="center"/>
          </w:tcPr>
          <w:p>
            <w:pPr>
              <w:pStyle w:val="14"/>
            </w:pPr>
            <w:r>
              <w:t>95完成既定目标的95%</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完成指标值</w:t>
            </w:r>
          </w:p>
        </w:tc>
        <w:tc>
          <w:tcPr>
            <w:tcW w:w="2835" w:type="dxa"/>
            <w:vAlign w:val="center"/>
          </w:tcPr>
          <w:p>
            <w:pPr>
              <w:pStyle w:val="14"/>
            </w:pPr>
            <w:r>
              <w:t>150万元</w:t>
            </w:r>
          </w:p>
        </w:tc>
        <w:tc>
          <w:tcPr>
            <w:tcW w:w="2551" w:type="dxa"/>
            <w:vAlign w:val="center"/>
          </w:tcPr>
          <w:p>
            <w:pPr>
              <w:pStyle w:val="14"/>
            </w:pPr>
            <w:r>
              <w:t>150成本指标150万元</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优化产业升级，促进经济发展</w:t>
            </w:r>
          </w:p>
        </w:tc>
        <w:tc>
          <w:tcPr>
            <w:tcW w:w="2835" w:type="dxa"/>
            <w:vAlign w:val="center"/>
          </w:tcPr>
          <w:p>
            <w:pPr>
              <w:pStyle w:val="14"/>
            </w:pPr>
            <w:r>
              <w:t>优化产业升级，促进经济发展</w:t>
            </w:r>
          </w:p>
        </w:tc>
        <w:tc>
          <w:tcPr>
            <w:tcW w:w="2551" w:type="dxa"/>
            <w:vAlign w:val="center"/>
          </w:tcPr>
          <w:p>
            <w:pPr>
              <w:pStyle w:val="14"/>
            </w:pPr>
            <w:r>
              <w:t>≥90优化产业升级，促进经济发展</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发挥招商引资作用</w:t>
            </w:r>
          </w:p>
        </w:tc>
        <w:tc>
          <w:tcPr>
            <w:tcW w:w="2835" w:type="dxa"/>
            <w:vAlign w:val="center"/>
          </w:tcPr>
          <w:p>
            <w:pPr>
              <w:pStyle w:val="14"/>
            </w:pPr>
            <w:r>
              <w:t>发挥招商引资作用，增加地方收入</w:t>
            </w:r>
          </w:p>
        </w:tc>
        <w:tc>
          <w:tcPr>
            <w:tcW w:w="2551" w:type="dxa"/>
            <w:vAlign w:val="center"/>
          </w:tcPr>
          <w:p>
            <w:pPr>
              <w:pStyle w:val="14"/>
            </w:pPr>
            <w:r>
              <w:t>≥95发挥招商引资作用，增加地方收入</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≥95服务对象满意度</w:t>
            </w:r>
          </w:p>
        </w:tc>
        <w:tc>
          <w:tcPr>
            <w:tcW w:w="2268" w:type="dxa"/>
            <w:vAlign w:val="center"/>
          </w:tcPr>
          <w:p>
            <w:pPr>
              <w:pStyle w:val="14"/>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3、河北省财政厅下达2022年开发区建设专项资金（外商投资企业奖励）绩效目标表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1.外资企业增资项目</w:t>
            </w:r>
          </w:p>
          <w:p>
            <w:pPr>
              <w:pStyle w:val="14"/>
            </w:pPr>
            <w:r>
              <w:t>2.设备达到100%验收合格要求</w:t>
            </w:r>
          </w:p>
          <w:p>
            <w:pPr>
              <w:pStyle w:val="14"/>
            </w:pPr>
            <w:r>
              <w:t>3.</w:t>
            </w:r>
            <w:r>
              <w:rPr>
                <w:rFonts w:hint="eastAsia"/>
                <w:lang w:eastAsia="zh-CN"/>
              </w:rPr>
              <w:t>县级</w:t>
            </w:r>
            <w:r>
              <w:t>奖励资金支出110万元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外资企业增资项目</w:t>
            </w:r>
          </w:p>
        </w:tc>
        <w:tc>
          <w:tcPr>
            <w:tcW w:w="2835" w:type="dxa"/>
            <w:vAlign w:val="center"/>
          </w:tcPr>
          <w:p>
            <w:pPr>
              <w:pStyle w:val="14"/>
            </w:pPr>
            <w:r>
              <w:t>外资企业增资项目</w:t>
            </w:r>
          </w:p>
        </w:tc>
        <w:tc>
          <w:tcPr>
            <w:tcW w:w="2551" w:type="dxa"/>
            <w:vAlign w:val="center"/>
          </w:tcPr>
          <w:p>
            <w:pPr>
              <w:pStyle w:val="14"/>
            </w:pPr>
            <w:r>
              <w:t>1增资项目1个</w:t>
            </w:r>
          </w:p>
        </w:tc>
        <w:tc>
          <w:tcPr>
            <w:tcW w:w="2268" w:type="dxa"/>
            <w:vAlign w:val="center"/>
          </w:tcPr>
          <w:p>
            <w:pPr>
              <w:pStyle w:val="14"/>
            </w:pPr>
            <w:r>
              <w:t>冀财建【2022】167号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资金用于设备购买</w:t>
            </w:r>
          </w:p>
        </w:tc>
        <w:tc>
          <w:tcPr>
            <w:tcW w:w="2835" w:type="dxa"/>
            <w:vAlign w:val="center"/>
          </w:tcPr>
          <w:p>
            <w:pPr>
              <w:pStyle w:val="14"/>
            </w:pPr>
            <w:r>
              <w:t>设备达到100%验收合格要求</w:t>
            </w:r>
          </w:p>
        </w:tc>
        <w:tc>
          <w:tcPr>
            <w:tcW w:w="2551" w:type="dxa"/>
            <w:vAlign w:val="center"/>
          </w:tcPr>
          <w:p>
            <w:pPr>
              <w:pStyle w:val="14"/>
            </w:pPr>
            <w:r>
              <w:t>100设备达到100%验收合格</w:t>
            </w:r>
          </w:p>
        </w:tc>
        <w:tc>
          <w:tcPr>
            <w:tcW w:w="2268" w:type="dxa"/>
            <w:vAlign w:val="center"/>
          </w:tcPr>
          <w:p>
            <w:pPr>
              <w:pStyle w:val="14"/>
            </w:pPr>
            <w:r>
              <w:t>冀财建【2022】167号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rPr>
                <w:rFonts w:hint="eastAsia"/>
                <w:lang w:eastAsia="zh-CN"/>
              </w:rPr>
              <w:t>县级</w:t>
            </w:r>
            <w:r>
              <w:t>奖励资金支出</w:t>
            </w:r>
          </w:p>
        </w:tc>
        <w:tc>
          <w:tcPr>
            <w:tcW w:w="2835" w:type="dxa"/>
            <w:vAlign w:val="center"/>
          </w:tcPr>
          <w:p>
            <w:pPr>
              <w:pStyle w:val="14"/>
            </w:pPr>
            <w:r>
              <w:rPr>
                <w:rFonts w:hint="eastAsia"/>
                <w:lang w:eastAsia="zh-CN"/>
              </w:rPr>
              <w:t>县级</w:t>
            </w:r>
            <w:r>
              <w:t>奖励资金支出110万元</w:t>
            </w:r>
          </w:p>
        </w:tc>
        <w:tc>
          <w:tcPr>
            <w:tcW w:w="2551" w:type="dxa"/>
            <w:vAlign w:val="center"/>
          </w:tcPr>
          <w:p>
            <w:pPr>
              <w:pStyle w:val="14"/>
            </w:pPr>
            <w:r>
              <w:t>110</w:t>
            </w:r>
            <w:r>
              <w:rPr>
                <w:rFonts w:hint="eastAsia"/>
                <w:lang w:eastAsia="zh-CN"/>
              </w:rPr>
              <w:t>县级</w:t>
            </w:r>
            <w:r>
              <w:t>奖励资金支出110万元</w:t>
            </w:r>
          </w:p>
        </w:tc>
        <w:tc>
          <w:tcPr>
            <w:tcW w:w="2268" w:type="dxa"/>
            <w:vAlign w:val="center"/>
          </w:tcPr>
          <w:p>
            <w:pPr>
              <w:pStyle w:val="14"/>
            </w:pPr>
            <w:r>
              <w:t>冀财建【2022】167号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增加就业人数</w:t>
            </w:r>
          </w:p>
        </w:tc>
        <w:tc>
          <w:tcPr>
            <w:tcW w:w="2835" w:type="dxa"/>
            <w:vAlign w:val="center"/>
          </w:tcPr>
          <w:p>
            <w:pPr>
              <w:pStyle w:val="14"/>
            </w:pPr>
            <w:r>
              <w:t>增加就业人数20人</w:t>
            </w:r>
          </w:p>
        </w:tc>
        <w:tc>
          <w:tcPr>
            <w:tcW w:w="2551" w:type="dxa"/>
            <w:vAlign w:val="center"/>
          </w:tcPr>
          <w:p>
            <w:pPr>
              <w:pStyle w:val="14"/>
            </w:pPr>
            <w:r>
              <w:t>20增加就业人数20人</w:t>
            </w:r>
          </w:p>
        </w:tc>
        <w:tc>
          <w:tcPr>
            <w:tcW w:w="2268" w:type="dxa"/>
            <w:vAlign w:val="center"/>
          </w:tcPr>
          <w:p>
            <w:pPr>
              <w:pStyle w:val="14"/>
            </w:pPr>
            <w:r>
              <w:t>冀财建【2022】167号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促进企业发展，增加财政税收</w:t>
            </w:r>
          </w:p>
        </w:tc>
        <w:tc>
          <w:tcPr>
            <w:tcW w:w="2835" w:type="dxa"/>
            <w:vAlign w:val="center"/>
          </w:tcPr>
          <w:p>
            <w:pPr>
              <w:pStyle w:val="14"/>
            </w:pPr>
            <w:r>
              <w:t>财政税收增长5%</w:t>
            </w:r>
          </w:p>
        </w:tc>
        <w:tc>
          <w:tcPr>
            <w:tcW w:w="2551" w:type="dxa"/>
            <w:vAlign w:val="center"/>
          </w:tcPr>
          <w:p>
            <w:pPr>
              <w:pStyle w:val="14"/>
            </w:pPr>
            <w:r>
              <w:t>5财政税收增长5%</w:t>
            </w:r>
          </w:p>
        </w:tc>
        <w:tc>
          <w:tcPr>
            <w:tcW w:w="2268" w:type="dxa"/>
            <w:vAlign w:val="center"/>
          </w:tcPr>
          <w:p>
            <w:pPr>
              <w:pStyle w:val="14"/>
            </w:pPr>
            <w:r>
              <w:t>冀财建【2022】167号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≥99服务对象满意度</w:t>
            </w:r>
          </w:p>
        </w:tc>
        <w:tc>
          <w:tcPr>
            <w:tcW w:w="2268" w:type="dxa"/>
            <w:vAlign w:val="center"/>
          </w:tcPr>
          <w:p>
            <w:pPr>
              <w:pStyle w:val="14"/>
            </w:pPr>
            <w:r>
              <w:t>冀财建【2022】167号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4、企业改制资金绩效目标表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1.企业改制资金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解决改制企业遗留问题</w:t>
            </w:r>
          </w:p>
        </w:tc>
        <w:tc>
          <w:tcPr>
            <w:tcW w:w="2835" w:type="dxa"/>
            <w:vAlign w:val="center"/>
          </w:tcPr>
          <w:p>
            <w:pPr>
              <w:pStyle w:val="14"/>
            </w:pPr>
            <w:r>
              <w:t>解决改制企业遗留问题</w:t>
            </w:r>
          </w:p>
        </w:tc>
        <w:tc>
          <w:tcPr>
            <w:tcW w:w="2551" w:type="dxa"/>
            <w:vAlign w:val="center"/>
          </w:tcPr>
          <w:p>
            <w:pPr>
              <w:pStyle w:val="14"/>
            </w:pPr>
            <w:r>
              <w:t>3解决改制企业遗留问题</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群众工作中心任务完成率</w:t>
            </w:r>
          </w:p>
        </w:tc>
        <w:tc>
          <w:tcPr>
            <w:tcW w:w="2835" w:type="dxa"/>
            <w:vAlign w:val="center"/>
          </w:tcPr>
          <w:p>
            <w:pPr>
              <w:pStyle w:val="14"/>
            </w:pPr>
            <w:r>
              <w:t>群众工作中心任务资金到位率</w:t>
            </w:r>
          </w:p>
        </w:tc>
        <w:tc>
          <w:tcPr>
            <w:tcW w:w="2551" w:type="dxa"/>
            <w:vAlign w:val="center"/>
          </w:tcPr>
          <w:p>
            <w:pPr>
              <w:pStyle w:val="14"/>
            </w:pPr>
            <w:r>
              <w:t>100群众工作中心任务资金到位率达到100%</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w:t>
            </w:r>
          </w:p>
        </w:tc>
        <w:tc>
          <w:tcPr>
            <w:tcW w:w="2835" w:type="dxa"/>
            <w:vAlign w:val="center"/>
          </w:tcPr>
          <w:p>
            <w:pPr>
              <w:pStyle w:val="14"/>
            </w:pPr>
            <w:r>
              <w:t>按月、按季度、按年度及时完成资金拨付</w:t>
            </w:r>
          </w:p>
        </w:tc>
        <w:tc>
          <w:tcPr>
            <w:tcW w:w="2551" w:type="dxa"/>
            <w:vAlign w:val="center"/>
          </w:tcPr>
          <w:p>
            <w:pPr>
              <w:pStyle w:val="14"/>
            </w:pPr>
            <w:r>
              <w:t>100按月、按季度、按年度及时完成资金拨付</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经费预算控制数</w:t>
            </w:r>
          </w:p>
        </w:tc>
        <w:tc>
          <w:tcPr>
            <w:tcW w:w="2835" w:type="dxa"/>
            <w:vAlign w:val="center"/>
          </w:tcPr>
          <w:p>
            <w:pPr>
              <w:pStyle w:val="14"/>
            </w:pPr>
            <w:r>
              <w:t>严格按照预算及有关规定发放各项资金</w:t>
            </w:r>
          </w:p>
        </w:tc>
        <w:tc>
          <w:tcPr>
            <w:tcW w:w="2551" w:type="dxa"/>
            <w:vAlign w:val="center"/>
          </w:tcPr>
          <w:p>
            <w:pPr>
              <w:pStyle w:val="14"/>
            </w:pPr>
            <w:r>
              <w:t>100严格按照预算及有关规定发放各项资金</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w:t>
            </w:r>
          </w:p>
        </w:tc>
        <w:tc>
          <w:tcPr>
            <w:tcW w:w="2835" w:type="dxa"/>
            <w:vAlign w:val="center"/>
          </w:tcPr>
          <w:p>
            <w:pPr>
              <w:pStyle w:val="14"/>
            </w:pPr>
            <w:r>
              <w:t>完善前期遗留问题，有利于社会稳定</w:t>
            </w:r>
          </w:p>
        </w:tc>
        <w:tc>
          <w:tcPr>
            <w:tcW w:w="2551" w:type="dxa"/>
            <w:vAlign w:val="center"/>
          </w:tcPr>
          <w:p>
            <w:pPr>
              <w:pStyle w:val="14"/>
            </w:pPr>
            <w:r>
              <w:t>100完善前期遗留问题，有利于社会稳定，完成率达到100%</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服务对象满意程度</w:t>
            </w:r>
          </w:p>
        </w:tc>
        <w:tc>
          <w:tcPr>
            <w:tcW w:w="2551" w:type="dxa"/>
            <w:vAlign w:val="center"/>
          </w:tcPr>
          <w:p>
            <w:pPr>
              <w:pStyle w:val="14"/>
            </w:pPr>
            <w:r>
              <w:t>≥98服务对象满意程度</w:t>
            </w:r>
          </w:p>
        </w:tc>
        <w:tc>
          <w:tcPr>
            <w:tcW w:w="2268" w:type="dxa"/>
            <w:vAlign w:val="center"/>
          </w:tcPr>
          <w:p>
            <w:pPr>
              <w:pStyle w:val="14"/>
            </w:pPr>
            <w:r>
              <w:t>年初工作安排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2023年，乐亭县商务和投资促进局安排政府采购预算</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方正书宋_GBK"/>
                <w:lang w:val="en-US" w:eastAsia="zh-CN"/>
              </w:rPr>
            </w:pPr>
            <w:r>
              <w:rPr>
                <w:rFonts w:hint="eastAsia"/>
                <w:lang w:val="en-US" w:eastAsia="zh-CN"/>
              </w:rPr>
              <w:t>招商经费</w:t>
            </w:r>
          </w:p>
        </w:tc>
        <w:tc>
          <w:tcPr>
            <w:tcW w:w="964" w:type="dxa"/>
            <w:vAlign w:val="center"/>
          </w:tcPr>
          <w:p>
            <w:pPr>
              <w:pStyle w:val="13"/>
              <w:rPr>
                <w:rFonts w:hint="default" w:eastAsia="方正书宋_GBK"/>
                <w:lang w:val="en-US" w:eastAsia="zh-CN"/>
              </w:rPr>
            </w:pPr>
            <w:r>
              <w:rPr>
                <w:rFonts w:hint="eastAsia"/>
                <w:lang w:val="en-US" w:eastAsia="zh-CN"/>
              </w:rPr>
              <w:t>15</w:t>
            </w:r>
          </w:p>
        </w:tc>
        <w:tc>
          <w:tcPr>
            <w:tcW w:w="1134" w:type="dxa"/>
            <w:vAlign w:val="center"/>
          </w:tcPr>
          <w:p>
            <w:pPr>
              <w:pStyle w:val="14"/>
              <w:rPr>
                <w:rFonts w:hint="eastAsia" w:eastAsia="方正书宋_GBK"/>
                <w:lang w:eastAsia="zh-CN"/>
              </w:rPr>
            </w:pPr>
            <w:r>
              <w:rPr>
                <w:rFonts w:hint="eastAsia"/>
                <w:lang w:eastAsia="zh-CN"/>
              </w:rPr>
              <w:t>电脑</w:t>
            </w:r>
          </w:p>
        </w:tc>
        <w:tc>
          <w:tcPr>
            <w:tcW w:w="1134" w:type="dxa"/>
            <w:vAlign w:val="center"/>
          </w:tcPr>
          <w:p>
            <w:pPr>
              <w:pStyle w:val="14"/>
            </w:pPr>
          </w:p>
        </w:tc>
        <w:tc>
          <w:tcPr>
            <w:tcW w:w="709" w:type="dxa"/>
            <w:vAlign w:val="center"/>
          </w:tcPr>
          <w:p>
            <w:pPr>
              <w:pStyle w:val="15"/>
              <w:rPr>
                <w:rFonts w:hint="default" w:eastAsia="方正书宋_GBK"/>
                <w:lang w:val="en-US" w:eastAsia="zh-CN"/>
              </w:rPr>
            </w:pPr>
            <w:r>
              <w:rPr>
                <w:rFonts w:hint="eastAsia"/>
                <w:lang w:val="en-US" w:eastAsia="zh-CN"/>
              </w:rPr>
              <w:t>台</w:t>
            </w:r>
          </w:p>
        </w:tc>
        <w:tc>
          <w:tcPr>
            <w:tcW w:w="850" w:type="dxa"/>
            <w:vAlign w:val="center"/>
          </w:tcPr>
          <w:p>
            <w:pPr>
              <w:pStyle w:val="13"/>
              <w:rPr>
                <w:rFonts w:hint="default" w:eastAsia="方正书宋_GBK"/>
                <w:lang w:val="en-US" w:eastAsia="zh-CN"/>
              </w:rPr>
            </w:pPr>
            <w:r>
              <w:rPr>
                <w:rFonts w:hint="eastAsia"/>
                <w:lang w:val="en-US" w:eastAsia="zh-CN"/>
              </w:rPr>
              <w:t>30</w:t>
            </w:r>
          </w:p>
        </w:tc>
        <w:tc>
          <w:tcPr>
            <w:tcW w:w="850" w:type="dxa"/>
            <w:vAlign w:val="center"/>
          </w:tcPr>
          <w:p>
            <w:pPr>
              <w:pStyle w:val="13"/>
              <w:rPr>
                <w:rFonts w:hint="default" w:eastAsia="方正书宋_GBK"/>
                <w:lang w:val="en-US" w:eastAsia="zh-CN"/>
              </w:rPr>
            </w:pPr>
            <w:r>
              <w:rPr>
                <w:rFonts w:hint="eastAsia"/>
                <w:lang w:val="en-US" w:eastAsia="zh-CN"/>
              </w:rPr>
              <w:t>0.5</w:t>
            </w:r>
          </w:p>
        </w:tc>
        <w:tc>
          <w:tcPr>
            <w:tcW w:w="964" w:type="dxa"/>
            <w:vAlign w:val="center"/>
          </w:tcPr>
          <w:p>
            <w:pPr>
              <w:pStyle w:val="13"/>
              <w:rPr>
                <w:rFonts w:hint="default" w:eastAsia="方正书宋_GBK"/>
                <w:lang w:val="en-US" w:eastAsia="zh-CN"/>
              </w:rPr>
            </w:pPr>
            <w:r>
              <w:rPr>
                <w:rFonts w:hint="eastAsia"/>
                <w:lang w:val="en-US" w:eastAsia="zh-CN"/>
              </w:rPr>
              <w:t>15</w:t>
            </w:r>
          </w:p>
        </w:tc>
        <w:tc>
          <w:tcPr>
            <w:tcW w:w="964" w:type="dxa"/>
            <w:vAlign w:val="center"/>
          </w:tcPr>
          <w:p>
            <w:pPr>
              <w:pStyle w:val="13"/>
              <w:rPr>
                <w:rFonts w:hint="default" w:eastAsia="方正书宋_GBK"/>
                <w:lang w:val="en-US" w:eastAsia="zh-CN"/>
              </w:rPr>
            </w:pPr>
            <w:r>
              <w:rPr>
                <w:rFonts w:hint="eastAsia"/>
                <w:lang w:val="en-US" w:eastAsia="zh-CN"/>
              </w:rPr>
              <w:t>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乐亭县商务和投资促进局（含所属单位）上年末固定资产金额为109.67万元（详见下表）。本年度拟购置固定资产总额为15.00万元，已按要求列入政府采购预算，详见政府采购预算表。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rPr>
                <w:rFonts w:hint="eastAsia"/>
                <w:lang w:eastAsia="zh-CN"/>
              </w:rPr>
              <w:t>366002</w:t>
            </w:r>
            <w:r>
              <w:t>乐亭县商务和投资促进局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170</w:t>
            </w:r>
          </w:p>
        </w:tc>
        <w:tc>
          <w:tcPr>
            <w:tcW w:w="2835" w:type="dxa"/>
            <w:vAlign w:val="center"/>
          </w:tcPr>
          <w:p>
            <w:pPr>
              <w:pStyle w:val="13"/>
            </w:pPr>
            <w:r>
              <w:t>62.77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w:t>
      </w:r>
      <w:r>
        <w:rPr>
          <w:rFonts w:hint="eastAsia" w:eastAsia="方正仿宋_GBK" w:cs="Times New Roman"/>
          <w:b w:val="0"/>
          <w:color w:val="000000"/>
          <w:sz w:val="28"/>
          <w:lang w:eastAsia="zh-CN"/>
        </w:rPr>
        <w:t>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FmNTVjZmE5ZDk1YWE3YWQxNTZhNDgwZGQ5NmE5MzMifQ=="/>
  </w:docVars>
  <w:rsids>
    <w:rsidRoot w:val="00000000"/>
    <w:rsid w:val="0163452F"/>
    <w:rsid w:val="0B1F68F3"/>
    <w:rsid w:val="0DE24FA4"/>
    <w:rsid w:val="14D91C6B"/>
    <w:rsid w:val="188466B5"/>
    <w:rsid w:val="22FA58D0"/>
    <w:rsid w:val="25D17816"/>
    <w:rsid w:val="37C400D5"/>
    <w:rsid w:val="385855DB"/>
    <w:rsid w:val="43714E84"/>
    <w:rsid w:val="44501F51"/>
    <w:rsid w:val="46312F75"/>
    <w:rsid w:val="4FF526B4"/>
    <w:rsid w:val="580D48A8"/>
    <w:rsid w:val="585B7DA9"/>
    <w:rsid w:val="5A34764A"/>
    <w:rsid w:val="68753407"/>
    <w:rsid w:val="73934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2023-02-02T11:36:30Z</dcterms:created>
  <dcterms:modified xsi:type="dcterms:W3CDTF">2023-02-02T03:36:30Z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2023-02-02T11:36:34Z</dcterms:created>
  <dcterms:modified xsi:type="dcterms:W3CDTF">2023-02-02T03:36:34Z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2023-02-02T11:36:39Z</dcterms:created>
  <dcterms:modified xsi:type="dcterms:W3CDTF">2023-02-02T03:36:39Z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2023-02-02T11:36:39Z</dcterms:created>
  <dcterms:modified xsi:type="dcterms:W3CDTF">2023-02-02T03:36:39Z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2023-02-02T11:36:39Z</dcterms:created>
  <dcterms:modified xsi:type="dcterms:W3CDTF">2023-02-02T03:36:39Z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2023-02-02T11:36:39Z</dcterms:created>
  <dcterms:modified xsi:type="dcterms:W3CDTF">2023-02-02T03:36:39Z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2023-02-02T11:36:40Z</dcterms:created>
  <dcterms:modified xsi:type="dcterms:W3CDTF">2023-02-02T03:36:40Z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2023-02-02T11:36:29Z</dcterms:created>
  <dcterms:modified xsi:type="dcterms:W3CDTF">2023-02-02T03:36:29Z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2023-02-02T11:36:29Z</dcterms:created>
  <dcterms:modified xsi:type="dcterms:W3CDTF">2023-02-02T03:36:29Z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2023-02-02T11:36:30Z</dcterms:created>
  <dcterms:modified xsi:type="dcterms:W3CDTF">2023-02-02T03:36:30Z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2023-02-02T11:36:29Z</dcterms:created>
  <dcterms:modified xsi:type="dcterms:W3CDTF">2023-02-02T03:36:29Z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2023-02-02T11:36:30Z</dcterms:created>
  <dcterms:modified xsi:type="dcterms:W3CDTF">2023-02-02T03:36:30Z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2023-02-02T11:36:30Z</dcterms:created>
  <dcterms:modified xsi:type="dcterms:W3CDTF">2023-02-02T03:36:30Z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fee4a8-4b9d-4414-81b7-b0c5d642cd7d}">
  <ds:schemaRefs/>
</ds:datastoreItem>
</file>

<file path=customXml/itemProps10.xml><?xml version="1.0" encoding="utf-8"?>
<ds:datastoreItem xmlns:ds="http://schemas.openxmlformats.org/officeDocument/2006/customXml" ds:itemID="{3c22a195-b8a2-4e59-98f8-04db6b9a789f}">
  <ds:schemaRefs/>
</ds:datastoreItem>
</file>

<file path=customXml/itemProps11.xml><?xml version="1.0" encoding="utf-8"?>
<ds:datastoreItem xmlns:ds="http://schemas.openxmlformats.org/officeDocument/2006/customXml" ds:itemID="{6c40a2e2-fad4-40f4-90ea-90e41397634a}">
  <ds:schemaRefs/>
</ds:datastoreItem>
</file>

<file path=customXml/itemProps12.xml><?xml version="1.0" encoding="utf-8"?>
<ds:datastoreItem xmlns:ds="http://schemas.openxmlformats.org/officeDocument/2006/customXml" ds:itemID="{bb6bdfea-a0f1-4dcd-ae3b-265b71661cf6}">
  <ds:schemaRefs/>
</ds:datastoreItem>
</file>

<file path=customXml/itemProps13.xml><?xml version="1.0" encoding="utf-8"?>
<ds:datastoreItem xmlns:ds="http://schemas.openxmlformats.org/officeDocument/2006/customXml" ds:itemID="{9283b537-a0be-4df6-8555-dc64b5609760}">
  <ds:schemaRefs/>
</ds:datastoreItem>
</file>

<file path=customXml/itemProps14.xml><?xml version="1.0" encoding="utf-8"?>
<ds:datastoreItem xmlns:ds="http://schemas.openxmlformats.org/officeDocument/2006/customXml" ds:itemID="{f7463900-d5af-4ec6-847f-e4a551572733}">
  <ds:schemaRefs/>
</ds:datastoreItem>
</file>

<file path=customXml/itemProps15.xml><?xml version="1.0" encoding="utf-8"?>
<ds:datastoreItem xmlns:ds="http://schemas.openxmlformats.org/officeDocument/2006/customXml" ds:itemID="{b085e2c0-6dd7-4721-b903-a8ccaa2a4568}">
  <ds:schemaRefs/>
</ds:datastoreItem>
</file>

<file path=customXml/itemProps16.xml><?xml version="1.0" encoding="utf-8"?>
<ds:datastoreItem xmlns:ds="http://schemas.openxmlformats.org/officeDocument/2006/customXml" ds:itemID="{68a0daef-fe42-4a12-b709-aa76606345e0}">
  <ds:schemaRefs/>
</ds:datastoreItem>
</file>

<file path=customXml/itemProps17.xml><?xml version="1.0" encoding="utf-8"?>
<ds:datastoreItem xmlns:ds="http://schemas.openxmlformats.org/officeDocument/2006/customXml" ds:itemID="{4cb92582-2b45-4899-9897-2aa380c62e35}">
  <ds:schemaRefs/>
</ds:datastoreItem>
</file>

<file path=customXml/itemProps18.xml><?xml version="1.0" encoding="utf-8"?>
<ds:datastoreItem xmlns:ds="http://schemas.openxmlformats.org/officeDocument/2006/customXml" ds:itemID="{ae75e0cb-5ac5-478c-842a-0dc2f48fe1ff}">
  <ds:schemaRefs/>
</ds:datastoreItem>
</file>

<file path=customXml/itemProps19.xml><?xml version="1.0" encoding="utf-8"?>
<ds:datastoreItem xmlns:ds="http://schemas.openxmlformats.org/officeDocument/2006/customXml" ds:itemID="{1a0f6607-e1b5-4740-a016-89af17cf19ed}">
  <ds:schemaRefs/>
</ds:datastoreItem>
</file>

<file path=customXml/itemProps2.xml><?xml version="1.0" encoding="utf-8"?>
<ds:datastoreItem xmlns:ds="http://schemas.openxmlformats.org/officeDocument/2006/customXml" ds:itemID="{d2de0b9f-75c4-46ce-b359-1568c247af9a}">
  <ds:schemaRefs/>
</ds:datastoreItem>
</file>

<file path=customXml/itemProps20.xml><?xml version="1.0" encoding="utf-8"?>
<ds:datastoreItem xmlns:ds="http://schemas.openxmlformats.org/officeDocument/2006/customXml" ds:itemID="{c14125c7-9a3b-4b1b-b903-a23ddb9d9d76}">
  <ds:schemaRefs/>
</ds:datastoreItem>
</file>

<file path=customXml/itemProps21.xml><?xml version="1.0" encoding="utf-8"?>
<ds:datastoreItem xmlns:ds="http://schemas.openxmlformats.org/officeDocument/2006/customXml" ds:itemID="{9d89eb22-1bbe-472c-a363-99a4de9c1eab}">
  <ds:schemaRefs/>
</ds:datastoreItem>
</file>

<file path=customXml/itemProps22.xml><?xml version="1.0" encoding="utf-8"?>
<ds:datastoreItem xmlns:ds="http://schemas.openxmlformats.org/officeDocument/2006/customXml" ds:itemID="{b7463ff5-7172-4ab3-aca5-28896951cb1a}">
  <ds:schemaRefs/>
</ds:datastoreItem>
</file>

<file path=customXml/itemProps23.xml><?xml version="1.0" encoding="utf-8"?>
<ds:datastoreItem xmlns:ds="http://schemas.openxmlformats.org/officeDocument/2006/customXml" ds:itemID="{6e78875e-277e-4c2b-ae9a-ae032e265929}">
  <ds:schemaRefs/>
</ds:datastoreItem>
</file>

<file path=customXml/itemProps24.xml><?xml version="1.0" encoding="utf-8"?>
<ds:datastoreItem xmlns:ds="http://schemas.openxmlformats.org/officeDocument/2006/customXml" ds:itemID="{8087b309-a46e-4a01-b1de-15fca6d5ab07}">
  <ds:schemaRefs/>
</ds:datastoreItem>
</file>

<file path=customXml/itemProps25.xml><?xml version="1.0" encoding="utf-8"?>
<ds:datastoreItem xmlns:ds="http://schemas.openxmlformats.org/officeDocument/2006/customXml" ds:itemID="{8df97112-23ac-4a64-a7e0-d7aa36fc7469}">
  <ds:schemaRefs/>
</ds:datastoreItem>
</file>

<file path=customXml/itemProps26.xml><?xml version="1.0" encoding="utf-8"?>
<ds:datastoreItem xmlns:ds="http://schemas.openxmlformats.org/officeDocument/2006/customXml" ds:itemID="{8c2aee3c-1fa2-495e-bfe7-607e99ab702c}">
  <ds:schemaRefs/>
</ds:datastoreItem>
</file>

<file path=customXml/itemProps3.xml><?xml version="1.0" encoding="utf-8"?>
<ds:datastoreItem xmlns:ds="http://schemas.openxmlformats.org/officeDocument/2006/customXml" ds:itemID="{102c1d4a-7446-46d2-8e1a-af59ac70dec8}">
  <ds:schemaRefs/>
</ds:datastoreItem>
</file>

<file path=customXml/itemProps4.xml><?xml version="1.0" encoding="utf-8"?>
<ds:datastoreItem xmlns:ds="http://schemas.openxmlformats.org/officeDocument/2006/customXml" ds:itemID="{99dad7c6-e88c-46df-9286-3742a8ccd42a}">
  <ds:schemaRefs/>
</ds:datastoreItem>
</file>

<file path=customXml/itemProps5.xml><?xml version="1.0" encoding="utf-8"?>
<ds:datastoreItem xmlns:ds="http://schemas.openxmlformats.org/officeDocument/2006/customXml" ds:itemID="{0a40e572-9791-494f-9806-c973dcd5e5b4}">
  <ds:schemaRefs/>
</ds:datastoreItem>
</file>

<file path=customXml/itemProps6.xml><?xml version="1.0" encoding="utf-8"?>
<ds:datastoreItem xmlns:ds="http://schemas.openxmlformats.org/officeDocument/2006/customXml" ds:itemID="{ec5e7581-e9de-426f-bc0d-0c584d848c3e}">
  <ds:schemaRefs/>
</ds:datastoreItem>
</file>

<file path=customXml/itemProps7.xml><?xml version="1.0" encoding="utf-8"?>
<ds:datastoreItem xmlns:ds="http://schemas.openxmlformats.org/officeDocument/2006/customXml" ds:itemID="{f1add0eb-4387-429e-93db-733b8768051f}">
  <ds:schemaRefs/>
</ds:datastoreItem>
</file>

<file path=customXml/itemProps8.xml><?xml version="1.0" encoding="utf-8"?>
<ds:datastoreItem xmlns:ds="http://schemas.openxmlformats.org/officeDocument/2006/customXml" ds:itemID="{ec0c3ffb-5590-494c-9248-9ac96851b322}">
  <ds:schemaRefs/>
</ds:datastoreItem>
</file>

<file path=customXml/itemProps9.xml><?xml version="1.0" encoding="utf-8"?>
<ds:datastoreItem xmlns:ds="http://schemas.openxmlformats.org/officeDocument/2006/customXml" ds:itemID="{4dc90bcb-98de-4594-bee5-abcfcd4ff13b}">
  <ds:schemaRefs/>
</ds:datastoreItem>
</file>

<file path=docProps/app.xml><?xml version="1.0" encoding="utf-8"?>
<Properties xmlns="http://schemas.openxmlformats.org/officeDocument/2006/extended-properties" xmlns:vt="http://schemas.openxmlformats.org/officeDocument/2006/docPropsVTypes">
  <Pages>50</Pages>
  <Words>16393</Words>
  <Characters>18172</Characters>
  <TotalTime>22</TotalTime>
  <ScaleCrop>false</ScaleCrop>
  <LinksUpToDate>false</LinksUpToDate>
  <CharactersWithSpaces>18340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2023-02-02T11:36:00Z</dcterms:created>
  <dc:creator>Administrator</dc:creator>
  <cp:lastModifiedBy>LENOVO</cp:lastModifiedBy>
  <dcterms:modified xsi:type="dcterms:W3CDTF">2024-03-18T06:40:02Z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53B2950026864C87B613101163FA9A63</vt:lpwstr>
  </property>
</Properties>
</file>