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18</w:t>
      </w:r>
      <w:r>
        <w:fldChar w:fldCharType="end"/>
      </w:r>
      <w:r>
        <w:fldChar w:fldCharType="end"/>
      </w:r>
    </w:p>
    <w:p>
      <w:r>
        <w:fldChar w:fldCharType="end"/>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fmt="numberInDash"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485汀流河工业园区</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43.05</w:t>
            </w:r>
          </w:p>
        </w:tc>
        <w:tc>
          <w:tcPr>
            <w:tcW w:w="4535" w:type="dxa"/>
            <w:vAlign w:val="center"/>
          </w:tcPr>
          <w:p>
            <w:pPr>
              <w:pStyle w:val="16"/>
            </w:pPr>
            <w:r>
              <w:t>一、一般公共服务支出</w:t>
            </w:r>
          </w:p>
        </w:tc>
        <w:tc>
          <w:tcPr>
            <w:tcW w:w="2126" w:type="dxa"/>
            <w:vAlign w:val="center"/>
          </w:tcPr>
          <w:p>
            <w:pPr>
              <w:pStyle w:val="15"/>
            </w:pPr>
            <w:r>
              <w:t>39.30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43.05</w:t>
            </w:r>
          </w:p>
        </w:tc>
        <w:tc>
          <w:tcPr>
            <w:tcW w:w="4535" w:type="dxa"/>
            <w:vAlign w:val="center"/>
          </w:tcPr>
          <w:p>
            <w:pPr>
              <w:pStyle w:val="18"/>
            </w:pPr>
            <w:r>
              <w:t>本年支出合计</w:t>
            </w:r>
          </w:p>
        </w:tc>
        <w:tc>
          <w:tcPr>
            <w:tcW w:w="2126" w:type="dxa"/>
            <w:vAlign w:val="center"/>
          </w:tcPr>
          <w:p>
            <w:pPr>
              <w:pStyle w:val="19"/>
            </w:pPr>
            <w:r>
              <w:t>43.05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43.05</w:t>
            </w:r>
          </w:p>
        </w:tc>
        <w:tc>
          <w:tcPr>
            <w:tcW w:w="4535" w:type="dxa"/>
            <w:vAlign w:val="center"/>
          </w:tcPr>
          <w:p>
            <w:pPr>
              <w:pStyle w:val="18"/>
            </w:pPr>
            <w:r>
              <w:t>支出总计</w:t>
            </w:r>
          </w:p>
        </w:tc>
        <w:tc>
          <w:tcPr>
            <w:tcW w:w="2126" w:type="dxa"/>
            <w:vAlign w:val="center"/>
          </w:tcPr>
          <w:p>
            <w:pPr>
              <w:pStyle w:val="19"/>
            </w:pPr>
            <w:r>
              <w:t>43.05</w:t>
            </w:r>
          </w:p>
        </w:tc>
      </w:tr>
    </w:tbl>
    <w:p>
      <w:pPr>
        <w:sectPr>
          <w:pgSz w:w="16840" w:h="11900" w:orient="landscape"/>
          <w:pgMar w:top="1361" w:right="1020" w:bottom="1134" w:left="1020" w:header="720" w:footer="720" w:gutter="0"/>
          <w:pgNumType w:fmt="numberInDash"/>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485汀流河工业园区</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43.05</w:t>
            </w:r>
          </w:p>
        </w:tc>
        <w:tc>
          <w:tcPr>
            <w:tcW w:w="1134" w:type="dxa"/>
            <w:vAlign w:val="center"/>
          </w:tcPr>
          <w:p>
            <w:pPr>
              <w:pStyle w:val="19"/>
            </w:pPr>
            <w:r>
              <w:t>43.05</w:t>
            </w:r>
          </w:p>
        </w:tc>
        <w:tc>
          <w:tcPr>
            <w:tcW w:w="1134" w:type="dxa"/>
            <w:vAlign w:val="center"/>
          </w:tcPr>
          <w:p>
            <w:pPr>
              <w:pStyle w:val="19"/>
            </w:pPr>
            <w:r>
              <w:t>43.05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39.30</w:t>
            </w:r>
          </w:p>
        </w:tc>
        <w:tc>
          <w:tcPr>
            <w:tcW w:w="1134" w:type="dxa"/>
            <w:vAlign w:val="center"/>
          </w:tcPr>
          <w:p>
            <w:pPr>
              <w:pStyle w:val="15"/>
            </w:pPr>
            <w:r>
              <w:t>39.30</w:t>
            </w:r>
          </w:p>
        </w:tc>
        <w:tc>
          <w:tcPr>
            <w:tcW w:w="1134" w:type="dxa"/>
            <w:vAlign w:val="center"/>
          </w:tcPr>
          <w:p>
            <w:pPr>
              <w:pStyle w:val="15"/>
            </w:pPr>
            <w:r>
              <w:t>39.30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39.30</w:t>
            </w:r>
          </w:p>
        </w:tc>
        <w:tc>
          <w:tcPr>
            <w:tcW w:w="1134" w:type="dxa"/>
            <w:vAlign w:val="center"/>
          </w:tcPr>
          <w:p>
            <w:pPr>
              <w:pStyle w:val="15"/>
            </w:pPr>
            <w:r>
              <w:t>39.30</w:t>
            </w:r>
          </w:p>
        </w:tc>
        <w:tc>
          <w:tcPr>
            <w:tcW w:w="1134" w:type="dxa"/>
            <w:vAlign w:val="center"/>
          </w:tcPr>
          <w:p>
            <w:pPr>
              <w:pStyle w:val="15"/>
            </w:pPr>
            <w:r>
              <w:t>39.30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39.30</w:t>
            </w:r>
          </w:p>
        </w:tc>
        <w:tc>
          <w:tcPr>
            <w:tcW w:w="1134" w:type="dxa"/>
            <w:vAlign w:val="center"/>
          </w:tcPr>
          <w:p>
            <w:pPr>
              <w:pStyle w:val="15"/>
            </w:pPr>
            <w:r>
              <w:t>39.30</w:t>
            </w:r>
          </w:p>
        </w:tc>
        <w:tc>
          <w:tcPr>
            <w:tcW w:w="1134" w:type="dxa"/>
            <w:vAlign w:val="center"/>
          </w:tcPr>
          <w:p>
            <w:pPr>
              <w:pStyle w:val="15"/>
            </w:pPr>
            <w:r>
              <w:t>39.30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1.37</w:t>
            </w:r>
          </w:p>
        </w:tc>
        <w:tc>
          <w:tcPr>
            <w:tcW w:w="1134" w:type="dxa"/>
            <w:vAlign w:val="center"/>
          </w:tcPr>
          <w:p>
            <w:pPr>
              <w:pStyle w:val="15"/>
            </w:pPr>
            <w:r>
              <w:t>1.37</w:t>
            </w:r>
          </w:p>
        </w:tc>
        <w:tc>
          <w:tcPr>
            <w:tcW w:w="1134" w:type="dxa"/>
            <w:vAlign w:val="center"/>
          </w:tcPr>
          <w:p>
            <w:pPr>
              <w:pStyle w:val="15"/>
            </w:pPr>
            <w:r>
              <w:t>1.37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1.37</w:t>
            </w:r>
          </w:p>
        </w:tc>
        <w:tc>
          <w:tcPr>
            <w:tcW w:w="1134" w:type="dxa"/>
            <w:vAlign w:val="center"/>
          </w:tcPr>
          <w:p>
            <w:pPr>
              <w:pStyle w:val="15"/>
            </w:pPr>
            <w:r>
              <w:t>1.37</w:t>
            </w:r>
          </w:p>
        </w:tc>
        <w:tc>
          <w:tcPr>
            <w:tcW w:w="1134" w:type="dxa"/>
            <w:vAlign w:val="center"/>
          </w:tcPr>
          <w:p>
            <w:pPr>
              <w:pStyle w:val="15"/>
            </w:pPr>
            <w:r>
              <w:t>1.37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1.37</w:t>
            </w:r>
          </w:p>
        </w:tc>
        <w:tc>
          <w:tcPr>
            <w:tcW w:w="1134" w:type="dxa"/>
            <w:vAlign w:val="center"/>
          </w:tcPr>
          <w:p>
            <w:pPr>
              <w:pStyle w:val="15"/>
            </w:pPr>
            <w:r>
              <w:t>1.37</w:t>
            </w:r>
          </w:p>
        </w:tc>
        <w:tc>
          <w:tcPr>
            <w:tcW w:w="1134" w:type="dxa"/>
            <w:vAlign w:val="center"/>
          </w:tcPr>
          <w:p>
            <w:pPr>
              <w:pStyle w:val="15"/>
            </w:pPr>
            <w:r>
              <w:t>1.37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1.28</w:t>
            </w:r>
          </w:p>
        </w:tc>
        <w:tc>
          <w:tcPr>
            <w:tcW w:w="1134" w:type="dxa"/>
            <w:vAlign w:val="center"/>
          </w:tcPr>
          <w:p>
            <w:pPr>
              <w:pStyle w:val="15"/>
            </w:pPr>
            <w:r>
              <w:t>1.28</w:t>
            </w:r>
          </w:p>
        </w:tc>
        <w:tc>
          <w:tcPr>
            <w:tcW w:w="1134" w:type="dxa"/>
            <w:vAlign w:val="center"/>
          </w:tcPr>
          <w:p>
            <w:pPr>
              <w:pStyle w:val="15"/>
            </w:pPr>
            <w:r>
              <w:t>1.28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1.28</w:t>
            </w:r>
          </w:p>
        </w:tc>
        <w:tc>
          <w:tcPr>
            <w:tcW w:w="1134" w:type="dxa"/>
            <w:vAlign w:val="center"/>
          </w:tcPr>
          <w:p>
            <w:pPr>
              <w:pStyle w:val="15"/>
            </w:pPr>
            <w:r>
              <w:t>1.28</w:t>
            </w:r>
          </w:p>
        </w:tc>
        <w:tc>
          <w:tcPr>
            <w:tcW w:w="1134" w:type="dxa"/>
            <w:vAlign w:val="center"/>
          </w:tcPr>
          <w:p>
            <w:pPr>
              <w:pStyle w:val="15"/>
            </w:pPr>
            <w:r>
              <w:t>1.28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0.68</w:t>
            </w:r>
          </w:p>
        </w:tc>
        <w:tc>
          <w:tcPr>
            <w:tcW w:w="1134" w:type="dxa"/>
            <w:vAlign w:val="center"/>
          </w:tcPr>
          <w:p>
            <w:pPr>
              <w:pStyle w:val="15"/>
            </w:pPr>
            <w:r>
              <w:t>0.68</w:t>
            </w:r>
          </w:p>
        </w:tc>
        <w:tc>
          <w:tcPr>
            <w:tcW w:w="1134" w:type="dxa"/>
            <w:vAlign w:val="center"/>
          </w:tcPr>
          <w:p>
            <w:pPr>
              <w:pStyle w:val="15"/>
            </w:pPr>
            <w:r>
              <w:t>0.68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2101103</w:t>
            </w:r>
          </w:p>
        </w:tc>
        <w:tc>
          <w:tcPr>
            <w:tcW w:w="1559" w:type="dxa"/>
            <w:vAlign w:val="center"/>
          </w:tcPr>
          <w:p>
            <w:pPr>
              <w:pStyle w:val="16"/>
            </w:pPr>
            <w:r>
              <w:t>公务员医疗补助</w:t>
            </w:r>
          </w:p>
        </w:tc>
        <w:tc>
          <w:tcPr>
            <w:tcW w:w="1134" w:type="dxa"/>
            <w:vAlign w:val="center"/>
          </w:tcPr>
          <w:p>
            <w:pPr>
              <w:pStyle w:val="15"/>
            </w:pPr>
            <w:r>
              <w:t>0.60</w:t>
            </w:r>
          </w:p>
        </w:tc>
        <w:tc>
          <w:tcPr>
            <w:tcW w:w="1134" w:type="dxa"/>
            <w:vAlign w:val="center"/>
          </w:tcPr>
          <w:p>
            <w:pPr>
              <w:pStyle w:val="15"/>
            </w:pPr>
            <w:r>
              <w:t>0.60</w:t>
            </w:r>
          </w:p>
        </w:tc>
        <w:tc>
          <w:tcPr>
            <w:tcW w:w="1134" w:type="dxa"/>
            <w:vAlign w:val="center"/>
          </w:tcPr>
          <w:p>
            <w:pPr>
              <w:pStyle w:val="15"/>
            </w:pPr>
            <w:r>
              <w:t>0.60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1.10</w:t>
            </w:r>
          </w:p>
        </w:tc>
        <w:tc>
          <w:tcPr>
            <w:tcW w:w="1134" w:type="dxa"/>
            <w:vAlign w:val="center"/>
          </w:tcPr>
          <w:p>
            <w:pPr>
              <w:pStyle w:val="15"/>
            </w:pPr>
            <w:r>
              <w:t>1.10</w:t>
            </w:r>
          </w:p>
        </w:tc>
        <w:tc>
          <w:tcPr>
            <w:tcW w:w="1134" w:type="dxa"/>
            <w:vAlign w:val="center"/>
          </w:tcPr>
          <w:p>
            <w:pPr>
              <w:pStyle w:val="15"/>
            </w:pPr>
            <w:r>
              <w:t>1.10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1.10</w:t>
            </w:r>
          </w:p>
        </w:tc>
        <w:tc>
          <w:tcPr>
            <w:tcW w:w="1134" w:type="dxa"/>
            <w:vAlign w:val="center"/>
          </w:tcPr>
          <w:p>
            <w:pPr>
              <w:pStyle w:val="15"/>
            </w:pPr>
            <w:r>
              <w:t>1.10</w:t>
            </w:r>
          </w:p>
        </w:tc>
        <w:tc>
          <w:tcPr>
            <w:tcW w:w="1134" w:type="dxa"/>
            <w:vAlign w:val="center"/>
          </w:tcPr>
          <w:p>
            <w:pPr>
              <w:pStyle w:val="15"/>
            </w:pPr>
            <w:r>
              <w:t>1.10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1.10</w:t>
            </w:r>
          </w:p>
        </w:tc>
        <w:tc>
          <w:tcPr>
            <w:tcW w:w="1134" w:type="dxa"/>
            <w:vAlign w:val="center"/>
          </w:tcPr>
          <w:p>
            <w:pPr>
              <w:pStyle w:val="15"/>
            </w:pPr>
            <w:r>
              <w:t>1.10</w:t>
            </w:r>
          </w:p>
        </w:tc>
        <w:tc>
          <w:tcPr>
            <w:tcW w:w="1134" w:type="dxa"/>
            <w:vAlign w:val="center"/>
          </w:tcPr>
          <w:p>
            <w:pPr>
              <w:pStyle w:val="15"/>
            </w:pPr>
            <w:r>
              <w:t>1.10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pgNumType w:fmt="numberInDash"/>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485汀流河工业园区</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43.05</w:t>
            </w:r>
          </w:p>
        </w:tc>
        <w:tc>
          <w:tcPr>
            <w:tcW w:w="1361" w:type="dxa"/>
            <w:vAlign w:val="center"/>
          </w:tcPr>
          <w:p>
            <w:pPr>
              <w:pStyle w:val="19"/>
            </w:pPr>
            <w:r>
              <w:t>43.05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39.30</w:t>
            </w:r>
          </w:p>
        </w:tc>
        <w:tc>
          <w:tcPr>
            <w:tcW w:w="1361" w:type="dxa"/>
            <w:vAlign w:val="center"/>
          </w:tcPr>
          <w:p>
            <w:pPr>
              <w:pStyle w:val="15"/>
            </w:pPr>
            <w:r>
              <w:t>39.30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39.30</w:t>
            </w:r>
          </w:p>
        </w:tc>
        <w:tc>
          <w:tcPr>
            <w:tcW w:w="1361" w:type="dxa"/>
            <w:vAlign w:val="center"/>
          </w:tcPr>
          <w:p>
            <w:pPr>
              <w:pStyle w:val="15"/>
            </w:pPr>
            <w:r>
              <w:t>39.30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2010301</w:t>
            </w:r>
          </w:p>
        </w:tc>
        <w:tc>
          <w:tcPr>
            <w:tcW w:w="4535" w:type="dxa"/>
            <w:vAlign w:val="center"/>
          </w:tcPr>
          <w:p>
            <w:pPr>
              <w:pStyle w:val="16"/>
            </w:pPr>
            <w:r>
              <w:t>行政运行</w:t>
            </w:r>
          </w:p>
        </w:tc>
        <w:tc>
          <w:tcPr>
            <w:tcW w:w="1361" w:type="dxa"/>
            <w:vAlign w:val="center"/>
          </w:tcPr>
          <w:p>
            <w:pPr>
              <w:pStyle w:val="15"/>
            </w:pPr>
            <w:r>
              <w:t>39.30</w:t>
            </w:r>
          </w:p>
        </w:tc>
        <w:tc>
          <w:tcPr>
            <w:tcW w:w="1361" w:type="dxa"/>
            <w:vAlign w:val="center"/>
          </w:tcPr>
          <w:p>
            <w:pPr>
              <w:pStyle w:val="15"/>
            </w:pPr>
            <w:r>
              <w:t>39.30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1.37</w:t>
            </w:r>
          </w:p>
        </w:tc>
        <w:tc>
          <w:tcPr>
            <w:tcW w:w="1361" w:type="dxa"/>
            <w:vAlign w:val="center"/>
          </w:tcPr>
          <w:p>
            <w:pPr>
              <w:pStyle w:val="15"/>
            </w:pPr>
            <w:r>
              <w:t>1.37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1.37</w:t>
            </w:r>
          </w:p>
        </w:tc>
        <w:tc>
          <w:tcPr>
            <w:tcW w:w="1361" w:type="dxa"/>
            <w:vAlign w:val="center"/>
          </w:tcPr>
          <w:p>
            <w:pPr>
              <w:pStyle w:val="15"/>
            </w:pPr>
            <w:r>
              <w:t>1.37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1.37</w:t>
            </w:r>
          </w:p>
        </w:tc>
        <w:tc>
          <w:tcPr>
            <w:tcW w:w="1361" w:type="dxa"/>
            <w:vAlign w:val="center"/>
          </w:tcPr>
          <w:p>
            <w:pPr>
              <w:pStyle w:val="15"/>
            </w:pPr>
            <w:r>
              <w:t>1.37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1.28</w:t>
            </w:r>
          </w:p>
        </w:tc>
        <w:tc>
          <w:tcPr>
            <w:tcW w:w="1361" w:type="dxa"/>
            <w:vAlign w:val="center"/>
          </w:tcPr>
          <w:p>
            <w:pPr>
              <w:pStyle w:val="15"/>
            </w:pPr>
            <w:r>
              <w:t>1.28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1.28</w:t>
            </w:r>
          </w:p>
        </w:tc>
        <w:tc>
          <w:tcPr>
            <w:tcW w:w="1361" w:type="dxa"/>
            <w:vAlign w:val="center"/>
          </w:tcPr>
          <w:p>
            <w:pPr>
              <w:pStyle w:val="15"/>
            </w:pPr>
            <w:r>
              <w:t>1.28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0.68</w:t>
            </w:r>
          </w:p>
        </w:tc>
        <w:tc>
          <w:tcPr>
            <w:tcW w:w="1361" w:type="dxa"/>
            <w:vAlign w:val="center"/>
          </w:tcPr>
          <w:p>
            <w:pPr>
              <w:pStyle w:val="15"/>
            </w:pPr>
            <w:r>
              <w:t>0.68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2101103</w:t>
            </w:r>
          </w:p>
        </w:tc>
        <w:tc>
          <w:tcPr>
            <w:tcW w:w="4535" w:type="dxa"/>
            <w:vAlign w:val="center"/>
          </w:tcPr>
          <w:p>
            <w:pPr>
              <w:pStyle w:val="16"/>
            </w:pPr>
            <w:r>
              <w:t>公务员医疗补助</w:t>
            </w:r>
          </w:p>
        </w:tc>
        <w:tc>
          <w:tcPr>
            <w:tcW w:w="1361" w:type="dxa"/>
            <w:vAlign w:val="center"/>
          </w:tcPr>
          <w:p>
            <w:pPr>
              <w:pStyle w:val="15"/>
            </w:pPr>
            <w:r>
              <w:t>0.60</w:t>
            </w:r>
          </w:p>
        </w:tc>
        <w:tc>
          <w:tcPr>
            <w:tcW w:w="1361" w:type="dxa"/>
            <w:vAlign w:val="center"/>
          </w:tcPr>
          <w:p>
            <w:pPr>
              <w:pStyle w:val="15"/>
            </w:pPr>
            <w:r>
              <w:t>0.60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1.10</w:t>
            </w:r>
          </w:p>
        </w:tc>
        <w:tc>
          <w:tcPr>
            <w:tcW w:w="1361" w:type="dxa"/>
            <w:vAlign w:val="center"/>
          </w:tcPr>
          <w:p>
            <w:pPr>
              <w:pStyle w:val="15"/>
            </w:pPr>
            <w:r>
              <w:t>1.10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1.10</w:t>
            </w:r>
          </w:p>
        </w:tc>
        <w:tc>
          <w:tcPr>
            <w:tcW w:w="1361" w:type="dxa"/>
            <w:vAlign w:val="center"/>
          </w:tcPr>
          <w:p>
            <w:pPr>
              <w:pStyle w:val="15"/>
            </w:pPr>
            <w:r>
              <w:t>1.10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1.10</w:t>
            </w:r>
          </w:p>
        </w:tc>
        <w:tc>
          <w:tcPr>
            <w:tcW w:w="1361" w:type="dxa"/>
            <w:vAlign w:val="center"/>
          </w:tcPr>
          <w:p>
            <w:pPr>
              <w:pStyle w:val="15"/>
            </w:pPr>
            <w:r>
              <w:t>1.10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pgNumType w:fmt="numberInDash"/>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485汀流河工业园区</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43.05</w:t>
            </w:r>
          </w:p>
        </w:tc>
        <w:tc>
          <w:tcPr>
            <w:tcW w:w="3402" w:type="dxa"/>
            <w:vAlign w:val="center"/>
          </w:tcPr>
          <w:p>
            <w:pPr>
              <w:pStyle w:val="16"/>
            </w:pPr>
            <w:r>
              <w:t>一、一般公共服务支出</w:t>
            </w:r>
          </w:p>
        </w:tc>
        <w:tc>
          <w:tcPr>
            <w:tcW w:w="1474" w:type="dxa"/>
            <w:vAlign w:val="center"/>
          </w:tcPr>
          <w:p>
            <w:pPr>
              <w:pStyle w:val="15"/>
            </w:pPr>
            <w:r>
              <w:t>39.30</w:t>
            </w:r>
          </w:p>
        </w:tc>
        <w:tc>
          <w:tcPr>
            <w:tcW w:w="1474" w:type="dxa"/>
            <w:vAlign w:val="center"/>
          </w:tcPr>
          <w:p>
            <w:pPr>
              <w:pStyle w:val="15"/>
            </w:pPr>
            <w:r>
              <w:t>39.30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1.37</w:t>
            </w:r>
          </w:p>
        </w:tc>
        <w:tc>
          <w:tcPr>
            <w:tcW w:w="1474" w:type="dxa"/>
            <w:vAlign w:val="center"/>
          </w:tcPr>
          <w:p>
            <w:pPr>
              <w:pStyle w:val="15"/>
            </w:pPr>
            <w:r>
              <w:t>1.37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1.28</w:t>
            </w:r>
          </w:p>
        </w:tc>
        <w:tc>
          <w:tcPr>
            <w:tcW w:w="1474" w:type="dxa"/>
            <w:vAlign w:val="center"/>
          </w:tcPr>
          <w:p>
            <w:pPr>
              <w:pStyle w:val="15"/>
            </w:pPr>
            <w:r>
              <w:t>1.28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1.10</w:t>
            </w:r>
          </w:p>
        </w:tc>
        <w:tc>
          <w:tcPr>
            <w:tcW w:w="1474" w:type="dxa"/>
            <w:vAlign w:val="center"/>
          </w:tcPr>
          <w:p>
            <w:pPr>
              <w:pStyle w:val="15"/>
            </w:pPr>
            <w:r>
              <w:t>1.10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43.05</w:t>
            </w:r>
          </w:p>
        </w:tc>
        <w:tc>
          <w:tcPr>
            <w:tcW w:w="3402" w:type="dxa"/>
            <w:vAlign w:val="center"/>
          </w:tcPr>
          <w:p>
            <w:pPr>
              <w:pStyle w:val="18"/>
            </w:pPr>
            <w:r>
              <w:t>本年支出合计</w:t>
            </w:r>
          </w:p>
        </w:tc>
        <w:tc>
          <w:tcPr>
            <w:tcW w:w="1474" w:type="dxa"/>
            <w:vAlign w:val="center"/>
          </w:tcPr>
          <w:p>
            <w:pPr>
              <w:pStyle w:val="19"/>
            </w:pPr>
            <w:r>
              <w:t>43.05</w:t>
            </w:r>
          </w:p>
        </w:tc>
        <w:tc>
          <w:tcPr>
            <w:tcW w:w="1474" w:type="dxa"/>
            <w:vAlign w:val="center"/>
          </w:tcPr>
          <w:p>
            <w:pPr>
              <w:pStyle w:val="19"/>
            </w:pPr>
            <w:r>
              <w:t>43.05</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43.05</w:t>
            </w:r>
          </w:p>
        </w:tc>
        <w:tc>
          <w:tcPr>
            <w:tcW w:w="3402" w:type="dxa"/>
            <w:vAlign w:val="center"/>
          </w:tcPr>
          <w:p>
            <w:pPr>
              <w:pStyle w:val="18"/>
            </w:pPr>
            <w:r>
              <w:t>支出总计</w:t>
            </w:r>
          </w:p>
        </w:tc>
        <w:tc>
          <w:tcPr>
            <w:tcW w:w="1474" w:type="dxa"/>
            <w:vAlign w:val="center"/>
          </w:tcPr>
          <w:p>
            <w:pPr>
              <w:pStyle w:val="19"/>
            </w:pPr>
            <w:r>
              <w:t>43.05</w:t>
            </w:r>
          </w:p>
        </w:tc>
        <w:tc>
          <w:tcPr>
            <w:tcW w:w="1474" w:type="dxa"/>
            <w:vAlign w:val="center"/>
          </w:tcPr>
          <w:p>
            <w:pPr>
              <w:pStyle w:val="19"/>
            </w:pPr>
            <w:r>
              <w:t>43.05</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pgNumType w:fmt="numberInDash"/>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485汀流河工业园区</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43.05</w:t>
            </w:r>
          </w:p>
        </w:tc>
        <w:tc>
          <w:tcPr>
            <w:tcW w:w="2551" w:type="dxa"/>
            <w:vAlign w:val="center"/>
          </w:tcPr>
          <w:p>
            <w:pPr>
              <w:pStyle w:val="19"/>
            </w:pPr>
            <w:r>
              <w:t>43.05</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39.30</w:t>
            </w:r>
          </w:p>
        </w:tc>
        <w:tc>
          <w:tcPr>
            <w:tcW w:w="2551" w:type="dxa"/>
            <w:vAlign w:val="center"/>
          </w:tcPr>
          <w:p>
            <w:pPr>
              <w:pStyle w:val="15"/>
            </w:pPr>
            <w:r>
              <w:t>39.30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39.30</w:t>
            </w:r>
          </w:p>
        </w:tc>
        <w:tc>
          <w:tcPr>
            <w:tcW w:w="2551" w:type="dxa"/>
            <w:vAlign w:val="center"/>
          </w:tcPr>
          <w:p>
            <w:pPr>
              <w:pStyle w:val="15"/>
            </w:pPr>
            <w:r>
              <w:t>39.30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39.30</w:t>
            </w:r>
          </w:p>
        </w:tc>
        <w:tc>
          <w:tcPr>
            <w:tcW w:w="2551" w:type="dxa"/>
            <w:vAlign w:val="center"/>
          </w:tcPr>
          <w:p>
            <w:pPr>
              <w:pStyle w:val="15"/>
            </w:pPr>
            <w:r>
              <w:t>39.30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1.37</w:t>
            </w:r>
          </w:p>
        </w:tc>
        <w:tc>
          <w:tcPr>
            <w:tcW w:w="2551" w:type="dxa"/>
            <w:vAlign w:val="center"/>
          </w:tcPr>
          <w:p>
            <w:pPr>
              <w:pStyle w:val="15"/>
            </w:pPr>
            <w:r>
              <w:t>1.37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1.37</w:t>
            </w:r>
          </w:p>
        </w:tc>
        <w:tc>
          <w:tcPr>
            <w:tcW w:w="2551" w:type="dxa"/>
            <w:vAlign w:val="center"/>
          </w:tcPr>
          <w:p>
            <w:pPr>
              <w:pStyle w:val="15"/>
            </w:pPr>
            <w:r>
              <w:t>1.37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1.37</w:t>
            </w:r>
          </w:p>
        </w:tc>
        <w:tc>
          <w:tcPr>
            <w:tcW w:w="2551" w:type="dxa"/>
            <w:vAlign w:val="center"/>
          </w:tcPr>
          <w:p>
            <w:pPr>
              <w:pStyle w:val="15"/>
            </w:pPr>
            <w:r>
              <w:t>1.37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1.28</w:t>
            </w:r>
          </w:p>
        </w:tc>
        <w:tc>
          <w:tcPr>
            <w:tcW w:w="2551" w:type="dxa"/>
            <w:vAlign w:val="center"/>
          </w:tcPr>
          <w:p>
            <w:pPr>
              <w:pStyle w:val="15"/>
            </w:pPr>
            <w:r>
              <w:t>1.28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1.28</w:t>
            </w:r>
          </w:p>
        </w:tc>
        <w:tc>
          <w:tcPr>
            <w:tcW w:w="2551" w:type="dxa"/>
            <w:vAlign w:val="center"/>
          </w:tcPr>
          <w:p>
            <w:pPr>
              <w:pStyle w:val="15"/>
            </w:pPr>
            <w:r>
              <w:t>1.28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0.68</w:t>
            </w:r>
          </w:p>
        </w:tc>
        <w:tc>
          <w:tcPr>
            <w:tcW w:w="2551" w:type="dxa"/>
            <w:vAlign w:val="center"/>
          </w:tcPr>
          <w:p>
            <w:pPr>
              <w:pStyle w:val="15"/>
            </w:pPr>
            <w:r>
              <w:t>0.68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5"/>
            </w:pPr>
            <w:r>
              <w:t>0.60</w:t>
            </w:r>
          </w:p>
        </w:tc>
        <w:tc>
          <w:tcPr>
            <w:tcW w:w="2551" w:type="dxa"/>
            <w:vAlign w:val="center"/>
          </w:tcPr>
          <w:p>
            <w:pPr>
              <w:pStyle w:val="15"/>
            </w:pPr>
            <w:r>
              <w:t>0.60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1.10</w:t>
            </w:r>
          </w:p>
        </w:tc>
        <w:tc>
          <w:tcPr>
            <w:tcW w:w="2551" w:type="dxa"/>
            <w:vAlign w:val="center"/>
          </w:tcPr>
          <w:p>
            <w:pPr>
              <w:pStyle w:val="15"/>
            </w:pPr>
            <w:r>
              <w:t>1.10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1.10</w:t>
            </w:r>
          </w:p>
        </w:tc>
        <w:tc>
          <w:tcPr>
            <w:tcW w:w="2551" w:type="dxa"/>
            <w:vAlign w:val="center"/>
          </w:tcPr>
          <w:p>
            <w:pPr>
              <w:pStyle w:val="15"/>
            </w:pPr>
            <w:r>
              <w:t>1.10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1.10</w:t>
            </w:r>
          </w:p>
        </w:tc>
        <w:tc>
          <w:tcPr>
            <w:tcW w:w="2551" w:type="dxa"/>
            <w:vAlign w:val="center"/>
          </w:tcPr>
          <w:p>
            <w:pPr>
              <w:pStyle w:val="15"/>
            </w:pPr>
            <w:r>
              <w:t>1.10</w:t>
            </w:r>
          </w:p>
        </w:tc>
        <w:tc>
          <w:tcPr>
            <w:tcW w:w="2551" w:type="dxa"/>
            <w:vAlign w:val="center"/>
          </w:tcPr>
          <w:p>
            <w:pPr>
              <w:pStyle w:val="15"/>
            </w:pPr>
          </w:p>
        </w:tc>
      </w:tr>
    </w:tbl>
    <w:p>
      <w:pPr>
        <w:sectPr>
          <w:pgSz w:w="16840" w:h="11900" w:orient="landscape"/>
          <w:pgMar w:top="1361" w:right="1020" w:bottom="1134" w:left="1020" w:header="720" w:footer="720" w:gutter="0"/>
          <w:pgNumType w:fmt="numberInDash"/>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485汀流河工业园区</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43.05</w:t>
            </w:r>
          </w:p>
        </w:tc>
        <w:tc>
          <w:tcPr>
            <w:tcW w:w="2551" w:type="dxa"/>
            <w:vAlign w:val="center"/>
          </w:tcPr>
          <w:p>
            <w:pPr>
              <w:pStyle w:val="19"/>
            </w:pPr>
            <w:r>
              <w:t>42.58</w:t>
            </w:r>
          </w:p>
        </w:tc>
        <w:tc>
          <w:tcPr>
            <w:tcW w:w="2551" w:type="dxa"/>
            <w:vAlign w:val="center"/>
          </w:tcPr>
          <w:p>
            <w:pPr>
              <w:pStyle w:val="19"/>
            </w:pPr>
            <w:r>
              <w:t>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42.58</w:t>
            </w:r>
          </w:p>
        </w:tc>
        <w:tc>
          <w:tcPr>
            <w:tcW w:w="2551" w:type="dxa"/>
            <w:vAlign w:val="center"/>
          </w:tcPr>
          <w:p>
            <w:pPr>
              <w:pStyle w:val="15"/>
            </w:pPr>
            <w:r>
              <w:t>42.58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4.25</w:t>
            </w:r>
          </w:p>
        </w:tc>
        <w:tc>
          <w:tcPr>
            <w:tcW w:w="2551" w:type="dxa"/>
            <w:vAlign w:val="center"/>
          </w:tcPr>
          <w:p>
            <w:pPr>
              <w:pStyle w:val="15"/>
            </w:pPr>
            <w:r>
              <w:t>4.25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4.88</w:t>
            </w:r>
          </w:p>
        </w:tc>
        <w:tc>
          <w:tcPr>
            <w:tcW w:w="2551" w:type="dxa"/>
            <w:vAlign w:val="center"/>
          </w:tcPr>
          <w:p>
            <w:pPr>
              <w:pStyle w:val="15"/>
            </w:pPr>
            <w:r>
              <w:t>4.88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0.34</w:t>
            </w:r>
          </w:p>
        </w:tc>
        <w:tc>
          <w:tcPr>
            <w:tcW w:w="2551" w:type="dxa"/>
            <w:vAlign w:val="center"/>
          </w:tcPr>
          <w:p>
            <w:pPr>
              <w:pStyle w:val="15"/>
            </w:pPr>
            <w:r>
              <w:t>0.34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1.37</w:t>
            </w:r>
          </w:p>
        </w:tc>
        <w:tc>
          <w:tcPr>
            <w:tcW w:w="2551" w:type="dxa"/>
            <w:vAlign w:val="center"/>
          </w:tcPr>
          <w:p>
            <w:pPr>
              <w:pStyle w:val="15"/>
            </w:pPr>
            <w:r>
              <w:t>1.37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0.68</w:t>
            </w:r>
          </w:p>
        </w:tc>
        <w:tc>
          <w:tcPr>
            <w:tcW w:w="2551" w:type="dxa"/>
            <w:vAlign w:val="center"/>
          </w:tcPr>
          <w:p>
            <w:pPr>
              <w:pStyle w:val="15"/>
            </w:pPr>
            <w:r>
              <w:t>0.68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0.60</w:t>
            </w:r>
          </w:p>
        </w:tc>
        <w:tc>
          <w:tcPr>
            <w:tcW w:w="2551" w:type="dxa"/>
            <w:vAlign w:val="center"/>
          </w:tcPr>
          <w:p>
            <w:pPr>
              <w:pStyle w:val="15"/>
            </w:pPr>
            <w:r>
              <w:t>0.60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0.50</w:t>
            </w:r>
          </w:p>
        </w:tc>
        <w:tc>
          <w:tcPr>
            <w:tcW w:w="2551" w:type="dxa"/>
            <w:vAlign w:val="center"/>
          </w:tcPr>
          <w:p>
            <w:pPr>
              <w:pStyle w:val="15"/>
            </w:pPr>
            <w:r>
              <w:t>0.50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1.10</w:t>
            </w:r>
          </w:p>
        </w:tc>
        <w:tc>
          <w:tcPr>
            <w:tcW w:w="2551" w:type="dxa"/>
            <w:vAlign w:val="center"/>
          </w:tcPr>
          <w:p>
            <w:pPr>
              <w:pStyle w:val="15"/>
            </w:pPr>
            <w:r>
              <w:t>1.10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28.86</w:t>
            </w:r>
          </w:p>
        </w:tc>
        <w:tc>
          <w:tcPr>
            <w:tcW w:w="2551" w:type="dxa"/>
            <w:vAlign w:val="center"/>
          </w:tcPr>
          <w:p>
            <w:pPr>
              <w:pStyle w:val="15"/>
            </w:pPr>
            <w:r>
              <w:t>28.86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0.47</w:t>
            </w:r>
          </w:p>
        </w:tc>
        <w:tc>
          <w:tcPr>
            <w:tcW w:w="2551" w:type="dxa"/>
            <w:vAlign w:val="center"/>
          </w:tcPr>
          <w:p>
            <w:pPr>
              <w:pStyle w:val="15"/>
            </w:pPr>
          </w:p>
        </w:tc>
        <w:tc>
          <w:tcPr>
            <w:tcW w:w="2551" w:type="dxa"/>
            <w:vAlign w:val="center"/>
          </w:tcPr>
          <w:p>
            <w:pPr>
              <w:pStyle w:val="15"/>
            </w:pPr>
            <w:r>
              <w:t>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0.47</w:t>
            </w:r>
          </w:p>
        </w:tc>
        <w:tc>
          <w:tcPr>
            <w:tcW w:w="2551" w:type="dxa"/>
            <w:vAlign w:val="center"/>
          </w:tcPr>
          <w:p>
            <w:pPr>
              <w:pStyle w:val="15"/>
            </w:pPr>
          </w:p>
        </w:tc>
        <w:tc>
          <w:tcPr>
            <w:tcW w:w="2551" w:type="dxa"/>
            <w:vAlign w:val="center"/>
          </w:tcPr>
          <w:p>
            <w:pPr>
              <w:pStyle w:val="15"/>
            </w:pPr>
            <w:r>
              <w:t>0.47</w:t>
            </w:r>
          </w:p>
        </w:tc>
      </w:tr>
    </w:tbl>
    <w:p>
      <w:pPr>
        <w:sectPr>
          <w:pgSz w:w="16840" w:h="11900" w:orient="landscape"/>
          <w:pgMar w:top="1361" w:right="1020" w:bottom="1134" w:left="1020" w:header="720" w:footer="720" w:gutter="0"/>
          <w:pgNumType w:fmt="numberInDash"/>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485汀流河工业园区</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NumType w:fmt="numberInDash"/>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485汀流河工业园区</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NumType w:fmt="numberInDash"/>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485汀流河工业园区</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pgNumType w:fmt="numberInDash"/>
          <w:cols w:space="720" w:num="1"/>
        </w:sectPr>
      </w:pPr>
      <w:r>
        <w:rPr>
          <w:rFonts w:ascii="方正书宋_GBK" w:hAnsi="方正书宋_GBK" w:eastAsia="方正书宋_GBK" w:cs="方正书宋_GBK"/>
          <w:color w:val="FFFFFF"/>
          <w:sz w:val="21"/>
        </w:rPr>
        <w:t>第一部分  汀流河工业园区2022年部门预算信息公开情况说明</w:t>
      </w:r>
    </w:p>
    <w:p>
      <w:pPr>
        <w:jc w:val="center"/>
      </w:pPr>
      <w:r>
        <w:rPr>
          <w:rFonts w:ascii="方正小标宋_GBK" w:hAnsi="方正小标宋_GBK" w:eastAsia="方正小标宋_GBK" w:cs="方正小标宋_GBK"/>
          <w:color w:val="000000"/>
          <w:sz w:val="44"/>
        </w:rPr>
        <w:t>汀流河工业园区2022年部门预算信息公开情况说明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w:t>
      </w:r>
      <w:bookmarkStart w:id="18" w:name="_GoBack"/>
      <w:bookmarkEnd w:id="18"/>
      <w:r>
        <w:rPr>
          <w:rFonts w:hint="eastAsia" w:eastAsia="方正仿宋_GBK" w:cs="Times New Roman"/>
          <w:color w:val="000000"/>
          <w:sz w:val="28"/>
        </w:rPr>
        <w:t>预算法</w:t>
      </w:r>
      <w:r>
        <w:rPr>
          <w:rFonts w:eastAsia="方正仿宋_GBK" w:cs="Times New Roman"/>
          <w:color w:val="000000"/>
          <w:sz w:val="28"/>
        </w:rPr>
        <w:t>》、《地方预决算公开操作规程》和《关于进一步推进预算公开工作的实施意见》规定，现将汀流河工业园区2022年部门预算公开如下：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t>1.负责编制辖区总体规划，产业发展规划及控制性详细规划，经批准后组织实施。</w:t>
      </w:r>
    </w:p>
    <w:p>
      <w:pPr>
        <w:pStyle w:val="21"/>
      </w:pPr>
      <w:r>
        <w:t>2.负责辖区总体经济运行动态的计划，汇总，分析，监测，组织协调解决经济运行中存在的相关问题。</w:t>
      </w:r>
    </w:p>
    <w:p>
      <w:pPr>
        <w:pStyle w:val="21"/>
      </w:pPr>
      <w:r>
        <w:t>3.负责园区基础设施和公用设施的建设和管理，负责园区环境保护和安全生产监督管理工作。</w:t>
      </w:r>
    </w:p>
    <w:p>
      <w:pPr>
        <w:pStyle w:val="21"/>
      </w:pPr>
      <w:r>
        <w:t>4.协调调度，督导入园区重点项目前期工作。草拟区内建设工程，造址，建设用地意见，并负责相关许可证的初审上报工作。</w:t>
      </w:r>
    </w:p>
    <w:p>
      <w:pPr>
        <w:pStyle w:val="21"/>
      </w:pPr>
      <w:r>
        <w:t>5.负责园区招商引资，进出口贸易和国内外经济技术合作工作。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乐亭县汀流河工业园区管理委员会</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按照预算管理有关规定，目前我省部门预算的编制实行综合预算管理，即全部收入和支出都反映在预算中。汀流河工业园区机关及所属事业单位的收支包含在部门预算中。</w:t>
      </w:r>
    </w:p>
    <w:p>
      <w:pPr>
        <w:pStyle w:val="22"/>
      </w:pPr>
      <w:r>
        <w:t>（一）收支说明</w:t>
      </w:r>
    </w:p>
    <w:p>
      <w:pPr>
        <w:pStyle w:val="22"/>
      </w:pPr>
      <w:r>
        <w:t>2022年收入43.05万元，其中一般公共预算收入43.05万元，其他收入0万元。2022年支出43.05万元,其中人员经费支出42.58万元，正常公用支出0.47万元；</w:t>
      </w:r>
    </w:p>
    <w:p>
      <w:pPr>
        <w:pStyle w:val="22"/>
      </w:pPr>
    </w:p>
    <w:p>
      <w:pPr>
        <w:pStyle w:val="22"/>
      </w:pPr>
      <w:r>
        <w:t>（二）比上年增减情况</w:t>
      </w:r>
    </w:p>
    <w:p>
      <w:pPr>
        <w:pStyle w:val="22"/>
      </w:pPr>
      <w:r>
        <w:t>2022年收入较2021年增加7.06万元，其中：人员经费比2021年增加7.06万元，主要原因是人员调资；日常公用经费和2021年相同。</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3"/>
      </w:pPr>
      <w:r>
        <w:t> 2022年我部门机关运行经费预算为0.47万元。主要指部门的日常公用经费，包括办公费0.47万元。</w:t>
      </w:r>
    </w:p>
    <w:p>
      <w:pPr>
        <w:pStyle w:val="23"/>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2022年，财政拨款“三公”经费预算安排0万元，“三公”经费预算与上年持平，无增减变化。</w:t>
      </w:r>
    </w:p>
    <w:p>
      <w:pPr>
        <w:pStyle w:val="24"/>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5"/>
      </w:pPr>
      <w:r>
        <w:t>负责汀流河工业园区宣传推介活动，发布对外招商项目，负责招商引资项目的前期考察，意向洽谈，协议签署等相关工作，负责组织实施各项招商活动，负责对外经济交流和对外贸易的组织和管理活动。</w:t>
      </w:r>
    </w:p>
    <w:p>
      <w:pPr>
        <w:spacing w:line="500" w:lineRule="exact"/>
        <w:ind w:firstLine="560"/>
      </w:pPr>
      <w:r>
        <w:rPr>
          <w:rFonts w:eastAsia="方正仿宋_GBK" w:cs="Times New Roman"/>
          <w:color w:val="000000"/>
          <w:sz w:val="28"/>
        </w:rPr>
        <w:t>（二）分项绩效目标</w:t>
      </w:r>
    </w:p>
    <w:p>
      <w:pPr>
        <w:pStyle w:val="26"/>
      </w:pPr>
      <w:r>
        <w:t>1、产出指标完成情况</w:t>
      </w:r>
    </w:p>
    <w:p>
      <w:pPr>
        <w:pStyle w:val="26"/>
      </w:pPr>
      <w:r>
        <w:t>招商经费，如有需要向财政局申请招商资金，预计本单位招商活动完成5次以上，从质量上看，优化营商环境，促成优质项目落地，积极引进有实力的企业合作洽谈。</w:t>
      </w:r>
    </w:p>
    <w:p>
      <w:pPr>
        <w:pStyle w:val="26"/>
      </w:pPr>
      <w:r>
        <w:t>2、效益指标完成情况</w:t>
      </w:r>
    </w:p>
    <w:p>
      <w:pPr>
        <w:pStyle w:val="26"/>
      </w:pPr>
      <w:r>
        <w:t>主要是经济效益和可持续发展的影响效益，主要表现为对辖区企业经济税收、就业等的促进作用，通过引进资金，不仅发展了辖区经济，还带来了先进的生产设备，促进产品的更新换代。新的企业也带来先进的管理方式，促进新老企业之间的技术交流。</w:t>
      </w:r>
    </w:p>
    <w:p>
      <w:pPr>
        <w:pStyle w:val="26"/>
      </w:pPr>
      <w:r>
        <w:t>3、满意度指标完成情况</w:t>
      </w:r>
    </w:p>
    <w:p>
      <w:pPr>
        <w:pStyle w:val="26"/>
      </w:pPr>
      <w:r>
        <w:t>我单位满意度指标指的是服务企业的满意度指标。</w:t>
      </w:r>
    </w:p>
    <w:p>
      <w:pPr>
        <w:spacing w:line="500" w:lineRule="exact"/>
        <w:ind w:firstLine="560"/>
      </w:pPr>
      <w:r>
        <w:rPr>
          <w:rFonts w:eastAsia="方正仿宋_GBK" w:cs="Times New Roman"/>
          <w:color w:val="000000"/>
          <w:sz w:val="28"/>
        </w:rPr>
        <w:t>（三）工作保障措施</w:t>
      </w:r>
    </w:p>
    <w:p>
      <w:pPr>
        <w:pStyle w:val="27"/>
      </w:pPr>
      <w:r>
        <w:t>首先，加强对口部门的业务培训，通过工作任务的深入研究，增强对招商引资工作纪律性的把握。</w:t>
      </w:r>
    </w:p>
    <w:p>
      <w:pPr>
        <w:pStyle w:val="27"/>
      </w:pPr>
      <w:r>
        <w:t>其次，进一步加强预算管理，加大预算执行力度，确保实现预算管理的科学化、公开化、透明化。树立了节俭意识，科学有效地使用资金，为办公所需日常公用经费，科学发展所需项目经费等方面提供有力支持。</w:t>
      </w:r>
    </w:p>
    <w:p>
      <w:pPr>
        <w:pStyle w:val="27"/>
      </w:pPr>
      <w:r>
        <w:t>再次，树立了以全面预算管理，绩效评价管理，审批制度管理和审核制度管理为主要内容的管理理念，使单位的财务工作从单纯的申请资金、记账、出纳为主的报账型的工作方式，逐步向事前参与谋划、事中管理控制、事后绩效评价的新型财务模式。</w:t>
      </w: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r>
        <w:rPr>
          <w:rFonts w:hint="eastAsia" w:ascii="方正楷体_GBK" w:hAnsi="方正楷体_GBK" w:eastAsia="方正楷体_GBK" w:cs="方正楷体_GBK"/>
          <w:b/>
          <w:color w:val="000000"/>
          <w:sz w:val="32"/>
          <w:lang w:eastAsia="zh-CN"/>
        </w:rPr>
        <w:t>:无</w:t>
      </w:r>
    </w:p>
    <w:p>
      <w:pPr>
        <w:rPr>
          <w:rFonts w:ascii="方正楷体_GBK" w:hAnsi="方正楷体_GBK" w:eastAsia="方正楷体_GBK" w:cs="方正楷体_GBK"/>
          <w:b/>
          <w:color w:val="000000"/>
          <w:sz w:val="32"/>
        </w:rPr>
      </w:pPr>
    </w:p>
    <w:p>
      <w:pPr>
        <w:ind w:firstLine="640" w:firstLineChars="200"/>
        <w:sectPr>
          <w:pgSz w:w="16840" w:h="11900" w:orient="landscape"/>
          <w:pgMar w:top="1361" w:right="1020" w:bottom="1361" w:left="1020" w:header="720" w:footer="720" w:gutter="0"/>
          <w:pgNumType w:fmt="numberInDash"/>
          <w:cols w:space="720" w:num="1"/>
        </w:sectPr>
      </w:pPr>
      <w:r>
        <w:rPr>
          <w:rFonts w:ascii="方正楷体_GBK" w:hAnsi="方正楷体_GBK" w:eastAsia="方正楷体_GBK" w:cs="方正楷体_GBK"/>
          <w:b/>
          <w:color w:val="000000"/>
          <w:sz w:val="32"/>
        </w:rPr>
        <w:t>第三部分  预算项目绩效目标</w:t>
      </w:r>
      <w:r>
        <w:rPr>
          <w:rFonts w:hint="eastAsia" w:ascii="方正楷体_GBK" w:hAnsi="方正楷体_GBK" w:eastAsia="方正楷体_GBK" w:cs="方正楷体_GBK"/>
          <w:b/>
          <w:color w:val="000000"/>
          <w:sz w:val="32"/>
          <w:lang w:eastAsia="zh-CN"/>
        </w:rPr>
        <w:t>：无</w:t>
      </w:r>
    </w:p>
    <w:p>
      <w:pPr>
        <w:spacing w:before="10" w:after="1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2022年，汀流河工业园区安排政府采购预算0.00万元。具体内容见下表。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485汀流河工业园区</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汀流河工业园区（含所属单位）上年末固定资产金额为</w:t>
      </w:r>
      <w:r>
        <w:rPr>
          <w:rFonts w:hint="eastAsia" w:eastAsia="方正仿宋_GBK" w:cs="Times New Roman"/>
          <w:color w:val="000000"/>
          <w:sz w:val="28"/>
          <w:lang w:val="en-US" w:eastAsia="zh-CN"/>
        </w:rPr>
        <w:t>4.48</w:t>
      </w:r>
      <w:r>
        <w:rPr>
          <w:rFonts w:eastAsia="方正仿宋_GBK" w:cs="Times New Roman"/>
          <w:color w:val="000000"/>
          <w:sz w:val="28"/>
        </w:rPr>
        <w:t>万元（详见下表）。本年度拟购置固定资产总额为0.00万元，</w:t>
      </w:r>
      <w:r>
        <w:rPr>
          <w:rFonts w:hint="eastAsia" w:eastAsia="方正仿宋_GBK" w:cs="Times New Roman"/>
          <w:color w:val="000000"/>
          <w:sz w:val="28"/>
          <w:lang w:eastAsia="zh-CN"/>
        </w:rPr>
        <w:t>无</w:t>
      </w:r>
      <w:r>
        <w:rPr>
          <w:rFonts w:eastAsia="方正仿宋_GBK" w:cs="Times New Roman"/>
          <w:color w:val="000000"/>
          <w:sz w:val="28"/>
        </w:rPr>
        <w:t>政府采购预算。</w:t>
      </w:r>
    </w:p>
    <w:p>
      <w:pPr>
        <w:ind w:firstLine="640"/>
      </w:pPr>
    </w:p>
    <w:p>
      <w:pPr>
        <w:spacing w:before="0" w:after="0" w:line="240" w:lineRule="auto"/>
        <w:ind w:firstLine="0"/>
        <w:jc w:val="center"/>
        <w:outlineLvl w:val="9"/>
        <w:rPr>
          <w:rFonts w:ascii="方正小标宋_GBK" w:hAnsi="方正小标宋_GBK" w:eastAsia="方正小标宋_GBK" w:cs="方正小标宋_GBK"/>
          <w:color w:val="000000"/>
          <w:sz w:val="36"/>
        </w:rPr>
      </w:pPr>
      <w:bookmarkStart w:id="16" w:name="_Toc_3_3_0000000017"/>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485乐亭县汀流河工业园区</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w:t>
            </w:r>
            <w:r>
              <w:rPr>
                <w:rFonts w:hint="eastAsia"/>
                <w:lang w:val="en-US" w:eastAsia="zh-CN"/>
              </w:rPr>
              <w:t>1</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ind w:firstLine="0" w:firstLineChars="0"/>
              <w:jc w:val="center"/>
              <w:rPr>
                <w:rFonts w:hint="default" w:eastAsia="方正书宋_GBK"/>
                <w:lang w:val="en-US" w:eastAsia="zh-CN"/>
              </w:rPr>
            </w:pPr>
            <w:r>
              <w:rPr>
                <w:rFonts w:hint="eastAsia"/>
                <w:lang w:val="en-US" w:eastAsia="zh-CN"/>
              </w:rPr>
              <w:t>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rPr>
                <w:rFonts w:hint="default" w:eastAsia="方正书宋_GBK"/>
                <w:lang w:val="en-US" w:eastAsia="zh-CN"/>
              </w:rPr>
            </w:pPr>
            <w:r>
              <w:rPr>
                <w:rFonts w:hint="eastAsia"/>
                <w:lang w:val="en-US" w:eastAsia="zh-CN"/>
              </w:rPr>
              <w:t>40</w:t>
            </w:r>
          </w:p>
        </w:tc>
        <w:tc>
          <w:tcPr>
            <w:tcW w:w="2835" w:type="dxa"/>
            <w:vAlign w:val="center"/>
          </w:tcPr>
          <w:p>
            <w:pPr>
              <w:pStyle w:val="15"/>
              <w:ind w:firstLine="0" w:firstLineChars="0"/>
              <w:jc w:val="center"/>
              <w:rPr>
                <w:rFonts w:hint="default" w:eastAsia="方正书宋_GBK"/>
                <w:lang w:val="en-US" w:eastAsia="zh-CN"/>
              </w:rPr>
            </w:pPr>
            <w:r>
              <w:rPr>
                <w:rFonts w:hint="eastAsia"/>
                <w:lang w:val="en-US" w:eastAsia="zh-CN"/>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rPr>
                <w:rFonts w:hint="default" w:eastAsia="方正书宋_GBK"/>
                <w:lang w:val="en-US" w:eastAsia="zh-CN"/>
              </w:rPr>
            </w:pPr>
            <w:r>
              <w:rPr>
                <w:rFonts w:hint="eastAsia"/>
                <w:lang w:val="en-US" w:eastAsia="zh-CN"/>
              </w:rPr>
              <w:t>40</w:t>
            </w:r>
          </w:p>
        </w:tc>
        <w:tc>
          <w:tcPr>
            <w:tcW w:w="2835" w:type="dxa"/>
            <w:vAlign w:val="center"/>
          </w:tcPr>
          <w:p>
            <w:pPr>
              <w:pStyle w:val="15"/>
              <w:ind w:firstLine="0" w:firstLineChars="0"/>
              <w:jc w:val="center"/>
              <w:rPr>
                <w:rFonts w:hint="default" w:eastAsia="方正书宋_GBK"/>
                <w:lang w:val="en-US" w:eastAsia="zh-CN"/>
              </w:rPr>
            </w:pPr>
            <w:r>
              <w:rPr>
                <w:rFonts w:hint="eastAsia"/>
                <w:lang w:val="en-US" w:eastAsia="zh-CN"/>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jc w:val="center"/>
            </w:pPr>
            <w:r>
              <w:t>3、单价在20万元以上的设备</w:t>
            </w:r>
          </w:p>
        </w:tc>
        <w:tc>
          <w:tcPr>
            <w:tcW w:w="2835" w:type="dxa"/>
            <w:vAlign w:val="center"/>
          </w:tcPr>
          <w:p>
            <w:pPr>
              <w:pStyle w:val="17"/>
              <w:jc w:val="center"/>
            </w:pPr>
          </w:p>
        </w:tc>
        <w:tc>
          <w:tcPr>
            <w:tcW w:w="2835" w:type="dxa"/>
            <w:vAlign w:val="center"/>
          </w:tcPr>
          <w:p>
            <w:pPr>
              <w:pStyle w:val="15"/>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jc w:val="center"/>
            </w:pPr>
            <w:r>
              <w:t>4、其他固定资产</w:t>
            </w:r>
          </w:p>
        </w:tc>
        <w:tc>
          <w:tcPr>
            <w:tcW w:w="2835" w:type="dxa"/>
            <w:vAlign w:val="center"/>
          </w:tcPr>
          <w:p>
            <w:pPr>
              <w:pStyle w:val="17"/>
              <w:jc w:val="center"/>
              <w:rPr>
                <w:rFonts w:hint="default" w:eastAsia="方正书宋_GBK"/>
                <w:lang w:val="en-US" w:eastAsia="zh-CN"/>
              </w:rPr>
            </w:pPr>
            <w:r>
              <w:rPr>
                <w:rFonts w:hint="eastAsia"/>
                <w:lang w:val="en-US" w:eastAsia="zh-CN"/>
              </w:rPr>
              <w:t>20</w:t>
            </w:r>
          </w:p>
        </w:tc>
        <w:tc>
          <w:tcPr>
            <w:tcW w:w="2835" w:type="dxa"/>
            <w:vAlign w:val="center"/>
          </w:tcPr>
          <w:p>
            <w:pPr>
              <w:pStyle w:val="15"/>
              <w:ind w:firstLine="0" w:firstLineChars="0"/>
              <w:jc w:val="center"/>
              <w:rPr>
                <w:rFonts w:hint="default" w:eastAsia="方正书宋_GBK"/>
                <w:lang w:val="en-US" w:eastAsia="zh-CN"/>
              </w:rPr>
            </w:pPr>
            <w:r>
              <w:rPr>
                <w:rFonts w:hint="eastAsia"/>
                <w:lang w:val="en-US" w:eastAsia="zh-CN"/>
              </w:rPr>
              <w:t>0.98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本级</w:t>
      </w:r>
      <w:r>
        <w:rPr>
          <w:rFonts w:eastAsia="方正仿宋_GBK" w:cs="Times New Roman"/>
          <w:color w:val="000000"/>
          <w:sz w:val="28"/>
        </w:rPr>
        <w:t>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本级</w:t>
      </w:r>
      <w:r>
        <w:rPr>
          <w:rFonts w:eastAsia="方正仿宋_GBK" w:cs="Times New Roman"/>
          <w:color w:val="000000"/>
          <w:sz w:val="28"/>
        </w:rPr>
        <w:t>财政预算管理的“三公”经费，是指</w:t>
      </w:r>
      <w:r>
        <w:rPr>
          <w:rFonts w:hint="eastAsia" w:eastAsia="方正仿宋_GBK" w:cs="Times New Roman"/>
          <w:color w:val="000000"/>
          <w:sz w:val="28"/>
          <w:lang w:eastAsia="zh-CN"/>
        </w:rPr>
        <w:t>本级</w:t>
      </w:r>
      <w:r>
        <w:rPr>
          <w:rFonts w:eastAsia="方正仿宋_GBK" w:cs="Times New Roman"/>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rPr>
          <w:rFonts w:ascii="黑体" w:hAnsi="黑体" w:eastAsia="黑体" w:cs="黑体"/>
          <w:color w:val="000000"/>
          <w:sz w:val="32"/>
        </w:rPr>
      </w:pPr>
      <w:bookmarkStart w:id="17" w:name="_Toc_3_3_0000000018"/>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九、其他需要说明的事项</w:t>
      </w:r>
      <w:bookmarkEnd w:id="17"/>
    </w:p>
    <w:p>
      <w:pPr>
        <w:spacing w:line="500" w:lineRule="exact"/>
        <w:ind w:firstLine="560"/>
      </w:pPr>
      <w:r>
        <w:rPr>
          <w:rFonts w:eastAsia="方正仿宋_GBK" w:cs="Times New Roman"/>
          <w:color w:val="000000"/>
          <w:sz w:val="28"/>
        </w:rPr>
        <w:t>我部门无其他需要说明的事项</w:t>
      </w:r>
    </w:p>
    <w:sectPr>
      <w:footerReference r:id="rId5" w:type="default"/>
      <w:footerReference r:id="rId6" w:type="even"/>
      <w:pgSz w:w="16840" w:h="11900" w:orient="landscape"/>
      <w:pgMar w:top="1361" w:right="1020" w:bottom="1134" w:left="102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eastAsia="宋体"/>
        <w:lang w:eastAsia="zh-C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left="240" w:leftChars="100" w:right="240" w:rightChars="10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- 19 -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3"/>
                      <w:ind w:left="240" w:leftChars="100" w:right="240" w:rightChars="10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- 19 -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left="240" w:leftChars="100" w:right="240" w:rightChars="10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- 20 -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3"/>
                      <w:ind w:left="240" w:leftChars="100" w:right="240" w:rightChars="10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- 20 -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eastAsia="宋体"/>
        <w:lang w:eastAsia="zh-CN"/>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- 23 -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- 22 -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26B9F5"/>
    <w:multiLevelType w:val="singleLevel"/>
    <w:tmpl w:val="A726B9F5"/>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NotTrackMoves/>
  <w:documentProtection w:enforcement="0"/>
  <w:defaultTabStop w:val="720"/>
  <w:evenAndOddHeaders w:val="1"/>
  <w:characterSpacingControl w:val="doNotCompress"/>
  <w:hdrShapeDefaults>
    <o:shapelayout v:ext="edit">
      <o:idmap v:ext="edit" data="4"/>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NTljMWRiMDNmMGJmMGM1MjhkMGRhZDhkOWMwMTYifQ=="/>
  </w:docVars>
  <w:rsids>
    <w:rsidRoot w:val="00CA6514"/>
    <w:rsid w:val="000D764B"/>
    <w:rsid w:val="0010423F"/>
    <w:rsid w:val="001434D4"/>
    <w:rsid w:val="0015542A"/>
    <w:rsid w:val="00210AA3"/>
    <w:rsid w:val="00382634"/>
    <w:rsid w:val="003854AF"/>
    <w:rsid w:val="00733185"/>
    <w:rsid w:val="00B60F62"/>
    <w:rsid w:val="00B65283"/>
    <w:rsid w:val="00CA6514"/>
    <w:rsid w:val="012E023B"/>
    <w:rsid w:val="041F0147"/>
    <w:rsid w:val="08220CD5"/>
    <w:rsid w:val="086053E6"/>
    <w:rsid w:val="0BC419DA"/>
    <w:rsid w:val="0DEE14CE"/>
    <w:rsid w:val="11CC40D9"/>
    <w:rsid w:val="18504D21"/>
    <w:rsid w:val="1A5403CD"/>
    <w:rsid w:val="1C2C7E61"/>
    <w:rsid w:val="1F356A1F"/>
    <w:rsid w:val="2AD85941"/>
    <w:rsid w:val="319A0963"/>
    <w:rsid w:val="40FF594A"/>
    <w:rsid w:val="6E470F4F"/>
    <w:rsid w:val="745922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autoRedefine/>
    <w:semiHidden/>
    <w:unhideWhenUsed/>
    <w:qFormat/>
    <w:uiPriority w:val="99"/>
    <w:pPr>
      <w:tabs>
        <w:tab w:val="center" w:pos="4153"/>
        <w:tab w:val="right" w:pos="8306"/>
      </w:tabs>
      <w:snapToGrid w:val="0"/>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autoRedefine/>
    <w:qFormat/>
    <w:uiPriority w:val="0"/>
    <w:pPr>
      <w:spacing w:before="120"/>
      <w:ind w:firstLine="560"/>
    </w:pPr>
    <w:rPr>
      <w:rFonts w:eastAsia="方正仿宋_GBK" w:cs="Times New Roman"/>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2022-02-24T15:00:52Z</dcterms:created>
  <dcterms:modified xsi:type="dcterms:W3CDTF">2022-02-24T07:00:51Z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2022-02-24T15:00:50Z</dcterms:created>
  <dcterms:modified xsi:type="dcterms:W3CDTF">2022-02-24T07:00:50Z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2022-02-24T15:00:50Z</dcterms:created>
  <dcterms:modified xsi:type="dcterms:W3CDTF">2022-02-24T07:00:50Z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2022-02-24T15:00:50Z</dcterms:created>
  <dcterms:modified xsi:type="dcterms:W3CDTF">2022-02-24T07:00:50Z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2022-02-24T15:00:52Z</dcterms:created>
  <dcterms:modified xsi:type="dcterms:W3CDTF">2022-02-24T07:00:52Z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A1C731E-68B6-43AC-B8D8-B0FD07670DF5}">
  <ds:schemaRefs/>
</ds:datastoreItem>
</file>

<file path=customXml/itemProps11.xml><?xml version="1.0" encoding="utf-8"?>
<ds:datastoreItem xmlns:ds="http://schemas.openxmlformats.org/officeDocument/2006/customXml" ds:itemID="{61EEA655-55A0-4864-856A-0D4DFF48755D}">
  <ds:schemaRefs/>
</ds:datastoreItem>
</file>

<file path=customXml/itemProps2.xml><?xml version="1.0" encoding="utf-8"?>
<ds:datastoreItem xmlns:ds="http://schemas.openxmlformats.org/officeDocument/2006/customXml" ds:itemID="{A6F8FBAE-D72D-43CE-913E-D5B7B199819A}">
  <ds:schemaRefs/>
</ds:datastoreItem>
</file>

<file path=customXml/itemProps3.xml><?xml version="1.0" encoding="utf-8"?>
<ds:datastoreItem xmlns:ds="http://schemas.openxmlformats.org/officeDocument/2006/customXml" ds:itemID="{CDF2C645-960D-4356-9F17-346B0881421E}">
  <ds:schemaRefs/>
</ds:datastoreItem>
</file>

<file path=customXml/itemProps4.xml><?xml version="1.0" encoding="utf-8"?>
<ds:datastoreItem xmlns:ds="http://schemas.openxmlformats.org/officeDocument/2006/customXml" ds:itemID="{21BA7B67-D6F3-460A-87C2-DFC57AA3C74E}">
  <ds:schemaRefs/>
</ds:datastoreItem>
</file>

<file path=customXml/itemProps5.xml><?xml version="1.0" encoding="utf-8"?>
<ds:datastoreItem xmlns:ds="http://schemas.openxmlformats.org/officeDocument/2006/customXml" ds:itemID="{8594847F-1065-4EF0-870A-EB3721B47404}">
  <ds:schemaRefs/>
</ds:datastoreItem>
</file>

<file path=customXml/itemProps6.xml><?xml version="1.0" encoding="utf-8"?>
<ds:datastoreItem xmlns:ds="http://schemas.openxmlformats.org/officeDocument/2006/customXml" ds:itemID="{0518AD56-689F-4214-B11F-3E9BDDC6586B}">
  <ds:schemaRefs/>
</ds:datastoreItem>
</file>

<file path=customXml/itemProps7.xml><?xml version="1.0" encoding="utf-8"?>
<ds:datastoreItem xmlns:ds="http://schemas.openxmlformats.org/officeDocument/2006/customXml" ds:itemID="{0B93BE11-1E9A-4097-987A-51421456429C}">
  <ds:schemaRefs/>
</ds:datastoreItem>
</file>

<file path=customXml/itemProps8.xml><?xml version="1.0" encoding="utf-8"?>
<ds:datastoreItem xmlns:ds="http://schemas.openxmlformats.org/officeDocument/2006/customXml" ds:itemID="{3617ED4A-D264-48B0-BF23-30689313C86C}">
  <ds:schemaRefs/>
</ds:datastoreItem>
</file>

<file path=customXml/itemProps9.xml><?xml version="1.0" encoding="utf-8"?>
<ds:datastoreItem xmlns:ds="http://schemas.openxmlformats.org/officeDocument/2006/customXml" ds:itemID="{EC982567-4030-4498-81D6-F56F4FEA54F2}">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24</Pages>
  <Words>4981</Words>
  <Characters>5917</Characters>
  <Lines>63</Lines>
  <Paragraphs>17</Paragraphs>
  <TotalTime>4</TotalTime>
  <ScaleCrop>false</ScaleCrop>
  <LinksUpToDate>false</LinksUpToDate>
  <CharactersWithSpaces>6055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2022-02-24T15:00:00Z</dcterms:created>
  <dc:creator>cool</dc:creator>
  <cp:lastModifiedBy>剂登闹飞植</cp:lastModifiedBy>
  <dcterms:modified xsi:type="dcterms:W3CDTF">2024-03-18T07:17:11Z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5B7AABC0C41E44D094F4D933F2BC548D_13</vt:lpwstr>
  </property>
</Properties>
</file>