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cs="方正小标宋_GBK" w:eastAsiaTheme="minorEastAsia"/>
          <w:color w:val="000000"/>
          <w:sz w:val="52"/>
          <w:szCs w:val="52"/>
          <w:lang w:eastAsia="zh-CN"/>
        </w:rP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outlineLvl w:val="0"/>
        <w:rPr>
          <w:rFonts w:hint="eastAsia" w:ascii="方正小标宋_GBK" w:hAnsi="方正小标宋_GBK" w:cs="方正小标宋_GBK" w:eastAsiaTheme="minorEastAsia"/>
          <w:color w:val="000000"/>
          <w:sz w:val="72"/>
          <w:lang w:eastAsia="zh-CN"/>
        </w:rPr>
      </w:pPr>
    </w:p>
    <w:p>
      <w:pPr>
        <w:jc w:val="center"/>
        <w:rPr>
          <w:rFonts w:hint="eastAsia" w:eastAsia="黑体"/>
          <w:lang w:eastAsia="zh-C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r>
        <w:rPr>
          <w:rFonts w:hint="eastAsia" w:ascii="黑体" w:hAnsi="黑体" w:eastAsia="黑体" w:cs="黑体"/>
          <w:b/>
          <w:color w:val="000000"/>
          <w:sz w:val="30"/>
          <w:lang w:eastAsia="zh-CN"/>
        </w:rPr>
        <w:t>目录</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rPr>
          <w:rFonts w:hint="eastAsia" w:ascii="方正小标宋_GBK" w:hAnsi="方正小标宋_GBK" w:cs="方正小标宋_GBK" w:eastAsiaTheme="minorEastAsia"/>
          <w:color w:val="000000"/>
          <w:sz w:val="72"/>
          <w:lang w:eastAsia="zh-CN"/>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jc w:val="center"/>
        <w:outlineLvl w:val="3"/>
      </w:pPr>
      <w:bookmarkStart w:id="0" w:name="_Toc_4_4_0000000019"/>
      <w:r>
        <w:rPr>
          <w:rFonts w:ascii="方正小标宋_GBK" w:hAnsi="方正小标宋_GBK" w:eastAsia="方正小标宋_GBK" w:cs="方正小标宋_GBK"/>
          <w:color w:val="000000"/>
          <w:sz w:val="44"/>
        </w:rPr>
        <w:t>一、乐亭县工商业联合会收支预算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714002乐亭县工商业联合会</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88.33</w:t>
            </w:r>
          </w:p>
        </w:tc>
        <w:tc>
          <w:tcPr>
            <w:tcW w:w="4535" w:type="dxa"/>
            <w:vAlign w:val="center"/>
          </w:tcPr>
          <w:p>
            <w:pPr>
              <w:pStyle w:val="18"/>
            </w:pPr>
            <w:r>
              <w:t>一、一般公共服务支出</w:t>
            </w:r>
          </w:p>
        </w:tc>
        <w:tc>
          <w:tcPr>
            <w:tcW w:w="2126" w:type="dxa"/>
            <w:vAlign w:val="center"/>
          </w:tcPr>
          <w:p>
            <w:pPr>
              <w:pStyle w:val="17"/>
            </w:pPr>
            <w:r>
              <w:t>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88.33</w:t>
            </w:r>
          </w:p>
        </w:tc>
        <w:tc>
          <w:tcPr>
            <w:tcW w:w="4535" w:type="dxa"/>
            <w:vAlign w:val="center"/>
          </w:tcPr>
          <w:p>
            <w:pPr>
              <w:pStyle w:val="20"/>
            </w:pPr>
            <w:r>
              <w:t>本年支出合计</w:t>
            </w:r>
          </w:p>
        </w:tc>
        <w:tc>
          <w:tcPr>
            <w:tcW w:w="2126" w:type="dxa"/>
            <w:vAlign w:val="center"/>
          </w:tcPr>
          <w:p>
            <w:pPr>
              <w:pStyle w:val="21"/>
            </w:pPr>
            <w:r>
              <w:t>88.33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88.33</w:t>
            </w:r>
          </w:p>
        </w:tc>
        <w:tc>
          <w:tcPr>
            <w:tcW w:w="4535" w:type="dxa"/>
            <w:vAlign w:val="center"/>
          </w:tcPr>
          <w:p>
            <w:pPr>
              <w:pStyle w:val="20"/>
            </w:pPr>
            <w:r>
              <w:t>支出总计</w:t>
            </w:r>
          </w:p>
        </w:tc>
        <w:tc>
          <w:tcPr>
            <w:tcW w:w="2126" w:type="dxa"/>
            <w:vAlign w:val="center"/>
          </w:tcPr>
          <w:p>
            <w:pPr>
              <w:pStyle w:val="21"/>
            </w:pPr>
            <w:r>
              <w:t>88.33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714002乐亭县工商业联合会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88.33</w:t>
            </w:r>
          </w:p>
        </w:tc>
        <w:tc>
          <w:tcPr>
            <w:tcW w:w="1134" w:type="dxa"/>
            <w:vAlign w:val="center"/>
          </w:tcPr>
          <w:p>
            <w:pPr>
              <w:pStyle w:val="21"/>
            </w:pPr>
            <w:r>
              <w:t>88.33</w:t>
            </w:r>
          </w:p>
        </w:tc>
        <w:tc>
          <w:tcPr>
            <w:tcW w:w="1134" w:type="dxa"/>
            <w:vAlign w:val="center"/>
          </w:tcPr>
          <w:p>
            <w:pPr>
              <w:pStyle w:val="21"/>
            </w:pPr>
            <w:r>
              <w:t>88.33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20128</w:t>
            </w:r>
          </w:p>
        </w:tc>
        <w:tc>
          <w:tcPr>
            <w:tcW w:w="1559" w:type="dxa"/>
            <w:vAlign w:val="center"/>
          </w:tcPr>
          <w:p>
            <w:pPr>
              <w:pStyle w:val="18"/>
            </w:pPr>
            <w:r>
              <w:t>民主党派及工商联事务</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2012801</w:t>
            </w:r>
          </w:p>
        </w:tc>
        <w:tc>
          <w:tcPr>
            <w:tcW w:w="1559" w:type="dxa"/>
            <w:vAlign w:val="center"/>
          </w:tcPr>
          <w:p>
            <w:pPr>
              <w:pStyle w:val="18"/>
            </w:pPr>
            <w:r>
              <w:t>行政运行</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r>
              <w:t>61.33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5.00</w:t>
            </w:r>
          </w:p>
        </w:tc>
        <w:tc>
          <w:tcPr>
            <w:tcW w:w="1134" w:type="dxa"/>
            <w:vAlign w:val="center"/>
          </w:tcPr>
          <w:p>
            <w:pPr>
              <w:pStyle w:val="17"/>
            </w:pPr>
            <w:r>
              <w:t>5.00</w:t>
            </w:r>
          </w:p>
        </w:tc>
        <w:tc>
          <w:tcPr>
            <w:tcW w:w="1134" w:type="dxa"/>
            <w:vAlign w:val="center"/>
          </w:tcPr>
          <w:p>
            <w:pPr>
              <w:pStyle w:val="17"/>
            </w:pPr>
            <w:r>
              <w:t>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r>
              <w:t>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88.33</w:t>
            </w:r>
          </w:p>
        </w:tc>
        <w:tc>
          <w:tcPr>
            <w:tcW w:w="1361" w:type="dxa"/>
            <w:vAlign w:val="center"/>
          </w:tcPr>
          <w:p>
            <w:pPr>
              <w:pStyle w:val="21"/>
            </w:pPr>
            <w:r>
              <w:t>88.33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61.33</w:t>
            </w:r>
          </w:p>
        </w:tc>
        <w:tc>
          <w:tcPr>
            <w:tcW w:w="1361" w:type="dxa"/>
            <w:vAlign w:val="center"/>
          </w:tcPr>
          <w:p>
            <w:pPr>
              <w:pStyle w:val="17"/>
            </w:pPr>
            <w:r>
              <w:t>61.33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20128</w:t>
            </w:r>
          </w:p>
        </w:tc>
        <w:tc>
          <w:tcPr>
            <w:tcW w:w="4535" w:type="dxa"/>
            <w:vAlign w:val="center"/>
          </w:tcPr>
          <w:p>
            <w:pPr>
              <w:pStyle w:val="18"/>
            </w:pPr>
            <w:r>
              <w:t>民主党派及工商联事务</w:t>
            </w:r>
          </w:p>
        </w:tc>
        <w:tc>
          <w:tcPr>
            <w:tcW w:w="1361" w:type="dxa"/>
            <w:vAlign w:val="center"/>
          </w:tcPr>
          <w:p>
            <w:pPr>
              <w:pStyle w:val="17"/>
            </w:pPr>
            <w:r>
              <w:t>61.33</w:t>
            </w:r>
          </w:p>
        </w:tc>
        <w:tc>
          <w:tcPr>
            <w:tcW w:w="1361" w:type="dxa"/>
            <w:vAlign w:val="center"/>
          </w:tcPr>
          <w:p>
            <w:pPr>
              <w:pStyle w:val="17"/>
            </w:pPr>
            <w:r>
              <w:t>61.33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2012801</w:t>
            </w:r>
          </w:p>
        </w:tc>
        <w:tc>
          <w:tcPr>
            <w:tcW w:w="4535" w:type="dxa"/>
            <w:vAlign w:val="center"/>
          </w:tcPr>
          <w:p>
            <w:pPr>
              <w:pStyle w:val="18"/>
            </w:pPr>
            <w:r>
              <w:t>行政运行</w:t>
            </w:r>
          </w:p>
        </w:tc>
        <w:tc>
          <w:tcPr>
            <w:tcW w:w="1361" w:type="dxa"/>
            <w:vAlign w:val="center"/>
          </w:tcPr>
          <w:p>
            <w:pPr>
              <w:pStyle w:val="17"/>
            </w:pPr>
            <w:r>
              <w:t>61.33</w:t>
            </w:r>
          </w:p>
        </w:tc>
        <w:tc>
          <w:tcPr>
            <w:tcW w:w="1361" w:type="dxa"/>
            <w:vAlign w:val="center"/>
          </w:tcPr>
          <w:p>
            <w:pPr>
              <w:pStyle w:val="17"/>
            </w:pPr>
            <w:r>
              <w:t>61.33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13.00</w:t>
            </w:r>
          </w:p>
        </w:tc>
        <w:tc>
          <w:tcPr>
            <w:tcW w:w="1361" w:type="dxa"/>
            <w:vAlign w:val="center"/>
          </w:tcPr>
          <w:p>
            <w:pPr>
              <w:pStyle w:val="17"/>
            </w:pPr>
            <w:r>
              <w:t>13.00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13.00</w:t>
            </w:r>
          </w:p>
        </w:tc>
        <w:tc>
          <w:tcPr>
            <w:tcW w:w="1361" w:type="dxa"/>
            <w:vAlign w:val="center"/>
          </w:tcPr>
          <w:p>
            <w:pPr>
              <w:pStyle w:val="17"/>
            </w:pPr>
            <w:r>
              <w:t>13.00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5.00</w:t>
            </w:r>
          </w:p>
        </w:tc>
        <w:tc>
          <w:tcPr>
            <w:tcW w:w="1361" w:type="dxa"/>
            <w:vAlign w:val="center"/>
          </w:tcPr>
          <w:p>
            <w:pPr>
              <w:pStyle w:val="17"/>
            </w:pPr>
            <w:r>
              <w:t>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6.00</w:t>
            </w:r>
          </w:p>
        </w:tc>
        <w:tc>
          <w:tcPr>
            <w:tcW w:w="1361" w:type="dxa"/>
            <w:vAlign w:val="center"/>
          </w:tcPr>
          <w:p>
            <w:pPr>
              <w:pStyle w:val="17"/>
            </w:pPr>
            <w:r>
              <w:t>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6.00</w:t>
            </w:r>
          </w:p>
        </w:tc>
        <w:tc>
          <w:tcPr>
            <w:tcW w:w="1361" w:type="dxa"/>
            <w:vAlign w:val="center"/>
          </w:tcPr>
          <w:p>
            <w:pPr>
              <w:pStyle w:val="17"/>
            </w:pPr>
            <w:r>
              <w:t>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6.00</w:t>
            </w:r>
          </w:p>
        </w:tc>
        <w:tc>
          <w:tcPr>
            <w:tcW w:w="1361" w:type="dxa"/>
            <w:vAlign w:val="center"/>
          </w:tcPr>
          <w:p>
            <w:pPr>
              <w:pStyle w:val="17"/>
            </w:pPr>
            <w:r>
              <w:t>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88.33</w:t>
            </w:r>
          </w:p>
        </w:tc>
        <w:tc>
          <w:tcPr>
            <w:tcW w:w="3402" w:type="dxa"/>
            <w:vAlign w:val="center"/>
          </w:tcPr>
          <w:p>
            <w:pPr>
              <w:pStyle w:val="18"/>
            </w:pPr>
            <w:r>
              <w:t>一、一般公共服务支出</w:t>
            </w:r>
          </w:p>
        </w:tc>
        <w:tc>
          <w:tcPr>
            <w:tcW w:w="1474" w:type="dxa"/>
            <w:vAlign w:val="center"/>
          </w:tcPr>
          <w:p>
            <w:pPr>
              <w:pStyle w:val="17"/>
            </w:pPr>
            <w:r>
              <w:t>61.33</w:t>
            </w:r>
          </w:p>
        </w:tc>
        <w:tc>
          <w:tcPr>
            <w:tcW w:w="1474" w:type="dxa"/>
            <w:vAlign w:val="center"/>
          </w:tcPr>
          <w:p>
            <w:pPr>
              <w:pStyle w:val="17"/>
            </w:pPr>
            <w:r>
              <w:t>61.33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8.00</w:t>
            </w:r>
          </w:p>
        </w:tc>
        <w:tc>
          <w:tcPr>
            <w:tcW w:w="1474" w:type="dxa"/>
            <w:vAlign w:val="center"/>
          </w:tcPr>
          <w:p>
            <w:pPr>
              <w:pStyle w:val="17"/>
            </w:pPr>
            <w:r>
              <w:t>8.00</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13.00</w:t>
            </w:r>
          </w:p>
        </w:tc>
        <w:tc>
          <w:tcPr>
            <w:tcW w:w="1474" w:type="dxa"/>
            <w:vAlign w:val="center"/>
          </w:tcPr>
          <w:p>
            <w:pPr>
              <w:pStyle w:val="17"/>
            </w:pPr>
            <w:r>
              <w:t>13.00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6.00</w:t>
            </w:r>
          </w:p>
        </w:tc>
        <w:tc>
          <w:tcPr>
            <w:tcW w:w="1474" w:type="dxa"/>
            <w:vAlign w:val="center"/>
          </w:tcPr>
          <w:p>
            <w:pPr>
              <w:pStyle w:val="17"/>
            </w:pPr>
            <w:r>
              <w:t>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88.33</w:t>
            </w:r>
          </w:p>
        </w:tc>
        <w:tc>
          <w:tcPr>
            <w:tcW w:w="3402" w:type="dxa"/>
            <w:vAlign w:val="center"/>
          </w:tcPr>
          <w:p>
            <w:pPr>
              <w:pStyle w:val="20"/>
            </w:pPr>
            <w:r>
              <w:t>本年支出合计</w:t>
            </w:r>
          </w:p>
        </w:tc>
        <w:tc>
          <w:tcPr>
            <w:tcW w:w="1474" w:type="dxa"/>
            <w:vAlign w:val="center"/>
          </w:tcPr>
          <w:p>
            <w:pPr>
              <w:pStyle w:val="21"/>
            </w:pPr>
            <w:r>
              <w:t>88.33</w:t>
            </w:r>
          </w:p>
        </w:tc>
        <w:tc>
          <w:tcPr>
            <w:tcW w:w="1474" w:type="dxa"/>
            <w:vAlign w:val="center"/>
          </w:tcPr>
          <w:p>
            <w:pPr>
              <w:pStyle w:val="21"/>
            </w:pPr>
            <w:r>
              <w:t>88.33</w:t>
            </w: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88.33</w:t>
            </w:r>
          </w:p>
        </w:tc>
        <w:tc>
          <w:tcPr>
            <w:tcW w:w="3402" w:type="dxa"/>
            <w:vAlign w:val="center"/>
          </w:tcPr>
          <w:p>
            <w:pPr>
              <w:pStyle w:val="20"/>
            </w:pPr>
            <w:r>
              <w:t>支出总计</w:t>
            </w:r>
          </w:p>
        </w:tc>
        <w:tc>
          <w:tcPr>
            <w:tcW w:w="1474" w:type="dxa"/>
            <w:vAlign w:val="center"/>
          </w:tcPr>
          <w:p>
            <w:pPr>
              <w:pStyle w:val="21"/>
            </w:pPr>
            <w:r>
              <w:t>88.33</w:t>
            </w:r>
          </w:p>
        </w:tc>
        <w:tc>
          <w:tcPr>
            <w:tcW w:w="1474" w:type="dxa"/>
            <w:vAlign w:val="center"/>
          </w:tcPr>
          <w:p>
            <w:pPr>
              <w:pStyle w:val="21"/>
            </w:pPr>
            <w:r>
              <w:t>88.33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88.33</w:t>
            </w:r>
          </w:p>
        </w:tc>
        <w:tc>
          <w:tcPr>
            <w:tcW w:w="2551" w:type="dxa"/>
            <w:vAlign w:val="center"/>
          </w:tcPr>
          <w:p>
            <w:pPr>
              <w:pStyle w:val="21"/>
            </w:pPr>
            <w:r>
              <w:t>88.33</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61.33</w:t>
            </w:r>
          </w:p>
        </w:tc>
        <w:tc>
          <w:tcPr>
            <w:tcW w:w="2551" w:type="dxa"/>
            <w:vAlign w:val="center"/>
          </w:tcPr>
          <w:p>
            <w:pPr>
              <w:pStyle w:val="17"/>
            </w:pPr>
            <w:r>
              <w:t>61.33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20128</w:t>
            </w:r>
          </w:p>
        </w:tc>
        <w:tc>
          <w:tcPr>
            <w:tcW w:w="4535" w:type="dxa"/>
            <w:vAlign w:val="center"/>
          </w:tcPr>
          <w:p>
            <w:pPr>
              <w:pStyle w:val="18"/>
            </w:pPr>
            <w:r>
              <w:t>民主党派及工商联事务</w:t>
            </w:r>
          </w:p>
        </w:tc>
        <w:tc>
          <w:tcPr>
            <w:tcW w:w="2551" w:type="dxa"/>
            <w:vAlign w:val="center"/>
          </w:tcPr>
          <w:p>
            <w:pPr>
              <w:pStyle w:val="17"/>
            </w:pPr>
            <w:r>
              <w:t>61.33</w:t>
            </w:r>
          </w:p>
        </w:tc>
        <w:tc>
          <w:tcPr>
            <w:tcW w:w="2551" w:type="dxa"/>
            <w:vAlign w:val="center"/>
          </w:tcPr>
          <w:p>
            <w:pPr>
              <w:pStyle w:val="17"/>
            </w:pPr>
            <w:r>
              <w:t>61.33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2012801</w:t>
            </w:r>
          </w:p>
        </w:tc>
        <w:tc>
          <w:tcPr>
            <w:tcW w:w="4535" w:type="dxa"/>
            <w:vAlign w:val="center"/>
          </w:tcPr>
          <w:p>
            <w:pPr>
              <w:pStyle w:val="18"/>
            </w:pPr>
            <w:r>
              <w:t>行政运行</w:t>
            </w:r>
          </w:p>
        </w:tc>
        <w:tc>
          <w:tcPr>
            <w:tcW w:w="2551" w:type="dxa"/>
            <w:vAlign w:val="center"/>
          </w:tcPr>
          <w:p>
            <w:pPr>
              <w:pStyle w:val="17"/>
            </w:pPr>
            <w:r>
              <w:t>61.33</w:t>
            </w:r>
          </w:p>
        </w:tc>
        <w:tc>
          <w:tcPr>
            <w:tcW w:w="2551" w:type="dxa"/>
            <w:vAlign w:val="center"/>
          </w:tcPr>
          <w:p>
            <w:pPr>
              <w:pStyle w:val="17"/>
            </w:pPr>
            <w:r>
              <w:t>61.33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13.00</w:t>
            </w:r>
          </w:p>
        </w:tc>
        <w:tc>
          <w:tcPr>
            <w:tcW w:w="2551" w:type="dxa"/>
            <w:vAlign w:val="center"/>
          </w:tcPr>
          <w:p>
            <w:pPr>
              <w:pStyle w:val="17"/>
            </w:pPr>
            <w:r>
              <w:t>13.00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13.00</w:t>
            </w:r>
          </w:p>
        </w:tc>
        <w:tc>
          <w:tcPr>
            <w:tcW w:w="2551" w:type="dxa"/>
            <w:vAlign w:val="center"/>
          </w:tcPr>
          <w:p>
            <w:pPr>
              <w:pStyle w:val="17"/>
            </w:pPr>
            <w:r>
              <w:t>13.00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5.00</w:t>
            </w:r>
          </w:p>
        </w:tc>
        <w:tc>
          <w:tcPr>
            <w:tcW w:w="2551" w:type="dxa"/>
            <w:vAlign w:val="center"/>
          </w:tcPr>
          <w:p>
            <w:pPr>
              <w:pStyle w:val="17"/>
            </w:pPr>
            <w:r>
              <w:t>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w:t>
            </w:r>
            <w:r>
              <w:rPr>
                <w:rFonts w:hint="eastAsia"/>
                <w:lang w:eastAsia="zh-CN"/>
              </w:rPr>
              <w:t>单位</w:t>
            </w:r>
            <w:r>
              <w:t>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88.33</w:t>
            </w:r>
          </w:p>
        </w:tc>
        <w:tc>
          <w:tcPr>
            <w:tcW w:w="2551" w:type="dxa"/>
            <w:vAlign w:val="center"/>
          </w:tcPr>
          <w:p>
            <w:pPr>
              <w:pStyle w:val="21"/>
            </w:pPr>
            <w:r>
              <w:t>78.02</w:t>
            </w:r>
          </w:p>
        </w:tc>
        <w:tc>
          <w:tcPr>
            <w:tcW w:w="2551" w:type="dxa"/>
            <w:vAlign w:val="center"/>
          </w:tcPr>
          <w:p>
            <w:pPr>
              <w:pStyle w:val="21"/>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78.02</w:t>
            </w:r>
          </w:p>
        </w:tc>
        <w:tc>
          <w:tcPr>
            <w:tcW w:w="2551" w:type="dxa"/>
            <w:vAlign w:val="center"/>
          </w:tcPr>
          <w:p>
            <w:pPr>
              <w:pStyle w:val="17"/>
            </w:pPr>
            <w:r>
              <w:t>78.02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22.42</w:t>
            </w:r>
          </w:p>
        </w:tc>
        <w:tc>
          <w:tcPr>
            <w:tcW w:w="2551" w:type="dxa"/>
            <w:vAlign w:val="center"/>
          </w:tcPr>
          <w:p>
            <w:pPr>
              <w:pStyle w:val="17"/>
            </w:pPr>
            <w:r>
              <w:t>22.42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15.40</w:t>
            </w:r>
          </w:p>
        </w:tc>
        <w:tc>
          <w:tcPr>
            <w:tcW w:w="2551" w:type="dxa"/>
            <w:vAlign w:val="center"/>
          </w:tcPr>
          <w:p>
            <w:pPr>
              <w:pStyle w:val="17"/>
            </w:pPr>
            <w:r>
              <w:t>15.40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1.80</w:t>
            </w:r>
          </w:p>
        </w:tc>
        <w:tc>
          <w:tcPr>
            <w:tcW w:w="2551" w:type="dxa"/>
            <w:vAlign w:val="center"/>
          </w:tcPr>
          <w:p>
            <w:pPr>
              <w:pStyle w:val="17"/>
            </w:pPr>
            <w:r>
              <w:t>1.80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5.00</w:t>
            </w:r>
          </w:p>
        </w:tc>
        <w:tc>
          <w:tcPr>
            <w:tcW w:w="2551" w:type="dxa"/>
            <w:vAlign w:val="center"/>
          </w:tcPr>
          <w:p>
            <w:pPr>
              <w:pStyle w:val="17"/>
            </w:pPr>
            <w:r>
              <w:t>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0.30</w:t>
            </w:r>
          </w:p>
        </w:tc>
        <w:tc>
          <w:tcPr>
            <w:tcW w:w="2551" w:type="dxa"/>
            <w:vAlign w:val="center"/>
          </w:tcPr>
          <w:p>
            <w:pPr>
              <w:pStyle w:val="17"/>
            </w:pPr>
            <w:r>
              <w:t>0.30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11.10</w:t>
            </w:r>
          </w:p>
        </w:tc>
        <w:tc>
          <w:tcPr>
            <w:tcW w:w="2551" w:type="dxa"/>
            <w:vAlign w:val="center"/>
          </w:tcPr>
          <w:p>
            <w:pPr>
              <w:pStyle w:val="17"/>
            </w:pPr>
            <w:r>
              <w:t>11.10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10.31</w:t>
            </w:r>
          </w:p>
        </w:tc>
        <w:tc>
          <w:tcPr>
            <w:tcW w:w="2551" w:type="dxa"/>
            <w:vAlign w:val="center"/>
          </w:tcPr>
          <w:p>
            <w:pPr>
              <w:pStyle w:val="17"/>
            </w:pPr>
          </w:p>
        </w:tc>
        <w:tc>
          <w:tcPr>
            <w:tcW w:w="2551" w:type="dxa"/>
            <w:vAlign w:val="center"/>
          </w:tcPr>
          <w:p>
            <w:pPr>
              <w:pStyle w:val="17"/>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3.52</w:t>
            </w:r>
          </w:p>
        </w:tc>
        <w:tc>
          <w:tcPr>
            <w:tcW w:w="2551" w:type="dxa"/>
            <w:vAlign w:val="center"/>
          </w:tcPr>
          <w:p>
            <w:pPr>
              <w:pStyle w:val="17"/>
            </w:pPr>
          </w:p>
        </w:tc>
        <w:tc>
          <w:tcPr>
            <w:tcW w:w="2551" w:type="dxa"/>
            <w:vAlign w:val="center"/>
          </w:tcPr>
          <w:p>
            <w:pPr>
              <w:pStyle w:val="17"/>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0.59</w:t>
            </w:r>
          </w:p>
        </w:tc>
        <w:tc>
          <w:tcPr>
            <w:tcW w:w="2551" w:type="dxa"/>
            <w:vAlign w:val="center"/>
          </w:tcPr>
          <w:p>
            <w:pPr>
              <w:pStyle w:val="17"/>
            </w:pPr>
          </w:p>
        </w:tc>
        <w:tc>
          <w:tcPr>
            <w:tcW w:w="2551" w:type="dxa"/>
            <w:vAlign w:val="center"/>
          </w:tcPr>
          <w:p>
            <w:pPr>
              <w:pStyle w:val="17"/>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2.84</w:t>
            </w:r>
          </w:p>
        </w:tc>
        <w:tc>
          <w:tcPr>
            <w:tcW w:w="2551" w:type="dxa"/>
            <w:vAlign w:val="center"/>
          </w:tcPr>
          <w:p>
            <w:pPr>
              <w:pStyle w:val="17"/>
            </w:pPr>
          </w:p>
        </w:tc>
        <w:tc>
          <w:tcPr>
            <w:tcW w:w="2551" w:type="dxa"/>
            <w:vAlign w:val="center"/>
          </w:tcPr>
          <w:p>
            <w:pPr>
              <w:pStyle w:val="17"/>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3.36</w:t>
            </w:r>
          </w:p>
        </w:tc>
        <w:tc>
          <w:tcPr>
            <w:tcW w:w="2551" w:type="dxa"/>
            <w:vAlign w:val="center"/>
          </w:tcPr>
          <w:p>
            <w:pPr>
              <w:pStyle w:val="17"/>
            </w:pPr>
          </w:p>
        </w:tc>
        <w:tc>
          <w:tcPr>
            <w:tcW w:w="2551" w:type="dxa"/>
            <w:vAlign w:val="center"/>
          </w:tcPr>
          <w:p>
            <w:pPr>
              <w:pStyle w:val="17"/>
            </w:pPr>
            <w:r>
              <w:t>3.36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714002乐亭县工商业联合会</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default" w:eastAsia="方正书宋_GBK"/>
                <w:lang w:val="en-US" w:eastAsia="zh-CN"/>
              </w:rPr>
            </w:pPr>
            <w:r>
              <w:rPr>
                <w:rFonts w:hint="eastAsia"/>
                <w:lang w:val="en-US" w:eastAsia="zh-CN"/>
              </w:rPr>
              <w:t>2.84</w:t>
            </w:r>
          </w:p>
        </w:tc>
        <w:tc>
          <w:tcPr>
            <w:tcW w:w="2381" w:type="dxa"/>
            <w:vAlign w:val="center"/>
          </w:tcPr>
          <w:p>
            <w:pPr>
              <w:pStyle w:val="21"/>
              <w:rPr>
                <w:rFonts w:hint="default" w:eastAsia="方正书宋_GBK"/>
                <w:lang w:val="en-US" w:eastAsia="zh-CN"/>
              </w:rPr>
            </w:pPr>
            <w:r>
              <w:rPr>
                <w:rFonts w:hint="eastAsia"/>
                <w:lang w:val="en-US" w:eastAsia="zh-CN"/>
              </w:rPr>
              <w:t>2.84</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2.84</w:t>
            </w:r>
          </w:p>
        </w:tc>
        <w:tc>
          <w:tcPr>
            <w:tcW w:w="2381" w:type="dxa"/>
            <w:vAlign w:val="center"/>
          </w:tcPr>
          <w:p>
            <w:pPr>
              <w:pStyle w:val="17"/>
            </w:pPr>
            <w: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乐亭县工商业联合会2022年单位预算信息公开情况说明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预算法》、《地方预决算公开操作规程》和《关于进一步推进预算公开工作的实施意见》规定，现将乐亭县工商业联合会2022年单位预算公开如下：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 xml:space="preserve">1、参与国家大政方针及政治，经济，社会生活中的重要问题的政治协商，发挥民主监督的作用，参政议政； </w:t>
      </w:r>
    </w:p>
    <w:p>
      <w:pPr>
        <w:pStyle w:val="31"/>
      </w:pPr>
      <w:r>
        <w:t>2、引导会员积极参加国家经济建设，推动社会主义市场经济体制逐步完善，促进社会全面发展；</w:t>
      </w:r>
    </w:p>
    <w:p>
      <w:pPr>
        <w:pStyle w:val="31"/>
      </w:pPr>
      <w:r>
        <w:t>3、做工商界代表人士政治安排的推荐工作；</w:t>
      </w:r>
    </w:p>
    <w:p>
      <w:pPr>
        <w:pStyle w:val="31"/>
      </w:pPr>
      <w:r>
        <w:t>4、发扬自我教育的优良传统，宣传贯彻党和国家的方针政策，加强和改进思想政治工作，提倡爱国，敬业，守法，提高会员素质，培养积极分子队伍；</w:t>
      </w:r>
    </w:p>
    <w:p>
      <w:pPr>
        <w:pStyle w:val="31"/>
      </w:pPr>
      <w:r>
        <w:t>5、代表并维护会员的合法权益，反映会员的意见，要求和建议；</w:t>
      </w:r>
    </w:p>
    <w:p>
      <w:pPr>
        <w:pStyle w:val="31"/>
      </w:pPr>
      <w:r>
        <w:t>6、引导会员弘扬中华民族传统美德，先富帮后富，走共同富裕的道路，热心社会公益事业； 7为会员提供信息和科技，管理，法律，会计，审计，融资，咨询等服务；</w:t>
      </w:r>
    </w:p>
    <w:p>
      <w:pPr>
        <w:pStyle w:val="31"/>
      </w:pPr>
      <w:r>
        <w:t>8、开展工商专业培训，帮助会员改进经营管理，完善财务管理，照章纳税，提高生产技术和产品质量；</w:t>
      </w:r>
    </w:p>
    <w:p>
      <w:pPr>
        <w:pStyle w:val="31"/>
      </w:pPr>
      <w:r>
        <w:t>9、组织会员举办和参加各种对外展销会，交易会，组织会员出国，出境考察访问，帮助会员开拓国内，国际市场；</w:t>
      </w:r>
    </w:p>
    <w:p>
      <w:pPr>
        <w:pStyle w:val="31"/>
      </w:pPr>
      <w:r>
        <w:t>10、增进与香港特区及台湾，澳门地区和世界各国工商社团及工商经济界人士的联系和友谊，促进经济，技术和贸易合作的发展，协助引进资金，技术，人才；</w:t>
      </w:r>
    </w:p>
    <w:p>
      <w:pPr>
        <w:pStyle w:val="31"/>
      </w:pPr>
      <w:r>
        <w:t>11、为会员提供有关证明，协调关系，调解经济纠纷；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乐亭县工商业联合会</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2"/>
      </w:pPr>
      <w:r>
        <w:t>1、2022年预算收入88.33万元，全部为一般公共预算收入，其中：财政拨款收入88.33万元，其他收入0万元。</w:t>
      </w:r>
    </w:p>
    <w:p>
      <w:pPr>
        <w:pStyle w:val="32"/>
      </w:pPr>
      <w:r>
        <w:t>2、本年预算支出：88.33万元，其中：基本支出88.33万元（人员经费78.02万元，日常公用10.31万元）；项目支出0万元。</w:t>
      </w:r>
    </w:p>
    <w:p>
      <w:pPr>
        <w:pStyle w:val="32"/>
      </w:pPr>
      <w:r>
        <w:t>3、比上年增减情况：2022年预算收入安排88.33万元，比2021年预算增加3.67万元，主要为公用经费增加了0.02万元，人员经费增加了3.69万元；2022年预算支出88.33万元，比2021年预算增加了3.67万元，主要为公用经费增加了0.02万元，人员经费增加了3.69万元。</w:t>
      </w:r>
    </w:p>
    <w:p>
      <w:pPr>
        <w:spacing w:before="10" w:after="10"/>
        <w:ind w:firstLine="640"/>
        <w:outlineLvl w:val="5"/>
      </w:pPr>
      <w:r>
        <w:rPr>
          <w:rFonts w:ascii="黑体" w:hAnsi="黑体" w:eastAsia="黑体" w:cs="黑体"/>
          <w:color w:val="000000"/>
          <w:sz w:val="32"/>
        </w:rPr>
        <w:t>三、机关运行经费安排情况</w:t>
      </w:r>
    </w:p>
    <w:p>
      <w:pPr>
        <w:pStyle w:val="33"/>
      </w:pPr>
      <w:r>
        <w:t>基本支出---正常公用经费安排,10.33万元，主要用于机关办公、差旅费、邮电、公务用车运行等开支。比2021年公用经费增加了0.02万元。增加原因：公用增加。</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2022年三公经费2.84万元，其中：公务用车运行维护费2.84万元，公务接待0万元。2022年三公经费2.84万元，其中：公务用车运行维护费2.84万元，公务接待0万元。与上年相比持平。</w:t>
      </w:r>
    </w:p>
    <w:p>
      <w:pPr>
        <w:pStyle w:val="34"/>
      </w:pPr>
      <w:r>
        <w:t>无公务用车购置安排。</w:t>
      </w:r>
    </w:p>
    <w:p>
      <w:pPr>
        <w:pStyle w:val="34"/>
      </w:pPr>
      <w:r>
        <w:t>无因公出国（境）费安排。</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7"/>
      </w:pPr>
      <w:r>
        <w:t>2022年乐亭县工商业联合会绩效情况</w:t>
      </w:r>
    </w:p>
    <w:p>
      <w:pPr>
        <w:pStyle w:val="27"/>
      </w:pPr>
      <w:r>
        <w:t>总体绩效目标:</w:t>
      </w:r>
    </w:p>
    <w:p>
      <w:pPr>
        <w:pStyle w:val="27"/>
      </w:pPr>
      <w:r>
        <w:t>围绕县委工作中心积极发挥</w:t>
      </w:r>
      <w:r>
        <w:rPr>
          <w:rFonts w:hint="eastAsia"/>
          <w:lang w:eastAsia="zh-CN"/>
        </w:rPr>
        <w:t>单位</w:t>
      </w:r>
      <w:r>
        <w:t>职能作用，团结带领全县民营企业，为建设经济强县做贡献。搞好工商联（商会）换届工作。发挥工商联招商平台作用，积极扩大对外交流，组织会员企业以商招商。扎实推动光彩事业，引导民营企业家勇于承担社会责任。</w:t>
      </w:r>
    </w:p>
    <w:p>
      <w:pPr>
        <w:pStyle w:val="27"/>
      </w:pPr>
    </w:p>
    <w:p>
      <w:pPr>
        <w:spacing w:line="500" w:lineRule="exact"/>
        <w:ind w:firstLine="560"/>
      </w:pPr>
      <w:r>
        <w:rPr>
          <w:rFonts w:eastAsia="方正仿宋_GBK"/>
          <w:color w:val="000000"/>
          <w:sz w:val="28"/>
        </w:rPr>
        <w:t>（二）分项绩效目标</w:t>
      </w:r>
    </w:p>
    <w:p>
      <w:pPr>
        <w:pStyle w:val="28"/>
      </w:pPr>
      <w:r>
        <w:t>工商联绩效目标说明</w:t>
      </w:r>
    </w:p>
    <w:p>
      <w:pPr>
        <w:pStyle w:val="28"/>
      </w:pPr>
    </w:p>
    <w:p>
      <w:pPr>
        <w:pStyle w:val="28"/>
      </w:pPr>
      <w:r>
        <w:t>增强组织凝聚力和社会影响力，提升参政议政水平。组织经贸洽谈、招商引资等经济活动，助力县域经济发展。通过提升参政议政水平，为社会发展建言献策。</w:t>
      </w:r>
    </w:p>
    <w:p>
      <w:pPr>
        <w:pStyle w:val="28"/>
      </w:pPr>
      <w:r>
        <w:t>发展工商联会员、指导基层工商联组织建设；组织培训、思想政治教育，对非公有制经济优秀事迹进行宣传等事项。指导全县各级组织建设。提升民营企业家素质，推进民营企业文化建设，提升工商联工作影响力。</w:t>
      </w:r>
    </w:p>
    <w:p>
      <w:pPr>
        <w:pStyle w:val="28"/>
      </w:pPr>
    </w:p>
    <w:p>
      <w:pPr>
        <w:spacing w:line="500" w:lineRule="exact"/>
        <w:ind w:firstLine="560"/>
      </w:pPr>
      <w:r>
        <w:rPr>
          <w:rFonts w:eastAsia="方正仿宋_GBK"/>
          <w:color w:val="000000"/>
          <w:sz w:val="28"/>
        </w:rPr>
        <w:t>（三）工作保障措施</w:t>
      </w:r>
    </w:p>
    <w:p>
      <w:pPr>
        <w:pStyle w:val="29"/>
      </w:pPr>
      <w:r>
        <w:t>工商联保障措施</w:t>
      </w:r>
    </w:p>
    <w:p>
      <w:pPr>
        <w:pStyle w:val="29"/>
      </w:pPr>
    </w:p>
    <w:p>
      <w:pPr>
        <w:pStyle w:val="29"/>
      </w:pPr>
      <w:r>
        <w:t>引导会员积极承担社会责任，热心公益事业发挥工商联在政府管理和服务非公有制经济中的助手作用，助力县域经济发展。</w:t>
      </w:r>
    </w:p>
    <w:p>
      <w:pPr>
        <w:pStyle w:val="29"/>
      </w:pPr>
      <w:r>
        <w:t>保证工商联日常工作顺利开展，正常运转。</w:t>
      </w:r>
    </w:p>
    <w:p>
      <w:pPr>
        <w:pStyle w:val="29"/>
      </w:pPr>
    </w:p>
    <w:p>
      <w:pPr>
        <w:numPr>
          <w:ilvl w:val="0"/>
          <w:numId w:val="0"/>
        </w:numPr>
        <w:ind w:firstLine="964" w:firstLineChars="3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专项资金绩效目标</w:t>
      </w:r>
    </w:p>
    <w:p>
      <w:pPr>
        <w:numPr>
          <w:ilvl w:val="0"/>
          <w:numId w:val="0"/>
        </w:numPr>
        <w:rPr>
          <w:rFonts w:ascii="方正楷体_GBK" w:hAnsi="方正楷体_GBK" w:eastAsia="方正楷体_GBK" w:cs="方正楷体_GBK"/>
          <w:b/>
          <w:color w:val="000000"/>
          <w:sz w:val="32"/>
        </w:rPr>
      </w:pPr>
    </w:p>
    <w:p>
      <w:pPr>
        <w:numPr>
          <w:ilvl w:val="0"/>
          <w:numId w:val="0"/>
        </w:numPr>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pStyle w:val="29"/>
        <w:rPr>
          <w:rFonts w:hint="eastAsia"/>
          <w:lang w:eastAsia="zh-CN"/>
        </w:rPr>
      </w:pPr>
    </w:p>
    <w:p>
      <w:pPr>
        <w:pStyle w:val="29"/>
      </w:pPr>
    </w:p>
    <w:p>
      <w:pPr>
        <w:pStyle w:val="29"/>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pPr>
        <w:ind w:firstLine="640"/>
        <w:rPr>
          <w:rFonts w:ascii="方正楷体_GBK" w:hAnsi="方正楷体_GBK" w:eastAsia="方正楷体_GBK" w:cs="方正楷体_GBK"/>
          <w:b/>
          <w:color w:val="000000"/>
          <w:sz w:val="32"/>
        </w:rPr>
      </w:pPr>
    </w:p>
    <w:p>
      <w:pPr>
        <w:ind w:firstLine="640"/>
        <w:rPr>
          <w:rFonts w:hint="default" w:ascii="方正楷体_GBK" w:hAnsi="方正楷体_GBK" w:eastAsia="方正楷体_GBK" w:cs="方正楷体_GBK"/>
          <w:b/>
          <w:color w:val="000000"/>
          <w:sz w:val="32"/>
          <w:lang w:val="en-US"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2022年，乐亭县工商业联合会安排政府采购预算0.00万元。具体内容见下表。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714002乐亭县工商业联合会</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乐亭县工商业联合会上年末固定资产金额为91.76万元（详见下表）。本年度拟购置固定资产总额为0.00万元，已按要求列入政府采购预算，详见政府采购预算表。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714002乐亭县工商业联合会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252</w:t>
            </w:r>
          </w:p>
        </w:tc>
        <w:tc>
          <w:tcPr>
            <w:tcW w:w="2835" w:type="dxa"/>
            <w:vAlign w:val="center"/>
          </w:tcPr>
          <w:p>
            <w:pPr>
              <w:pStyle w:val="17"/>
            </w:pPr>
            <w:r>
              <w:t>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252</w:t>
            </w:r>
          </w:p>
        </w:tc>
        <w:tc>
          <w:tcPr>
            <w:tcW w:w="2835" w:type="dxa"/>
            <w:vAlign w:val="center"/>
          </w:tcPr>
          <w:p>
            <w:pPr>
              <w:pStyle w:val="17"/>
            </w:pPr>
            <w:r>
              <w:t>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1</w:t>
            </w:r>
          </w:p>
        </w:tc>
        <w:tc>
          <w:tcPr>
            <w:tcW w:w="2835" w:type="dxa"/>
            <w:vAlign w:val="center"/>
          </w:tcPr>
          <w:p>
            <w:pPr>
              <w:pStyle w:val="17"/>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47</w:t>
            </w:r>
          </w:p>
        </w:tc>
        <w:tc>
          <w:tcPr>
            <w:tcW w:w="2835" w:type="dxa"/>
            <w:vAlign w:val="center"/>
          </w:tcPr>
          <w:p>
            <w:pPr>
              <w:pStyle w:val="17"/>
            </w:pPr>
            <w:r>
              <w:t>6.77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5E412"/>
    <w:multiLevelType w:val="singleLevel"/>
    <w:tmpl w:val="9445E41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Y2NGRiYzU5OWJjMzUxYzNhYjMzYjUxNmQ2MDUifQ=="/>
  </w:docVars>
  <w:rsids>
    <w:rsidRoot w:val="00CA78C7"/>
    <w:rsid w:val="0009555B"/>
    <w:rsid w:val="00234926"/>
    <w:rsid w:val="00CA78C7"/>
    <w:rsid w:val="0B576061"/>
    <w:rsid w:val="0C99391D"/>
    <w:rsid w:val="1C7B3774"/>
    <w:rsid w:val="2C3E04DA"/>
    <w:rsid w:val="557468AB"/>
    <w:rsid w:val="7C49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autoRedefine/>
    <w:qFormat/>
    <w:uiPriority w:val="99"/>
    <w:rPr>
      <w:sz w:val="18"/>
      <w:szCs w:val="18"/>
    </w:rPr>
  </w:style>
  <w:style w:type="character" w:customStyle="1" w:styleId="12">
    <w:name w:val="页脚 Char"/>
    <w:basedOn w:val="10"/>
    <w:link w:val="3"/>
    <w:autoRedefine/>
    <w:qFormat/>
    <w:uiPriority w:val="99"/>
    <w:rPr>
      <w:sz w:val="18"/>
      <w:szCs w:val="18"/>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1125</Words>
  <Characters>6415</Characters>
  <Lines>53</Lines>
  <Paragraphs>15</Paragraphs>
  <TotalTime>0</TotalTime>
  <ScaleCrop>false</ScaleCrop>
  <LinksUpToDate>false</LinksUpToDate>
  <CharactersWithSpaces>7525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2022-03-09T07:38:00Z</dcterms:created>
  <dc:creator>Lenovo</dc:creator>
  <cp:lastModifiedBy>LENOVO</cp:lastModifiedBy>
  <dcterms:modified xsi:type="dcterms:W3CDTF">2024-03-18T06:58:09Z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DEA5CE690FF845308A36FDED3F32859C_13</vt:lpwstr>
  </property>
</Properties>
</file>