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rPr>
          <w:rFonts w:ascii="方正楷体_GBK" w:hAnsi="方正楷体_GBK" w:eastAsia="方正楷体_GBK" w:cs="方正楷体_GBK"/>
          <w:b/>
          <w:color w:val="000000"/>
          <w:sz w:val="28"/>
        </w:rPr>
      </w:pPr>
      <w:r>
        <w:rPr>
          <w:rFonts w:ascii="方正楷体_GBK" w:hAnsi="方正楷体_GBK" w:eastAsia="方正楷体_GBK" w:cs="方正楷体_GBK"/>
          <w:b/>
          <w:color w:val="000000"/>
          <w:sz w:val="28"/>
        </w:rPr>
        <w:t>部门预算公开表</w:t>
      </w:r>
    </w:p>
    <w:p>
      <w:pPr>
        <w:spacing w:before="0" w:after="0" w:line="240" w:lineRule="auto"/>
        <w:ind w:firstLine="0"/>
        <w:jc w:val="left"/>
        <w:outlineLvl w:val="9"/>
        <w:rPr>
          <w:rFonts w:ascii="方正楷体_GBK" w:hAnsi="方正楷体_GBK" w:eastAsia="方正楷体_GBK" w:cs="方正楷体_GBK"/>
          <w:b/>
          <w:color w:val="000000"/>
          <w:sz w:val="28"/>
        </w:rPr>
      </w:pP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2</w:t>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3</w:t>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4</w:t>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5</w:t>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8</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9</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1</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1</w:t>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3</w:t>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4</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5</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5</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w:t>
      </w:r>
      <w:r>
        <w:rPr>
          <w:rFonts w:hint="eastAsia"/>
          <w:lang w:val="en-US" w:eastAsia="zh-CN"/>
        </w:rPr>
        <w:t>6</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w:t>
      </w:r>
      <w:r>
        <w:rPr>
          <w:rFonts w:hint="eastAsia"/>
          <w:lang w:val="en-US" w:eastAsia="zh-CN"/>
        </w:rPr>
        <w:t>9</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9</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1</w:t>
      </w:r>
    </w:p>
    <w:p>
      <w:pPr>
        <w:sectPr>
          <w:headerReference r:id="rId3" w:type="even"/>
          <w:footerReference r:id="rId4" w:type="even"/>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5" w:type="default"/>
          <w:footerReference r:id="rId6" w:type="even"/>
          <w:pgSz w:w="16840" w:h="11900" w:orient="landscape"/>
          <w:pgMar w:top="1361" w:right="1020" w:bottom="1134" w:left="1020" w:header="720" w:footer="720" w:gutter="0"/>
          <w:pgNumType w:fmt="decimal"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15420" w:type="dxa"/>
        <w:tblInd w:w="0" w:type="dxa"/>
        <w:shd w:val="clear" w:color="auto" w:fill="auto"/>
        <w:tblLayout w:type="autofit"/>
        <w:tblCellMar>
          <w:top w:w="0" w:type="dxa"/>
          <w:left w:w="0" w:type="dxa"/>
          <w:bottom w:w="0" w:type="dxa"/>
          <w:right w:w="0" w:type="dxa"/>
        </w:tblCellMar>
      </w:tblPr>
      <w:tblGrid>
        <w:gridCol w:w="785"/>
        <w:gridCol w:w="5195"/>
        <w:gridCol w:w="1261"/>
        <w:gridCol w:w="5563"/>
        <w:gridCol w:w="2623"/>
      </w:tblGrid>
      <w:tr>
        <w:tblPrEx>
          <w:shd w:val="clear" w:color="auto" w:fill="auto"/>
          <w:tblCellMar>
            <w:top w:w="0" w:type="dxa"/>
            <w:left w:w="0" w:type="dxa"/>
            <w:bottom w:w="0" w:type="dxa"/>
            <w:right w:w="0" w:type="dxa"/>
          </w:tblCellMar>
        </w:tblPrEx>
        <w:trPr>
          <w:trHeight w:val="360" w:hRule="atLeast"/>
        </w:trPr>
        <w:tc>
          <w:tcPr>
            <w:tcW w:w="15427"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预算部门编码及名称：[全部]全部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shd w:val="clear" w:color="auto" w:fill="auto"/>
          <w:tblCellMar>
            <w:top w:w="0" w:type="dxa"/>
            <w:left w:w="0" w:type="dxa"/>
            <w:bottom w:w="0" w:type="dxa"/>
            <w:right w:w="0"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shd w:val="clear" w:color="auto" w:fill="auto"/>
          <w:tblCellMar>
            <w:top w:w="0" w:type="dxa"/>
            <w:left w:w="0" w:type="dxa"/>
            <w:bottom w:w="0" w:type="dxa"/>
            <w:right w:w="0"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r>
      <w:tr>
        <w:tblPrEx>
          <w:shd w:val="clear" w:color="auto" w:fill="auto"/>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6131.64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5988.14</w:t>
            </w: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二、政府性基金预算拨款收入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三、国有资本经营预算拨款收入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四、财政专户管理资金收入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六、事业单位经营收入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七、上级补助收入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八、附属单位上缴收入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64.80</w:t>
            </w: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九、其他收入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45.70</w:t>
            </w: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6131.64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6131.64</w:t>
            </w: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上年结转结余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年终结转结余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6131.64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6131.64</w:t>
            </w: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12975" w:type="dxa"/>
        <w:tblInd w:w="0" w:type="dxa"/>
        <w:shd w:val="clear" w:color="auto" w:fill="auto"/>
        <w:tblLayout w:type="autofit"/>
        <w:tblCellMar>
          <w:top w:w="0" w:type="dxa"/>
          <w:left w:w="0" w:type="dxa"/>
          <w:bottom w:w="0" w:type="dxa"/>
          <w:right w:w="0" w:type="dxa"/>
        </w:tblCellMar>
      </w:tblPr>
      <w:tblGrid>
        <w:gridCol w:w="439"/>
        <w:gridCol w:w="848"/>
        <w:gridCol w:w="3303"/>
        <w:gridCol w:w="704"/>
        <w:gridCol w:w="704"/>
        <w:gridCol w:w="1257"/>
        <w:gridCol w:w="1257"/>
        <w:gridCol w:w="848"/>
        <w:gridCol w:w="848"/>
        <w:gridCol w:w="1257"/>
        <w:gridCol w:w="1667"/>
        <w:gridCol w:w="849"/>
        <w:gridCol w:w="849"/>
      </w:tblGrid>
      <w:tr>
        <w:tblPrEx>
          <w:shd w:val="clear" w:color="auto" w:fill="auto"/>
          <w:tblCellMar>
            <w:top w:w="0" w:type="dxa"/>
            <w:left w:w="0" w:type="dxa"/>
            <w:bottom w:w="0" w:type="dxa"/>
            <w:right w:w="0" w:type="dxa"/>
          </w:tblCellMar>
        </w:tblPrEx>
        <w:trPr>
          <w:trHeight w:val="360" w:hRule="atLeast"/>
        </w:trPr>
        <w:tc>
          <w:tcPr>
            <w:tcW w:w="12977" w:type="dxa"/>
            <w:gridSpan w:val="1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6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预算部门编码及名称：[479]经济开发区管理委员会</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shd w:val="clear" w:color="auto" w:fill="auto"/>
          <w:tblCellMar>
            <w:top w:w="0" w:type="dxa"/>
            <w:left w:w="0" w:type="dxa"/>
            <w:bottom w:w="0" w:type="dxa"/>
            <w:right w:w="0"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上年结转</w:t>
            </w:r>
          </w:p>
        </w:tc>
      </w:tr>
      <w:tr>
        <w:tblPrEx>
          <w:shd w:val="clear" w:color="auto" w:fill="auto"/>
          <w:tblCellMar>
            <w:top w:w="0" w:type="dxa"/>
            <w:left w:w="0" w:type="dxa"/>
            <w:bottom w:w="0" w:type="dxa"/>
            <w:right w:w="0"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财政专户收入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6131.64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6131.64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6131.64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部门预算支出总表</w:t>
      </w:r>
    </w:p>
    <w:tbl>
      <w:tblPr>
        <w:tblStyle w:val="8"/>
        <w:tblW w:w="13785" w:type="dxa"/>
        <w:tblInd w:w="0" w:type="dxa"/>
        <w:shd w:val="clear" w:color="auto" w:fill="auto"/>
        <w:tblLayout w:type="autofit"/>
        <w:tblCellMar>
          <w:top w:w="0" w:type="dxa"/>
          <w:left w:w="0" w:type="dxa"/>
          <w:bottom w:w="0" w:type="dxa"/>
          <w:right w:w="0" w:type="dxa"/>
        </w:tblCellMar>
      </w:tblPr>
      <w:tblGrid>
        <w:gridCol w:w="598"/>
        <w:gridCol w:w="1159"/>
        <w:gridCol w:w="4521"/>
        <w:gridCol w:w="1719"/>
        <w:gridCol w:w="1159"/>
        <w:gridCol w:w="1159"/>
        <w:gridCol w:w="1158"/>
        <w:gridCol w:w="1349"/>
        <w:gridCol w:w="2008"/>
      </w:tblGrid>
      <w:tr>
        <w:tblPrEx>
          <w:tblCellMar>
            <w:top w:w="0" w:type="dxa"/>
            <w:left w:w="0" w:type="dxa"/>
            <w:bottom w:w="0" w:type="dxa"/>
            <w:right w:w="0" w:type="dxa"/>
          </w:tblCellMar>
        </w:tblPrEx>
        <w:trPr>
          <w:trHeight w:val="360" w:hRule="atLeast"/>
        </w:trPr>
        <w:tc>
          <w:tcPr>
            <w:tcW w:w="1149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预算部门编码及名称：[479]经济开发区管理委员会</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shd w:val="clear" w:color="auto" w:fill="auto"/>
          <w:tblCellMar>
            <w:top w:w="0" w:type="dxa"/>
            <w:left w:w="0" w:type="dxa"/>
            <w:bottom w:w="0" w:type="dxa"/>
            <w:right w:w="0"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CellMar>
            <w:top w:w="0" w:type="dxa"/>
            <w:left w:w="0" w:type="dxa"/>
            <w:bottom w:w="0" w:type="dxa"/>
            <w:right w:w="0"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6131.64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518.74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5612.90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5612.90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5612.90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5612.90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5670" w:firstLineChars="1575"/>
        <w:jc w:val="left"/>
        <w:outlineLvl w:val="9"/>
        <w:rPr>
          <w:rFonts w:ascii="方正小标宋_GBK" w:hAnsi="方正小标宋_GBK" w:eastAsia="方正小标宋_GBK" w:cs="方正小标宋_GBK"/>
          <w:color w:val="000000"/>
          <w:sz w:val="36"/>
        </w:rPr>
      </w:pPr>
      <w:bookmarkStart w:id="2" w:name="_Toc_2_2_0000000004"/>
      <w:r>
        <w:rPr>
          <w:rFonts w:ascii="方正小标宋_GBK" w:hAnsi="方正小标宋_GBK" w:eastAsia="方正小标宋_GBK" w:cs="方正小标宋_GBK"/>
          <w:color w:val="000000"/>
          <w:sz w:val="36"/>
        </w:rPr>
        <w:t>部门预算财政拨款收支总表</w:t>
      </w:r>
      <w:bookmarkEnd w:id="2"/>
    </w:p>
    <w:p>
      <w:pPr>
        <w:spacing w:before="0" w:after="0" w:line="240" w:lineRule="auto"/>
        <w:ind w:firstLine="420"/>
        <w:jc w:val="left"/>
        <w:outlineLvl w:val="9"/>
      </w:pPr>
    </w:p>
    <w:tbl>
      <w:tblPr>
        <w:tblStyle w:val="8"/>
        <w:tblW w:w="15450" w:type="dxa"/>
        <w:tblInd w:w="0" w:type="dxa"/>
        <w:shd w:val="clear" w:color="auto" w:fill="auto"/>
        <w:tblLayout w:type="autofit"/>
        <w:tblCellMar>
          <w:top w:w="0" w:type="dxa"/>
          <w:left w:w="0" w:type="dxa"/>
          <w:bottom w:w="0" w:type="dxa"/>
          <w:right w:w="0" w:type="dxa"/>
        </w:tblCellMar>
      </w:tblPr>
      <w:tblGrid>
        <w:gridCol w:w="474"/>
        <w:gridCol w:w="2691"/>
        <w:gridCol w:w="761"/>
        <w:gridCol w:w="3357"/>
        <w:gridCol w:w="761"/>
        <w:gridCol w:w="2248"/>
        <w:gridCol w:w="2469"/>
        <w:gridCol w:w="2691"/>
      </w:tblGrid>
      <w:tr>
        <w:tblPrEx>
          <w:shd w:val="clear" w:color="auto" w:fill="auto"/>
          <w:tblCellMar>
            <w:top w:w="0" w:type="dxa"/>
            <w:left w:w="0" w:type="dxa"/>
            <w:bottom w:w="0" w:type="dxa"/>
            <w:right w:w="0" w:type="dxa"/>
          </w:tblCellMar>
        </w:tblPrEx>
        <w:trPr>
          <w:trHeight w:val="360" w:hRule="atLeast"/>
        </w:trPr>
        <w:tc>
          <w:tcPr>
            <w:tcW w:w="15452"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预算部门编码及名称：[479]经济开发区管理委员会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shd w:val="clear" w:color="auto" w:fill="auto"/>
          <w:tblCellMar>
            <w:top w:w="0" w:type="dxa"/>
            <w:left w:w="0" w:type="dxa"/>
            <w:bottom w:w="0" w:type="dxa"/>
            <w:right w:w="0"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shd w:val="clear" w:color="auto" w:fill="auto"/>
          <w:tblCellMar>
            <w:top w:w="0" w:type="dxa"/>
            <w:left w:w="0" w:type="dxa"/>
            <w:bottom w:w="0" w:type="dxa"/>
            <w:right w:w="0"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tblPrEx>
          <w:shd w:val="clear" w:color="auto" w:fill="auto"/>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6131.64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6131.64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6131.64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6131.64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6131.64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6131.64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6131.64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3" w:name="_Toc_2_2_0000000005"/>
      <w:r>
        <w:rPr>
          <w:rFonts w:ascii="方正小标宋_GBK" w:hAnsi="方正小标宋_GBK" w:eastAsia="方正小标宋_GBK" w:cs="方正小标宋_GBK"/>
          <w:color w:val="000000"/>
          <w:sz w:val="36"/>
        </w:rPr>
        <w:t>部门预算一般公共预算财政拨款支出表</w:t>
      </w:r>
      <w:bookmarkEnd w:id="3"/>
    </w:p>
    <w:tbl>
      <w:tblPr>
        <w:tblStyle w:val="8"/>
        <w:tblW w:w="14975" w:type="dxa"/>
        <w:tblInd w:w="0" w:type="dxa"/>
        <w:shd w:val="clear" w:color="auto" w:fill="auto"/>
        <w:tblLayout w:type="fixed"/>
        <w:tblCellMar>
          <w:top w:w="0" w:type="dxa"/>
          <w:left w:w="0" w:type="dxa"/>
          <w:bottom w:w="0" w:type="dxa"/>
          <w:right w:w="0" w:type="dxa"/>
        </w:tblCellMar>
      </w:tblPr>
      <w:tblGrid>
        <w:gridCol w:w="689"/>
        <w:gridCol w:w="1333"/>
        <w:gridCol w:w="5202"/>
        <w:gridCol w:w="1496"/>
        <w:gridCol w:w="1635"/>
        <w:gridCol w:w="1545"/>
        <w:gridCol w:w="1440"/>
        <w:gridCol w:w="1635"/>
      </w:tblGrid>
      <w:tr>
        <w:tblPrEx>
          <w:shd w:val="clear" w:color="auto" w:fill="auto"/>
        </w:tblPrEx>
        <w:trPr>
          <w:trHeight w:val="360" w:hRule="atLeast"/>
        </w:trPr>
        <w:tc>
          <w:tcPr>
            <w:tcW w:w="1190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预算部门编码及名称：[479]经济开发区管理委员会</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shd w:val="clear" w:color="auto" w:fill="auto"/>
          <w:tblCellMar>
            <w:top w:w="0" w:type="dxa"/>
            <w:left w:w="0" w:type="dxa"/>
            <w:bottom w:w="0" w:type="dxa"/>
            <w:right w:w="0" w:type="dxa"/>
          </w:tblCellMar>
        </w:tblPrEx>
        <w:trPr>
          <w:trHeight w:val="36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65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w:t>
            </w:r>
          </w:p>
        </w:tc>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46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shd w:val="clear" w:color="auto" w:fill="auto"/>
          <w:tblCellMar>
            <w:top w:w="0" w:type="dxa"/>
            <w:left w:w="0" w:type="dxa"/>
            <w:bottom w:w="0" w:type="dxa"/>
            <w:right w:w="0" w:type="dxa"/>
          </w:tblCellMar>
        </w:tblPrEx>
        <w:trPr>
          <w:trHeight w:val="36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5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PrEx>
        <w:trPr>
          <w:trHeight w:val="36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shd w:val="clear" w:color="auto" w:fill="auto"/>
          <w:tblCellMar>
            <w:top w:w="0" w:type="dxa"/>
            <w:left w:w="0" w:type="dxa"/>
            <w:bottom w:w="0" w:type="dxa"/>
            <w:right w:w="0" w:type="dxa"/>
          </w:tblCellMar>
        </w:tblPrEx>
        <w:trPr>
          <w:trHeight w:val="33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5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6131.64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518.74</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457.90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60.84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5612.90</w:t>
            </w:r>
          </w:p>
        </w:tc>
      </w:tr>
      <w:tr>
        <w:tblPrEx>
          <w:shd w:val="clear" w:color="auto" w:fill="auto"/>
          <w:tblCellMar>
            <w:top w:w="0" w:type="dxa"/>
            <w:left w:w="0" w:type="dxa"/>
            <w:bottom w:w="0" w:type="dxa"/>
            <w:right w:w="0" w:type="dxa"/>
          </w:tblCellMar>
        </w:tblPrEx>
        <w:trPr>
          <w:trHeight w:val="33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w:t>
            </w:r>
          </w:p>
        </w:tc>
        <w:tc>
          <w:tcPr>
            <w:tcW w:w="5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一般公共服务支出</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5988.14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375.24</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314.40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60.84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5612.90</w:t>
            </w:r>
          </w:p>
        </w:tc>
      </w:tr>
      <w:tr>
        <w:tblPrEx>
          <w:shd w:val="clear" w:color="auto" w:fill="auto"/>
          <w:tblCellMar>
            <w:top w:w="0" w:type="dxa"/>
            <w:left w:w="0" w:type="dxa"/>
            <w:bottom w:w="0" w:type="dxa"/>
            <w:right w:w="0" w:type="dxa"/>
          </w:tblCellMar>
        </w:tblPrEx>
        <w:trPr>
          <w:trHeight w:val="33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20103</w:t>
            </w:r>
          </w:p>
        </w:tc>
        <w:tc>
          <w:tcPr>
            <w:tcW w:w="5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政府办公厅（室）及相关机构事务</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5988.14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375.24</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314.40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60.84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5612.90</w:t>
            </w:r>
          </w:p>
        </w:tc>
      </w:tr>
      <w:tr>
        <w:tblPrEx>
          <w:shd w:val="clear" w:color="auto" w:fill="auto"/>
          <w:tblCellMar>
            <w:top w:w="0" w:type="dxa"/>
            <w:left w:w="0" w:type="dxa"/>
            <w:bottom w:w="0" w:type="dxa"/>
            <w:right w:w="0" w:type="dxa"/>
          </w:tblCellMar>
        </w:tblPrEx>
        <w:trPr>
          <w:trHeight w:val="33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2010301</w:t>
            </w:r>
          </w:p>
        </w:tc>
        <w:tc>
          <w:tcPr>
            <w:tcW w:w="5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行政运行</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5988.14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375.24</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314.40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60.84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5612.90</w:t>
            </w:r>
          </w:p>
        </w:tc>
      </w:tr>
      <w:tr>
        <w:tblPrEx>
          <w:shd w:val="clear" w:color="auto" w:fill="auto"/>
          <w:tblCellMar>
            <w:top w:w="0" w:type="dxa"/>
            <w:left w:w="0" w:type="dxa"/>
            <w:bottom w:w="0" w:type="dxa"/>
            <w:right w:w="0" w:type="dxa"/>
          </w:tblCellMar>
        </w:tblPrEx>
        <w:trPr>
          <w:trHeight w:val="33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w:t>
            </w:r>
          </w:p>
        </w:tc>
        <w:tc>
          <w:tcPr>
            <w:tcW w:w="5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社会保障和就业支出</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64.80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64.80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64.80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w:t>
            </w:r>
          </w:p>
        </w:tc>
        <w:tc>
          <w:tcPr>
            <w:tcW w:w="5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行政事业单位养老支出</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64.80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64.80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64.80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2080505</w:t>
            </w:r>
          </w:p>
        </w:tc>
        <w:tc>
          <w:tcPr>
            <w:tcW w:w="5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43.20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43.20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43.20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2080506</w:t>
            </w:r>
          </w:p>
        </w:tc>
        <w:tc>
          <w:tcPr>
            <w:tcW w:w="5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机关事业单位职业年金缴费支出</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21.60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21.60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21.60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w:t>
            </w:r>
          </w:p>
        </w:tc>
        <w:tc>
          <w:tcPr>
            <w:tcW w:w="5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卫生健康支出</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45.70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45.70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45.70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w:t>
            </w:r>
          </w:p>
        </w:tc>
        <w:tc>
          <w:tcPr>
            <w:tcW w:w="5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行政事业单位医疗</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45.70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45.70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45.70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2101101</w:t>
            </w:r>
          </w:p>
        </w:tc>
        <w:tc>
          <w:tcPr>
            <w:tcW w:w="5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行政单位医疗</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21.70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21.70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21.70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2101103</w:t>
            </w:r>
          </w:p>
        </w:tc>
        <w:tc>
          <w:tcPr>
            <w:tcW w:w="5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公务员医疗补助</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24.00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w:t>
            </w:r>
          </w:p>
        </w:tc>
        <w:tc>
          <w:tcPr>
            <w:tcW w:w="5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住房保障支出</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w:t>
            </w:r>
          </w:p>
        </w:tc>
        <w:tc>
          <w:tcPr>
            <w:tcW w:w="5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住房改革支出</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2210201</w:t>
            </w:r>
          </w:p>
        </w:tc>
        <w:tc>
          <w:tcPr>
            <w:tcW w:w="5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住房公积金</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4" w:name="_Toc_2_2_0000000006"/>
    </w:p>
    <w:p>
      <w:pPr>
        <w:spacing w:before="0" w:after="0" w:line="240" w:lineRule="auto"/>
        <w:ind w:firstLine="0"/>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部门预算一般公共预算财政拨款基本支出表</w:t>
      </w:r>
      <w:bookmarkEnd w:id="4"/>
    </w:p>
    <w:tbl>
      <w:tblPr>
        <w:tblStyle w:val="8"/>
        <w:tblW w:w="14315" w:type="dxa"/>
        <w:tblInd w:w="0" w:type="dxa"/>
        <w:shd w:val="clear" w:color="auto" w:fill="auto"/>
        <w:tblLayout w:type="fixed"/>
        <w:tblCellMar>
          <w:top w:w="0" w:type="dxa"/>
          <w:left w:w="0" w:type="dxa"/>
          <w:bottom w:w="0" w:type="dxa"/>
          <w:right w:w="0" w:type="dxa"/>
        </w:tblCellMar>
      </w:tblPr>
      <w:tblGrid>
        <w:gridCol w:w="717"/>
        <w:gridCol w:w="1883"/>
        <w:gridCol w:w="4695"/>
        <w:gridCol w:w="2415"/>
        <w:gridCol w:w="2280"/>
        <w:gridCol w:w="2325"/>
      </w:tblGrid>
      <w:tr>
        <w:tblPrEx>
          <w:tblCellMar>
            <w:top w:w="0" w:type="dxa"/>
            <w:left w:w="0" w:type="dxa"/>
            <w:bottom w:w="0" w:type="dxa"/>
            <w:right w:w="0" w:type="dxa"/>
          </w:tblCellMar>
        </w:tblPrEx>
        <w:trPr>
          <w:trHeight w:val="360" w:hRule="atLeast"/>
        </w:trPr>
        <w:tc>
          <w:tcPr>
            <w:tcW w:w="971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预算部门编码及名称：[479]经济开发区管理委员会</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60"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65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支出部门经济分类科目</w:t>
            </w:r>
          </w:p>
        </w:tc>
        <w:tc>
          <w:tcPr>
            <w:tcW w:w="7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一般公共预算基本支出</w:t>
            </w:r>
          </w:p>
        </w:tc>
      </w:tr>
      <w:tr>
        <w:tblPrEx>
          <w:tblCellMar>
            <w:top w:w="0" w:type="dxa"/>
            <w:left w:w="0" w:type="dxa"/>
            <w:bottom w:w="0" w:type="dxa"/>
            <w:right w:w="0" w:type="dxa"/>
          </w:tblCellMar>
        </w:tblPrEx>
        <w:trPr>
          <w:trHeight w:val="36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CellMar>
            <w:top w:w="0" w:type="dxa"/>
            <w:left w:w="0" w:type="dxa"/>
            <w:bottom w:w="0" w:type="dxa"/>
            <w:right w:w="0" w:type="dxa"/>
          </w:tblCellMar>
        </w:tblPrEx>
        <w:trPr>
          <w:trHeight w:val="36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518.74</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457.90</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60.84</w:t>
            </w:r>
          </w:p>
        </w:tc>
      </w:tr>
      <w:tr>
        <w:tblPrEx>
          <w:shd w:val="clear" w:color="auto" w:fill="auto"/>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工资福利支出</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457.20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457.20</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30101</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基本工资</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148.10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148.10</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30102</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津贴补贴</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42.70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42.70</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30103</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奖金</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5.60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5.60</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5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30107</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绩效工资</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78.60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78.60</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30108</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机关事业单位基本养老保险缴费</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43.20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43.20</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30109</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职业年金缴费</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21.60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21.60</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30110</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城镇职工基本医疗保险缴费</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21.70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21.70</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30111</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公务员医疗补助缴费</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24.00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24.00</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30112</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其他社会保障缴费</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2.70</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30113</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住房公积金</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30199</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其他工资福利支出</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36.00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36.00</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商品和服务支出</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60.84</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60.84</w:t>
            </w:r>
          </w:p>
        </w:tc>
      </w:tr>
      <w:tr>
        <w:tblPrEx>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30201</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办公费</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6.03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6.03</w:t>
            </w:r>
          </w:p>
        </w:tc>
      </w:tr>
      <w:tr>
        <w:tblPrEx>
          <w:shd w:val="clear" w:color="auto" w:fill="auto"/>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30202</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印刷费</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1.60</w:t>
            </w:r>
          </w:p>
        </w:tc>
      </w:tr>
      <w:tr>
        <w:tblPrEx>
          <w:shd w:val="clear" w:color="auto" w:fill="auto"/>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30206</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电费</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1.50</w:t>
            </w:r>
          </w:p>
        </w:tc>
      </w:tr>
      <w:tr>
        <w:tblPrEx>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30207</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邮电费</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2.46</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2.46</w:t>
            </w:r>
          </w:p>
        </w:tc>
      </w:tr>
      <w:tr>
        <w:tblPrEx>
          <w:shd w:val="clear" w:color="auto" w:fill="auto"/>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30208</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取暖费</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29.81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29.81</w:t>
            </w:r>
          </w:p>
        </w:tc>
      </w:tr>
      <w:tr>
        <w:tblPrEx>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30211</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差旅费</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30215</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会议费</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30216</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培训费</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30217</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公务接待费</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30239</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其他交通费用</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8.64</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8.64</w:t>
            </w:r>
          </w:p>
        </w:tc>
      </w:tr>
      <w:tr>
        <w:tblPrEx>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30299</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其他商品和服务支出</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6.80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6.80</w:t>
            </w:r>
          </w:p>
        </w:tc>
      </w:tr>
      <w:tr>
        <w:tblPrEx>
          <w:shd w:val="clear" w:color="auto" w:fill="auto"/>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303</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对个人和家庭的补助</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0.70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0.70</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30309</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奖励金</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0.70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0.70</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bookmarkStart w:id="5" w:name="_Toc_2_2_0000000007"/>
      <w:r>
        <w:rPr>
          <w:rFonts w:ascii="方正小标宋_GBK" w:hAnsi="方正小标宋_GBK" w:eastAsia="方正小标宋_GBK" w:cs="方正小标宋_GBK"/>
          <w:color w:val="000000"/>
          <w:sz w:val="36"/>
        </w:rPr>
        <w:t>部门预算政府基金预算财政拨款支出表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479经济开发区管理委员会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6" w:name="_Toc_2_2_0000000008"/>
      <w:r>
        <w:rPr>
          <w:rFonts w:ascii="方正小标宋_GBK" w:hAnsi="方正小标宋_GBK" w:eastAsia="方正小标宋_GBK" w:cs="方正小标宋_GBK"/>
          <w:color w:val="000000"/>
          <w:sz w:val="36"/>
        </w:rPr>
        <w:t>部门预算国有资本经营预算财政拨款支出表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479经济开发区管理委员会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7" w:name="_Toc_2_2_0000000009"/>
      <w:r>
        <w:rPr>
          <w:rFonts w:ascii="方正小标宋_GBK" w:hAnsi="方正小标宋_GBK" w:eastAsia="方正小标宋_GBK" w:cs="方正小标宋_GBK"/>
          <w:color w:val="000000"/>
          <w:sz w:val="36"/>
        </w:rPr>
        <w:t>部门预算财政拨款“三公”经费支出表</w:t>
      </w:r>
      <w:bookmarkEnd w:id="7"/>
    </w:p>
    <w:tbl>
      <w:tblPr>
        <w:tblStyle w:val="8"/>
        <w:tblW w:w="13740" w:type="dxa"/>
        <w:tblInd w:w="0" w:type="dxa"/>
        <w:shd w:val="clear" w:color="auto" w:fill="auto"/>
        <w:tblLayout w:type="autofit"/>
        <w:tblCellMar>
          <w:top w:w="0" w:type="dxa"/>
          <w:left w:w="0" w:type="dxa"/>
          <w:bottom w:w="0" w:type="dxa"/>
          <w:right w:w="0" w:type="dxa"/>
        </w:tblCellMar>
      </w:tblPr>
      <w:tblGrid>
        <w:gridCol w:w="573"/>
        <w:gridCol w:w="4838"/>
        <w:gridCol w:w="648"/>
        <w:gridCol w:w="2718"/>
        <w:gridCol w:w="2595"/>
        <w:gridCol w:w="2670"/>
      </w:tblGrid>
      <w:tr>
        <w:tblPrEx>
          <w:shd w:val="clear" w:color="auto" w:fill="auto"/>
          <w:tblCellMar>
            <w:top w:w="0" w:type="dxa"/>
            <w:left w:w="0" w:type="dxa"/>
            <w:bottom w:w="0" w:type="dxa"/>
            <w:right w:w="0" w:type="dxa"/>
          </w:tblCellMar>
        </w:tblPrEx>
        <w:trPr>
          <w:trHeight w:val="360" w:hRule="atLeast"/>
        </w:trPr>
        <w:tc>
          <w:tcPr>
            <w:tcW w:w="87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预算部门编码及名称：[479]经济开发区管理委员会</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shd w:val="clear" w:color="auto" w:fill="auto"/>
          <w:tblCellMar>
            <w:top w:w="0" w:type="dxa"/>
            <w:left w:w="0" w:type="dxa"/>
            <w:bottom w:w="0" w:type="dxa"/>
            <w:right w:w="0"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资金性质</w:t>
            </w:r>
          </w:p>
        </w:tc>
      </w:tr>
      <w:tr>
        <w:tblPrEx>
          <w:shd w:val="clear" w:color="auto" w:fill="auto"/>
          <w:tblCellMar>
            <w:top w:w="0" w:type="dxa"/>
            <w:left w:w="0" w:type="dxa"/>
            <w:bottom w:w="0" w:type="dxa"/>
            <w:right w:w="0"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tblPrEx>
          <w:shd w:val="clear" w:color="auto" w:fill="auto"/>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lang w:val="en-US" w:eastAsia="zh-CN"/>
              </w:rPr>
            </w:pPr>
            <w:r>
              <w:rPr>
                <w:rFonts w:hint="eastAsia" w:ascii="Calibri" w:hAnsi="Calibri" w:eastAsia="宋体" w:cs="Calibri"/>
                <w:i w:val="0"/>
                <w:color w:val="000000"/>
                <w:sz w:val="22"/>
                <w:szCs w:val="22"/>
                <w:u w:val="none"/>
                <w:lang w:val="en-US" w:eastAsia="zh-CN"/>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lang w:val="en-US" w:eastAsia="zh-CN"/>
              </w:rPr>
            </w:pPr>
            <w:r>
              <w:rPr>
                <w:rFonts w:hint="eastAsia" w:ascii="Calibri" w:hAnsi="Calibri" w:eastAsia="宋体" w:cs="Calibri"/>
                <w:i w:val="0"/>
                <w:color w:val="000000"/>
                <w:sz w:val="22"/>
                <w:szCs w:val="22"/>
                <w:u w:val="none"/>
                <w:lang w:val="en-US" w:eastAsia="zh-CN"/>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“三公”经费小计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lang w:val="en-US" w:eastAsia="zh-CN"/>
              </w:rPr>
            </w:pPr>
            <w:r>
              <w:rPr>
                <w:rFonts w:hint="eastAsia" w:ascii="Calibri" w:hAnsi="Calibri" w:eastAsia="宋体" w:cs="Calibri"/>
                <w:i w:val="0"/>
                <w:color w:val="000000"/>
                <w:sz w:val="22"/>
                <w:szCs w:val="22"/>
                <w:u w:val="none"/>
                <w:lang w:val="en-US" w:eastAsia="zh-CN"/>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lang w:val="en-US" w:eastAsia="zh-CN"/>
              </w:rPr>
            </w:pPr>
            <w:r>
              <w:rPr>
                <w:rFonts w:hint="eastAsia" w:ascii="Calibri" w:hAnsi="Calibri" w:eastAsia="宋体" w:cs="Calibri"/>
                <w:i w:val="0"/>
                <w:color w:val="000000"/>
                <w:sz w:val="22"/>
                <w:szCs w:val="22"/>
                <w:u w:val="none"/>
                <w:lang w:val="en-US" w:eastAsia="zh-CN"/>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both"/>
              <w:rPr>
                <w:rFonts w:hint="eastAsia" w:ascii="Calibri" w:hAnsi="Calibri" w:eastAsia="宋体" w:cs="Calibri"/>
                <w:i w:val="0"/>
                <w:color w:val="000000"/>
                <w:sz w:val="22"/>
                <w:szCs w:val="22"/>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Calibri" w:hAnsi="Calibri" w:eastAsia="宋体" w:cs="Calibri"/>
                <w:i w:val="0"/>
                <w:color w:val="000000"/>
                <w:sz w:val="22"/>
                <w:szCs w:val="22"/>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    其中：教学科研人员因公出国（境）费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          其他因公出国（境）费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lang w:val="en-US" w:eastAsia="zh-CN"/>
              </w:rPr>
            </w:pPr>
            <w:r>
              <w:rPr>
                <w:rFonts w:hint="eastAsia" w:ascii="Calibri" w:hAnsi="Calibri" w:eastAsia="宋体" w:cs="Calibri"/>
                <w:i w:val="0"/>
                <w:color w:val="000000"/>
                <w:sz w:val="22"/>
                <w:szCs w:val="22"/>
                <w:u w:val="none"/>
                <w:lang w:val="en-US" w:eastAsia="zh-CN"/>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lang w:val="en-US" w:eastAsia="zh-CN"/>
              </w:rPr>
            </w:pPr>
            <w:r>
              <w:rPr>
                <w:rFonts w:hint="eastAsia" w:ascii="Calibri" w:hAnsi="Calibri" w:eastAsia="宋体" w:cs="Calibri"/>
                <w:i w:val="0"/>
                <w:color w:val="000000"/>
                <w:sz w:val="22"/>
                <w:szCs w:val="22"/>
                <w:u w:val="none"/>
                <w:lang w:val="en-US" w:eastAsia="zh-CN"/>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Pr>
        <w:spacing w:before="0" w:after="0" w:line="240" w:lineRule="auto"/>
        <w:ind w:firstLine="0"/>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经济开发区管理委员会2022年部门预算信息公开情况说明</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44"/>
          <w:lang w:val="en-US" w:eastAsia="zh-CN"/>
        </w:rPr>
        <w:t>河北乐亭</w:t>
      </w:r>
      <w:r>
        <w:rPr>
          <w:rFonts w:ascii="方正小标宋_GBK" w:hAnsi="方正小标宋_GBK" w:eastAsia="方正小标宋_GBK" w:cs="方正小标宋_GBK"/>
          <w:color w:val="000000"/>
          <w:sz w:val="44"/>
        </w:rPr>
        <w:t>经济开发区管理委员会2022年部门预算信息公开情况说明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ascii="Times New Roman" w:hAnsi="Times New Roman" w:eastAsia="方正仿宋_GBK" w:cs="Times New Roman"/>
          <w:b w:val="0"/>
          <w:color w:val="000000"/>
          <w:sz w:val="28"/>
        </w:rPr>
        <w:t>《</w:t>
      </w:r>
      <w:r>
        <w:rPr>
          <w:rFonts w:hint="eastAsia" w:ascii="Times New Roman" w:hAnsi="Times New Roman" w:eastAsia="方正仿宋_GBK" w:cs="Times New Roman"/>
          <w:b w:val="0"/>
          <w:color w:val="000000"/>
          <w:sz w:val="28"/>
        </w:rPr>
        <w:t>中华人民共和国</w:t>
      </w:r>
      <w:r>
        <w:rPr>
          <w:rFonts w:ascii="Times New Roman" w:hAnsi="Times New Roman" w:eastAsia="方正仿宋_GBK" w:cs="Times New Roman"/>
          <w:b w:val="0"/>
          <w:color w:val="000000"/>
          <w:sz w:val="28"/>
        </w:rPr>
        <w:t>预算法》</w:t>
      </w:r>
      <w:r>
        <w:rPr>
          <w:rFonts w:ascii="Times New Roman" w:hAnsi="Times New Roman" w:eastAsia="方正仿宋_GBK" w:cs="Times New Roman"/>
          <w:color w:val="000000"/>
          <w:sz w:val="28"/>
        </w:rPr>
        <w:t>、《地方预决算公开操作规程》和《关于进一步推进预算公开工作的实施意见》规定，现将经济开发区管理委员会2022年部门预算公开如下：</w:t>
      </w:r>
    </w:p>
    <w:p>
      <w:pPr>
        <w:spacing w:before="10" w:after="10" w:line="360" w:lineRule="auto"/>
        <w:ind w:firstLine="640"/>
        <w:jc w:val="left"/>
        <w:outlineLvl w:val="2"/>
      </w:pPr>
      <w:bookmarkStart w:id="8" w:name="_Toc_3_3_0000000010"/>
      <w:r>
        <w:rPr>
          <w:rFonts w:ascii="黑体" w:hAnsi="黑体" w:eastAsia="黑体" w:cs="黑体"/>
          <w:color w:val="000000"/>
          <w:sz w:val="32"/>
        </w:rPr>
        <w:t>一、部门职责及机构设置情况</w:t>
      </w:r>
      <w:bookmarkEnd w:id="8"/>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1、编制开发区发展建设总体规划和经济、社会发展计划，经县政府批准后执行。</w:t>
      </w:r>
    </w:p>
    <w:p>
      <w:pPr>
        <w:pStyle w:val="18"/>
      </w:pPr>
      <w:r>
        <w:t>2、在县政府授权范围内，制订开发区建设的有关规定和管理办法，并组织实施。</w:t>
      </w:r>
    </w:p>
    <w:p>
      <w:pPr>
        <w:pStyle w:val="18"/>
      </w:pPr>
      <w:r>
        <w:t>3、管理开发区内的对外开放事务，承办涉外事务，负责开发区内设立外商投资企业的报批。</w:t>
      </w:r>
    </w:p>
    <w:p>
      <w:pPr>
        <w:pStyle w:val="18"/>
      </w:pPr>
      <w:r>
        <w:t>4、管理开发区内的行政事务和精神文明建设。</w:t>
      </w:r>
    </w:p>
    <w:p>
      <w:pPr>
        <w:pStyle w:val="18"/>
      </w:pPr>
      <w:r>
        <w:t>5、负责开发区资金、技术、人才的引进，并严格按规定审核申报开发区的投资项目。</w:t>
      </w:r>
    </w:p>
    <w:p>
      <w:pPr>
        <w:pStyle w:val="18"/>
      </w:pPr>
      <w:r>
        <w:t>6、按开发区建设规划对开发区的土地依据有关规定进行统一管理和配置；负责开发区内项目报建的核准工作。</w:t>
      </w:r>
    </w:p>
    <w:p>
      <w:pPr>
        <w:pStyle w:val="18"/>
      </w:pPr>
      <w:r>
        <w:t>7、统一组织落实开发区内征地拆迁、人口转移和劳动力安置事宜。</w:t>
      </w:r>
    </w:p>
    <w:p>
      <w:pPr>
        <w:pStyle w:val="18"/>
      </w:pPr>
      <w:r>
        <w:t>8、负责兴建和管理开发区内供水、供电、道路等基础设施，兴办兴办相应的社会公益事业。</w:t>
      </w:r>
    </w:p>
    <w:p>
      <w:pPr>
        <w:pStyle w:val="18"/>
      </w:pPr>
      <w:r>
        <w:t>9、根据县政府授权，在开发区行使封闭式管理的各项职权。</w:t>
      </w:r>
    </w:p>
    <w:p>
      <w:pPr>
        <w:pStyle w:val="18"/>
      </w:pPr>
      <w:r>
        <w:t>10、负责开发区环境保护、改善和治理工作。</w:t>
      </w:r>
    </w:p>
    <w:p>
      <w:pPr>
        <w:pStyle w:val="18"/>
      </w:pPr>
      <w:r>
        <w:t>11、完成县委、县政府交办的其他任务。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4"/>
            </w:pPr>
            <w:r>
              <w:rPr>
                <w:rFonts w:hint="eastAsia"/>
                <w:lang w:eastAsia="zh-CN"/>
              </w:rPr>
              <w:t>部门</w:t>
            </w:r>
            <w:r>
              <w:t>名称</w:t>
            </w:r>
          </w:p>
        </w:tc>
        <w:tc>
          <w:tcPr>
            <w:tcW w:w="2464" w:type="dxa"/>
            <w:vAlign w:val="center"/>
          </w:tcPr>
          <w:p>
            <w:pPr>
              <w:pStyle w:val="14"/>
            </w:pPr>
            <w:r>
              <w:rPr>
                <w:rFonts w:hint="eastAsia"/>
                <w:lang w:eastAsia="zh-CN"/>
              </w:rPr>
              <w:t>部门</w:t>
            </w:r>
            <w:r>
              <w:t>性质</w:t>
            </w:r>
          </w:p>
        </w:tc>
        <w:tc>
          <w:tcPr>
            <w:tcW w:w="2464" w:type="dxa"/>
            <w:vAlign w:val="center"/>
          </w:tcPr>
          <w:p>
            <w:pPr>
              <w:pStyle w:val="14"/>
            </w:pPr>
            <w:r>
              <w:rPr>
                <w:rFonts w:hint="eastAsia"/>
                <w:lang w:eastAsia="zh-CN"/>
              </w:rPr>
              <w:t>部门</w:t>
            </w:r>
            <w:r>
              <w:t>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6"/>
            </w:pPr>
            <w:r>
              <w:rPr>
                <w:rFonts w:hint="eastAsia"/>
              </w:rPr>
              <w:t>办  公  室</w:t>
            </w:r>
          </w:p>
        </w:tc>
        <w:tc>
          <w:tcPr>
            <w:tcW w:w="2464" w:type="dxa"/>
            <w:vAlign w:val="center"/>
          </w:tcPr>
          <w:p>
            <w:pPr>
              <w:pStyle w:val="17"/>
            </w:pPr>
            <w:r>
              <w:t>行政</w:t>
            </w:r>
          </w:p>
        </w:tc>
        <w:tc>
          <w:tcPr>
            <w:tcW w:w="2464" w:type="dxa"/>
            <w:vAlign w:val="center"/>
          </w:tcPr>
          <w:p>
            <w:pPr>
              <w:pStyle w:val="17"/>
            </w:pPr>
            <w:r>
              <w:rPr>
                <w:rFonts w:hint="eastAsia"/>
              </w:rPr>
              <w:t>副科</w:t>
            </w:r>
          </w:p>
        </w:tc>
        <w:tc>
          <w:tcPr>
            <w:tcW w:w="2464"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7"/>
              <w:jc w:val="both"/>
              <w:rPr>
                <w:rFonts w:hint="eastAsia"/>
              </w:rPr>
            </w:pPr>
            <w:r>
              <w:rPr>
                <w:rFonts w:hint="eastAsia"/>
              </w:rPr>
              <w:t>规划建设局</w:t>
            </w:r>
          </w:p>
        </w:tc>
        <w:tc>
          <w:tcPr>
            <w:tcW w:w="2464" w:type="dxa"/>
            <w:vAlign w:val="center"/>
          </w:tcPr>
          <w:p>
            <w:pPr>
              <w:pStyle w:val="17"/>
              <w:rPr>
                <w:rFonts w:hint="eastAsia"/>
              </w:rPr>
            </w:pPr>
            <w:r>
              <w:rPr>
                <w:rFonts w:hint="eastAsia"/>
              </w:rPr>
              <w:t>行政</w:t>
            </w:r>
          </w:p>
        </w:tc>
        <w:tc>
          <w:tcPr>
            <w:tcW w:w="2464" w:type="dxa"/>
            <w:vAlign w:val="center"/>
          </w:tcPr>
          <w:p>
            <w:pPr>
              <w:pStyle w:val="17"/>
            </w:pPr>
            <w:r>
              <w:rPr>
                <w:rFonts w:hint="eastAsia"/>
              </w:rPr>
              <w:t>副科</w:t>
            </w:r>
          </w:p>
        </w:tc>
        <w:tc>
          <w:tcPr>
            <w:tcW w:w="2464"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7"/>
              <w:jc w:val="both"/>
              <w:rPr>
                <w:rFonts w:hint="eastAsia"/>
              </w:rPr>
            </w:pPr>
            <w:r>
              <w:rPr>
                <w:rFonts w:hint="eastAsia"/>
              </w:rPr>
              <w:t>招商投资局</w:t>
            </w:r>
          </w:p>
        </w:tc>
        <w:tc>
          <w:tcPr>
            <w:tcW w:w="2464" w:type="dxa"/>
            <w:vAlign w:val="center"/>
          </w:tcPr>
          <w:p>
            <w:pPr>
              <w:pStyle w:val="17"/>
              <w:rPr>
                <w:rFonts w:hint="eastAsia"/>
              </w:rPr>
            </w:pPr>
            <w:r>
              <w:rPr>
                <w:rFonts w:hint="eastAsia"/>
              </w:rPr>
              <w:t>行政</w:t>
            </w:r>
          </w:p>
        </w:tc>
        <w:tc>
          <w:tcPr>
            <w:tcW w:w="2464" w:type="dxa"/>
            <w:vAlign w:val="center"/>
          </w:tcPr>
          <w:p>
            <w:pPr>
              <w:pStyle w:val="17"/>
            </w:pPr>
            <w:r>
              <w:rPr>
                <w:rFonts w:hint="eastAsia"/>
              </w:rPr>
              <w:t>副科</w:t>
            </w:r>
          </w:p>
        </w:tc>
        <w:tc>
          <w:tcPr>
            <w:tcW w:w="2464"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7"/>
              <w:jc w:val="both"/>
              <w:rPr>
                <w:rFonts w:hint="eastAsia"/>
              </w:rPr>
            </w:pPr>
            <w:r>
              <w:rPr>
                <w:rFonts w:hint="eastAsia"/>
              </w:rPr>
              <w:t>财  政  局</w:t>
            </w:r>
          </w:p>
        </w:tc>
        <w:tc>
          <w:tcPr>
            <w:tcW w:w="2464" w:type="dxa"/>
            <w:vAlign w:val="center"/>
          </w:tcPr>
          <w:p>
            <w:pPr>
              <w:pStyle w:val="17"/>
              <w:rPr>
                <w:rFonts w:hint="eastAsia"/>
              </w:rPr>
            </w:pPr>
            <w:r>
              <w:rPr>
                <w:rFonts w:hint="eastAsia"/>
              </w:rPr>
              <w:t>行政</w:t>
            </w:r>
          </w:p>
        </w:tc>
        <w:tc>
          <w:tcPr>
            <w:tcW w:w="2464" w:type="dxa"/>
            <w:vAlign w:val="center"/>
          </w:tcPr>
          <w:p>
            <w:pPr>
              <w:pStyle w:val="17"/>
            </w:pPr>
            <w:r>
              <w:rPr>
                <w:rFonts w:hint="eastAsia"/>
              </w:rPr>
              <w:t>副科</w:t>
            </w:r>
          </w:p>
        </w:tc>
        <w:tc>
          <w:tcPr>
            <w:tcW w:w="2464"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7"/>
              <w:jc w:val="both"/>
              <w:rPr>
                <w:rFonts w:hint="eastAsia"/>
              </w:rPr>
            </w:pPr>
            <w:r>
              <w:rPr>
                <w:rFonts w:hint="eastAsia"/>
              </w:rPr>
              <w:t>投资服务中心</w:t>
            </w:r>
          </w:p>
        </w:tc>
        <w:tc>
          <w:tcPr>
            <w:tcW w:w="2464" w:type="dxa"/>
            <w:vAlign w:val="center"/>
          </w:tcPr>
          <w:p>
            <w:pPr>
              <w:pStyle w:val="17"/>
              <w:rPr>
                <w:rFonts w:hint="eastAsia"/>
              </w:rPr>
            </w:pPr>
            <w:r>
              <w:rPr>
                <w:rFonts w:hint="eastAsia"/>
              </w:rPr>
              <w:t>事业</w:t>
            </w:r>
          </w:p>
        </w:tc>
        <w:tc>
          <w:tcPr>
            <w:tcW w:w="2464" w:type="dxa"/>
            <w:vAlign w:val="center"/>
          </w:tcPr>
          <w:p>
            <w:pPr>
              <w:pStyle w:val="17"/>
            </w:pPr>
            <w:r>
              <w:rPr>
                <w:rFonts w:hint="eastAsia"/>
              </w:rPr>
              <w:t>副科</w:t>
            </w:r>
          </w:p>
        </w:tc>
        <w:tc>
          <w:tcPr>
            <w:tcW w:w="2464"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7"/>
              <w:jc w:val="both"/>
              <w:rPr>
                <w:rFonts w:hint="eastAsia"/>
              </w:rPr>
            </w:pPr>
            <w:r>
              <w:rPr>
                <w:rFonts w:hint="eastAsia"/>
              </w:rPr>
              <w:t>市政建设服务</w:t>
            </w:r>
          </w:p>
        </w:tc>
        <w:tc>
          <w:tcPr>
            <w:tcW w:w="2464" w:type="dxa"/>
            <w:vAlign w:val="center"/>
          </w:tcPr>
          <w:p>
            <w:pPr>
              <w:pStyle w:val="17"/>
              <w:rPr>
                <w:rFonts w:hint="eastAsia"/>
              </w:rPr>
            </w:pPr>
            <w:r>
              <w:rPr>
                <w:rFonts w:hint="eastAsia"/>
              </w:rPr>
              <w:t>事业</w:t>
            </w:r>
          </w:p>
        </w:tc>
        <w:tc>
          <w:tcPr>
            <w:tcW w:w="2464" w:type="dxa"/>
            <w:vAlign w:val="center"/>
          </w:tcPr>
          <w:p>
            <w:pPr>
              <w:pStyle w:val="17"/>
            </w:pPr>
            <w:r>
              <w:rPr>
                <w:rFonts w:hint="eastAsia"/>
              </w:rPr>
              <w:t>副科</w:t>
            </w:r>
          </w:p>
        </w:tc>
        <w:tc>
          <w:tcPr>
            <w:tcW w:w="2464" w:type="dxa"/>
            <w:vAlign w:val="center"/>
          </w:tcPr>
          <w:p>
            <w:pPr>
              <w:pStyle w:val="17"/>
            </w:pPr>
            <w:r>
              <w:t>财政拨款</w:t>
            </w:r>
          </w:p>
        </w:tc>
      </w:tr>
    </w:tbl>
    <w:p>
      <w:pPr>
        <w:spacing w:before="10" w:after="10" w:line="360" w:lineRule="auto"/>
        <w:ind w:firstLine="640"/>
        <w:jc w:val="left"/>
        <w:outlineLvl w:val="2"/>
      </w:pPr>
      <w:bookmarkStart w:id="9" w:name="_Toc_3_3_0000000011"/>
      <w:r>
        <w:rPr>
          <w:rFonts w:ascii="黑体" w:hAnsi="黑体" w:eastAsia="黑体" w:cs="黑体"/>
          <w:color w:val="000000"/>
          <w:sz w:val="32"/>
        </w:rPr>
        <w:t>二、部门预算安排的总体情况</w:t>
      </w:r>
      <w:bookmarkEnd w:id="9"/>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按照预算管理有关规定，目前我省部门预算的编制实行综合预算管理，即全部收入和支出都反映在预算中。经济开发区管理委员会机关及所属事业</w:t>
      </w:r>
      <w:r>
        <w:rPr>
          <w:rFonts w:hint="eastAsia" w:eastAsia="方正仿宋_GBK" w:cs="Times New Roman"/>
          <w:color w:val="000000"/>
          <w:sz w:val="28"/>
          <w:lang w:eastAsia="zh-CN"/>
        </w:rPr>
        <w:t>部门</w:t>
      </w:r>
      <w:r>
        <w:rPr>
          <w:rFonts w:ascii="Times New Roman" w:hAnsi="Times New Roman" w:eastAsia="方正仿宋_GBK" w:cs="Times New Roman"/>
          <w:color w:val="000000"/>
          <w:sz w:val="28"/>
        </w:rPr>
        <w:t>的收支包含在部门预算中。</w:t>
      </w:r>
    </w:p>
    <w:p>
      <w:pPr>
        <w:pStyle w:val="19"/>
      </w:pPr>
      <w:r>
        <w:t>（一）收入说明</w:t>
      </w:r>
    </w:p>
    <w:p>
      <w:pPr>
        <w:pStyle w:val="19"/>
      </w:pPr>
      <w:r>
        <w:t>本年度预算收入6131.64万元，全部为一般公共预算收入。</w:t>
      </w:r>
    </w:p>
    <w:p>
      <w:pPr>
        <w:pStyle w:val="19"/>
      </w:pPr>
      <w:r>
        <w:t>（二）支出说明</w:t>
      </w:r>
    </w:p>
    <w:p>
      <w:pPr>
        <w:pStyle w:val="19"/>
      </w:pPr>
      <w:r>
        <w:t>本年度预算支出6131.64万元，支出来源为一般公共预算拨款。其中基本支出518.74万元，包括人员经费457.9万元和日常公用经费60.84万元；项目经费5612.9万元。</w:t>
      </w:r>
    </w:p>
    <w:p>
      <w:pPr>
        <w:pStyle w:val="27"/>
        <w:numPr>
          <w:ilvl w:val="0"/>
          <w:numId w:val="1"/>
        </w:numPr>
        <w:rPr>
          <w:rFonts w:hint="eastAsia"/>
          <w:lang w:val="en-US" w:eastAsia="zh-CN"/>
        </w:rPr>
      </w:pPr>
      <w:r>
        <w:rPr>
          <w:rFonts w:hint="eastAsia"/>
          <w:lang w:val="en-US" w:eastAsia="zh-CN"/>
        </w:rPr>
        <w:t>主要项目</w:t>
      </w:r>
    </w:p>
    <w:p>
      <w:pPr>
        <w:pStyle w:val="27"/>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rPr>
          <w:rFonts w:hint="eastAsia" w:eastAsia="方正仿宋_GBK"/>
          <w:lang w:val="en-US" w:eastAsia="zh-CN"/>
        </w:rPr>
      </w:pPr>
      <w:r>
        <w:t>安全生产费用</w:t>
      </w:r>
      <w:r>
        <w:rPr>
          <w:rFonts w:hint="eastAsia"/>
          <w:lang w:eastAsia="zh-CN"/>
        </w:rPr>
        <w:t>、</w:t>
      </w:r>
      <w:r>
        <w:t>搬迁费</w:t>
      </w:r>
      <w:r>
        <w:rPr>
          <w:rFonts w:hint="eastAsia"/>
          <w:lang w:eastAsia="zh-CN"/>
        </w:rPr>
        <w:t>、</w:t>
      </w:r>
      <w:r>
        <w:t>绩效奖金</w:t>
      </w:r>
      <w:r>
        <w:rPr>
          <w:rFonts w:hint="eastAsia"/>
          <w:lang w:eastAsia="zh-CN"/>
        </w:rPr>
        <w:t>、</w:t>
      </w:r>
      <w:r>
        <w:t>开发区大气污染治理“一园一策”费用</w:t>
      </w:r>
      <w:r>
        <w:rPr>
          <w:rFonts w:hint="eastAsia"/>
          <w:lang w:eastAsia="zh-CN"/>
        </w:rPr>
        <w:t>、</w:t>
      </w:r>
      <w:r>
        <w:t>空气监测站运营维护费</w:t>
      </w:r>
      <w:r>
        <w:rPr>
          <w:rFonts w:hint="eastAsia"/>
          <w:lang w:eastAsia="zh-CN"/>
        </w:rPr>
        <w:t>、</w:t>
      </w:r>
      <w:r>
        <w:t>路灯维护维修费</w:t>
      </w:r>
      <w:r>
        <w:rPr>
          <w:rFonts w:hint="eastAsia"/>
          <w:lang w:eastAsia="zh-CN"/>
        </w:rPr>
        <w:t>、</w:t>
      </w:r>
      <w:r>
        <w:t>律师服务费</w:t>
      </w:r>
      <w:r>
        <w:rPr>
          <w:rFonts w:hint="eastAsia"/>
          <w:lang w:eastAsia="zh-CN"/>
        </w:rPr>
        <w:t>、</w:t>
      </w:r>
      <w:r>
        <w:t>企业服务费用</w:t>
      </w:r>
      <w:r>
        <w:rPr>
          <w:rFonts w:hint="eastAsia"/>
          <w:lang w:eastAsia="zh-CN"/>
        </w:rPr>
        <w:t>、</w:t>
      </w:r>
      <w:r>
        <w:t>外宣经费</w:t>
      </w:r>
      <w:r>
        <w:rPr>
          <w:rFonts w:hint="eastAsia"/>
          <w:lang w:eastAsia="zh-CN"/>
        </w:rPr>
        <w:t>、</w:t>
      </w:r>
      <w:r>
        <w:t>招商经费</w:t>
      </w:r>
      <w:r>
        <w:rPr>
          <w:rFonts w:hint="eastAsia"/>
          <w:lang w:eastAsia="zh-CN"/>
        </w:rPr>
        <w:t>、</w:t>
      </w:r>
      <w:r>
        <w:t>城市维护费</w:t>
      </w:r>
      <w:r>
        <w:rPr>
          <w:rFonts w:hint="eastAsia"/>
          <w:lang w:eastAsia="zh-CN"/>
        </w:rPr>
        <w:t>、</w:t>
      </w:r>
      <w:r>
        <w:t>规划环评编制费</w:t>
      </w:r>
      <w:r>
        <w:rPr>
          <w:rFonts w:hint="eastAsia"/>
          <w:lang w:eastAsia="zh-CN"/>
        </w:rPr>
        <w:t>、</w:t>
      </w:r>
      <w:r>
        <w:t>近岸海域环境功能功能区划调整项目费用</w:t>
      </w:r>
      <w:r>
        <w:rPr>
          <w:rFonts w:hint="eastAsia"/>
          <w:lang w:eastAsia="zh-CN"/>
        </w:rPr>
        <w:t>、</w:t>
      </w:r>
      <w:r>
        <w:t>污水处理厂运营补贴</w:t>
      </w:r>
      <w:r>
        <w:rPr>
          <w:rFonts w:hint="eastAsia"/>
          <w:lang w:eastAsia="zh-CN"/>
        </w:rPr>
        <w:t>。</w:t>
      </w:r>
    </w:p>
    <w:p>
      <w:pPr>
        <w:pStyle w:val="27"/>
      </w:pPr>
      <w:r>
        <w:t>（</w:t>
      </w:r>
      <w:r>
        <w:rPr>
          <w:rFonts w:hint="eastAsia"/>
          <w:lang w:eastAsia="zh-CN"/>
        </w:rPr>
        <w:t>四</w:t>
      </w:r>
      <w:r>
        <w:t>）比上年增减情况</w:t>
      </w:r>
    </w:p>
    <w:p>
      <w:pPr>
        <w:pStyle w:val="19"/>
      </w:pPr>
      <w:r>
        <w:t>本年度预算支出较上年增加909.27万元，其中人员经费减少16.26万元，原因为在岗人员减少；日常公用经费增加0.97万元，主要是因为在职人员减少导致各项费用整体减少，同时租车费用增加；项目支出增加926.5万元，其中：1、专项公用增加926.5万元，原因是增加城市维护费100万元、搬迁费80万元、开发区大气污染治理“一园一策”费用21万元、规划环评编制费245万元、安全生产20.5万元、绩效奖金221万元、律师服务费100万元、近岸海域环境功能区划调整149万元、空气监测站等15万元，减少拆迁费用25万元。2、专项项目与上年持平。</w:t>
      </w:r>
    </w:p>
    <w:p>
      <w:pPr>
        <w:spacing w:before="10" w:after="10" w:line="360" w:lineRule="auto"/>
        <w:ind w:firstLine="640"/>
        <w:jc w:val="left"/>
        <w:outlineLvl w:val="2"/>
      </w:pPr>
      <w:bookmarkStart w:id="10" w:name="_Toc_3_3_0000000012"/>
      <w:r>
        <w:rPr>
          <w:rFonts w:ascii="黑体" w:hAnsi="黑体" w:eastAsia="黑体" w:cs="黑体"/>
          <w:color w:val="000000"/>
          <w:sz w:val="32"/>
        </w:rPr>
        <w:t>三、机关运行经费安排情况</w:t>
      </w:r>
      <w:bookmarkEnd w:id="10"/>
    </w:p>
    <w:p>
      <w:pPr>
        <w:pStyle w:val="20"/>
      </w:pPr>
      <w:r>
        <w:t>机关运行经费共计安排60.84万元，主要用于办公费、印刷费、电费、取暖费、邮电费、差旅费、会议费、培训费、招待费、公车运行维护费、其他交通费用、人脸识别费用等，比上年经费增加0.97万元，主要是因为在职人员减少导致各项费用整体减少，同时租车费用增加。</w:t>
      </w:r>
    </w:p>
    <w:p>
      <w:pPr>
        <w:spacing w:before="10" w:after="10" w:line="360" w:lineRule="auto"/>
        <w:ind w:firstLine="640"/>
        <w:jc w:val="left"/>
        <w:outlineLvl w:val="2"/>
      </w:pPr>
      <w:bookmarkStart w:id="11" w:name="_Toc_3_3_0000000013"/>
      <w:r>
        <w:rPr>
          <w:rFonts w:ascii="黑体" w:hAnsi="黑体" w:eastAsia="黑体" w:cs="黑体"/>
          <w:color w:val="000000"/>
          <w:sz w:val="32"/>
        </w:rPr>
        <w:t>四、财政拨款“三公”经费预算情况及增减变化原因</w:t>
      </w:r>
      <w:bookmarkEnd w:id="11"/>
    </w:p>
    <w:p>
      <w:pPr>
        <w:pStyle w:val="21"/>
      </w:pPr>
      <w:r>
        <w:t>我</w:t>
      </w:r>
      <w:r>
        <w:rPr>
          <w:rFonts w:hint="eastAsia"/>
          <w:lang w:eastAsia="zh-CN"/>
        </w:rPr>
        <w:t>部门</w:t>
      </w:r>
      <w:r>
        <w:t>“三公”经费预算安排27.84万元，较去年减少2.83万元,具体安排情况如下：</w:t>
      </w:r>
    </w:p>
    <w:p>
      <w:pPr>
        <w:pStyle w:val="21"/>
      </w:pPr>
      <w:r>
        <w:t>（一）公务用车购置及运行费。共计安排7.6万元，较上年预算减少1.24万元。</w:t>
      </w:r>
    </w:p>
    <w:p>
      <w:pPr>
        <w:pStyle w:val="21"/>
      </w:pPr>
      <w:r>
        <w:t>①公务用车购置安排0万元，与上年持平，无增减变化</w:t>
      </w:r>
      <w:r>
        <w:rPr>
          <w:rFonts w:hint="eastAsia"/>
          <w:lang w:eastAsia="zh-CN"/>
        </w:rPr>
        <w:t>，主要原因：没有购置计划</w:t>
      </w:r>
      <w:r>
        <w:t>。</w:t>
      </w:r>
    </w:p>
    <w:p>
      <w:pPr>
        <w:pStyle w:val="21"/>
      </w:pPr>
      <w:r>
        <w:t>②公车运行维护经费安排7.6万元，较上年预算减少1.24万元。减少原因为严格执行规定，厉行节约，节约车辆开支。</w:t>
      </w:r>
    </w:p>
    <w:p>
      <w:pPr>
        <w:pStyle w:val="21"/>
      </w:pPr>
      <w:r>
        <w:t>（二）公务接待费。安排18万元，与上年相比减少1万元。减少原因为严格执行规定，厉行节约，节约公务接待开支。</w:t>
      </w:r>
    </w:p>
    <w:p>
      <w:pPr>
        <w:pStyle w:val="21"/>
      </w:pPr>
      <w:r>
        <w:t>（三）因公出国（境）费安排0万元，与上年持平，无增减变化。</w:t>
      </w:r>
    </w:p>
    <w:p>
      <w:pPr>
        <w:spacing w:before="10" w:after="10" w:line="360" w:lineRule="auto"/>
        <w:ind w:firstLine="640"/>
        <w:jc w:val="left"/>
        <w:outlineLvl w:val="2"/>
        <w:rPr>
          <w:rFonts w:ascii="黑体" w:hAnsi="黑体" w:eastAsia="黑体" w:cs="黑体"/>
          <w:color w:val="000000"/>
          <w:sz w:val="32"/>
        </w:rPr>
      </w:pPr>
      <w:bookmarkStart w:id="12" w:name="_Toc_3_3_0000000014"/>
    </w:p>
    <w:p>
      <w:pPr>
        <w:spacing w:before="10" w:after="10" w:line="360" w:lineRule="auto"/>
        <w:ind w:firstLine="640"/>
        <w:jc w:val="left"/>
        <w:outlineLvl w:val="2"/>
      </w:pPr>
      <w:r>
        <w:rPr>
          <w:rFonts w:ascii="黑体" w:hAnsi="黑体" w:eastAsia="黑体" w:cs="黑体"/>
          <w:color w:val="000000"/>
          <w:sz w:val="32"/>
        </w:rPr>
        <w:t>五、预算绩效信息</w:t>
      </w:r>
      <w:bookmarkEnd w:id="12"/>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hint="eastAsia" w:eastAsia="方正仿宋_GBK" w:cs="Times New Roman"/>
          <w:color w:val="000000"/>
          <w:sz w:val="28"/>
          <w:lang w:eastAsia="zh-CN"/>
        </w:rPr>
        <w:t>一、</w:t>
      </w:r>
      <w:r>
        <w:rPr>
          <w:rFonts w:ascii="Times New Roman" w:hAnsi="Times New Roman" w:eastAsia="方正仿宋_GBK" w:cs="Times New Roman"/>
          <w:color w:val="000000"/>
          <w:sz w:val="28"/>
        </w:rPr>
        <w:t>总体绩效目标</w:t>
      </w:r>
    </w:p>
    <w:p>
      <w:pPr>
        <w:pStyle w:val="22"/>
      </w:pPr>
      <w:r>
        <w:t>2022年乐亭经济开发区将积极培育企业扩大再生产，发挥各企业人脉优势，以现有企业建设经验，推介开发区营商环境，吸引一批相关联企业对接洽谈、落户生根。组织专业招商团队赴北京、天津等地区开展定向招商活动，主动出击，重点对接开发区现有产业相关联企业，促进企业集群发展。根据开发区发展现状及发展趋势，更新开发区宣传画册内容，更新完善宣传片画面及内容，为来乐客商全方位展示开发区营商环境。组织参加推介洽谈会、投资环境说明会，加大开发区推介力度，提升开发区知名度。积极做好企业人才培养与引进工作，组织开展企业家、企业中高层管理培训，提升企业创新能力、发展水平；引导企业加强与高校对接合作，引入高端人才、先进技术，谋划科技研发平台，促进企业创新发展，发掘企业潜力，培育更多高新技术企业、“专精特新”、“小巨人”、“单项冠军”等企业。发布对外招商项目，招商引资项目的前期考察、意向洽谈、协议签署等相关工作；组织实施各项招商活动。启动开发区总体规划、控制性详细规划调整编制；开发区规划环评调整编制；结合县电力公司谋划实施化工园区10kV线路双回路建设工程，以改善513线路停电频繁，提高供电可靠性。开发区现状地形图（1:1000）测绘工作；对黄海路、天津道北段老旧路灯维修。大力宣传安全生产方针政策和法律法规，强化企业安全意识，营造全区重视安全生产的良好氛围。为做好疫情防控工作，经济开发区严格落实各项防控措施。严格落实境外专家来乐入企的报备批复、管控隔离政策，严格落实“十个常态化30项措施”各项规定动作；网格化排查、上报、管控风险地区来人，成立督查专班交叉对辖区企业、工地进行排查。联合辖区交警、哨所加强外来车辆、人员的排查力度，确保排查无盲区。强化环境日常监管，加强水环境综合整治，积极配合上级环保部门开展工作，通过污水</w:t>
      </w:r>
      <w:r>
        <w:rPr>
          <w:rFonts w:hint="eastAsia"/>
          <w:lang w:val="en-US" w:eastAsia="zh-CN"/>
        </w:rPr>
        <w:t>处理</w:t>
      </w:r>
      <w:bookmarkStart w:id="17" w:name="_GoBack"/>
      <w:bookmarkEnd w:id="17"/>
      <w:r>
        <w:t>厂进水检测的各数值，按污染物特征溯源企业排污水处理站运行状况。市政管理及绿化工作加大环卫保洁力度，加速推动开发区绿化工作。大力加强道路绿化建设，对已绿化道路进行养护、补栽，同时着力在重要道路节点建设微地形，实现绿化多样性努力提升开发区道路绿化的景观品质。坚持巡查，确保每月巡河率达百分百，并集中力量对河流两侧垃圾、违建进行全面清理，力求实现河畅、水清、岸绿、景美。全力开展防汛防潮工作。坚持“安全第一，常备不懈，以防为主，全力抢险”的防汛方针，立足防大汛、抗大灾，加大防范力度，强化应急处置，狠抓汛前、汛中各项工作的落实，确保平安度汛。加快开发区薪酬制度改革，实行绩效工资制度。</w:t>
      </w:r>
    </w:p>
    <w:p>
      <w:pPr>
        <w:spacing w:before="0" w:after="0" w:line="500" w:lineRule="exact"/>
        <w:ind w:firstLine="560"/>
        <w:jc w:val="left"/>
        <w:outlineLvl w:val="9"/>
      </w:pPr>
      <w:r>
        <w:rPr>
          <w:rFonts w:hint="eastAsia" w:eastAsia="方正仿宋_GBK" w:cs="Times New Roman"/>
          <w:color w:val="000000"/>
          <w:sz w:val="28"/>
          <w:lang w:eastAsia="zh-CN"/>
        </w:rPr>
        <w:t>二、</w:t>
      </w:r>
      <w:r>
        <w:rPr>
          <w:rFonts w:ascii="Times New Roman" w:hAnsi="Times New Roman" w:eastAsia="方正仿宋_GBK" w:cs="Times New Roman"/>
          <w:color w:val="000000"/>
          <w:sz w:val="28"/>
        </w:rPr>
        <w:t>分项绩效目标</w:t>
      </w:r>
    </w:p>
    <w:p>
      <w:pPr>
        <w:pStyle w:val="23"/>
      </w:pPr>
      <w:r>
        <w:rPr>
          <w:rFonts w:hint="eastAsia"/>
          <w:lang w:eastAsia="zh-CN"/>
        </w:rPr>
        <w:t>（一）</w:t>
      </w:r>
      <w:r>
        <w:t>充分发挥产业优势，全力开展招商活动</w:t>
      </w:r>
    </w:p>
    <w:p>
      <w:pPr>
        <w:pStyle w:val="23"/>
      </w:pPr>
      <w:r>
        <w:t>一是围绕河钢唐钢、河钢乐钢、德龙钢铁等公司钢材产品特点及应用，引入机械加工、装备制造等耗钢产业项目，做精、做深钢铁深加工产业链条，培育壮大高端装备制造产业集群，打造全国一流的精品装备制造基地。依托东日新能源针状焦及石墨电极生产等项目，围绕新能源汽车、车身总装等方面对汽车整车和零部件投资项目进行专业化招商，打造新能源汽车产业链。突出培育壮大建筑支护产业培育成特色产业，拓展延伸耗钢耗铁产业链条，全面加强与行业协会沟通联系，做好顶层设计，引导建筑支护装备产业向特色化、集约化、园区化方向培育与发展。二是以商招商。积极培育企业扩大再生产，发挥开发区企业人脉优势，以现有企业建设经验，推介开发区营商环境，吸引一批相关联企业对接洽谈、落户生根。三是小团组招商。组织专业招商团队赴北京、天津等地区开展定向招商活动，主动出击，重点对接开发区现有产业相关联企业，促进企业集群发展。</w:t>
      </w:r>
    </w:p>
    <w:p>
      <w:pPr>
        <w:pStyle w:val="23"/>
      </w:pPr>
      <w:r>
        <w:rPr>
          <w:rFonts w:hint="eastAsia"/>
          <w:lang w:eastAsia="zh-CN"/>
        </w:rPr>
        <w:t>（二）</w:t>
      </w:r>
      <w:r>
        <w:t>把好项目准入关，强化项目管理</w:t>
      </w:r>
    </w:p>
    <w:p>
      <w:pPr>
        <w:pStyle w:val="23"/>
      </w:pPr>
      <w:r>
        <w:t>按照《唐山市关于推动招商引资工作高质量发展的若干措施》等指导性文件，明确招商方向,坚决摒弃“资源型”重工业、高耗能、高排放、低效益的传统发展方式，限制耗煤项目、高耗能项目、基础化工类项目。凡国家《产业结构调整指导目录》中明确淘汰类项目一律禁止入驻开发区。结合最新法规政策，结合法律顾问意见，更新协议条款，在协议中加强项目投资强度、亩均税收、施工图纸评审、违约责任等条款约定，强化协议约束力，促使企业按期建设、按期投产。对长期占而不建、占多建少的项目，按照协议约定，结合律师事务所、法院，通过发送律师函、法院诉讼等途径予以解决。</w:t>
      </w:r>
    </w:p>
    <w:p>
      <w:pPr>
        <w:pStyle w:val="23"/>
      </w:pPr>
      <w:r>
        <w:rPr>
          <w:rFonts w:hint="eastAsia"/>
          <w:lang w:eastAsia="zh-CN"/>
        </w:rPr>
        <w:t>（三）</w:t>
      </w:r>
      <w:r>
        <w:t>完善招商宣传资料，加强推介宣传力度</w:t>
      </w:r>
    </w:p>
    <w:p>
      <w:pPr>
        <w:pStyle w:val="23"/>
      </w:pPr>
      <w:r>
        <w:t>一是根据开发区发展现状及发展趋势，更新开发区宣传画册内容，更新完善宣传片画面及内容，为来乐客商全方位展示开发区营商环境。二是组织编制《河北乐亭经济开发区重点企业产品名录》，为适应形势发展需要，有必要系统梳理近年来我区产业发展的建设成绩，盘点好自己的家底。通过编制产品名录，也搭建起一个平台，有利于提高工业企业的品牌知名度，促进企业间的交流与合作，帮助企业实现互利共赢，共同推进新区产业不断发展壮大。更为重要的是，名录也是一份比较翔实的基础数据，为推动产业实现转型升级，加快创新发展步伐创造条件。三是及时更新网页及微信宣传平台信息，就开发区招商引资、项目建设、安全生产等方面重要信息进行及时更新，便于客商通过网络及时了解开发区情况。四是认真组织参加推介洽谈会、投资环境说明会，加大开发区推介力度，提升开发区知名度。</w:t>
      </w:r>
    </w:p>
    <w:p>
      <w:pPr>
        <w:pStyle w:val="23"/>
      </w:pPr>
      <w:r>
        <w:rPr>
          <w:rFonts w:hint="eastAsia"/>
          <w:lang w:eastAsia="zh-CN"/>
        </w:rPr>
        <w:t>（四）</w:t>
      </w:r>
      <w:r>
        <w:t>深入企业一线，深挖发展潜力</w:t>
      </w:r>
    </w:p>
    <w:p>
      <w:pPr>
        <w:pStyle w:val="23"/>
      </w:pPr>
      <w:r>
        <w:t>建立联系企业常态化机制，上门听意见、送服务，做好“管家式”服务，支持、保护中小型民营企业发展，多方共同努力，破解制约企业发展难题，助推企业发展，紧密跟踪重点企业运行情况，多角度确保经济运行平稳。勉励企业注重科技创新，持续加大研发力度，不断提升核心竞争力，进一步做大做强。并且在税收、招商引资人脉资源、客户资源等方面与企业深入交流，深入挖掘企业潜力，充分利用各类资源，实现企业税收等各项指标健康发展的同时促进招商引资工作顺利推进。</w:t>
      </w:r>
    </w:p>
    <w:p>
      <w:pPr>
        <w:pStyle w:val="23"/>
      </w:pPr>
      <w:r>
        <w:rPr>
          <w:rFonts w:hint="eastAsia"/>
          <w:lang w:val="en-US" w:eastAsia="zh-CN"/>
        </w:rPr>
        <w:t>1.</w:t>
      </w:r>
      <w:r>
        <w:t>继续做好企业“保姆式”服务</w:t>
      </w:r>
    </w:p>
    <w:p>
      <w:pPr>
        <w:pStyle w:val="23"/>
      </w:pPr>
      <w:r>
        <w:t>进一步提高项目手续“领办、代办”服务制标杆，按照“落地即开工”新政策，缩短项目前期手续跑办时间，加快项目落地开工；继续深入项目现场、走进车间一线，解决存在问题，优化营商环境。</w:t>
      </w:r>
    </w:p>
    <w:p>
      <w:pPr>
        <w:pStyle w:val="23"/>
      </w:pPr>
      <w:r>
        <w:rPr>
          <w:rFonts w:hint="eastAsia"/>
          <w:lang w:val="en-US" w:eastAsia="zh-CN"/>
        </w:rPr>
        <w:t>2.</w:t>
      </w:r>
      <w:r>
        <w:t>拓展项目土地空间</w:t>
      </w:r>
    </w:p>
    <w:p>
      <w:pPr>
        <w:pStyle w:val="23"/>
      </w:pPr>
      <w:r>
        <w:t>目前土地成为制约开发区项目建设的关键因素，必须积极拓展空间，腾出土地资源。一是提前谋划规划范围内剩余集体土地、林地资源，积极争取申报工业用地指标，为大项目、好项目落地备好发展空间；二是加快推进“僵尸企业”处置，通过整体转让、收回土地、司法拍卖等方式，盘活澳航实业、西伦实业、清越电器、泰岳化工、卓达建材等闲置土地；三是继续推进化工园区调整项目土地收回工作，保证河钢配套项目顺利落地建设。</w:t>
      </w:r>
    </w:p>
    <w:p>
      <w:pPr>
        <w:pStyle w:val="23"/>
      </w:pPr>
      <w:r>
        <w:rPr>
          <w:rFonts w:hint="eastAsia"/>
          <w:lang w:val="en-US" w:eastAsia="zh-CN"/>
        </w:rPr>
        <w:t>3.</w:t>
      </w:r>
      <w:r>
        <w:t>支持企业做优做强</w:t>
      </w:r>
    </w:p>
    <w:p>
      <w:pPr>
        <w:pStyle w:val="23"/>
      </w:pPr>
      <w:r>
        <w:t>一是积极做好企业人才培养与引进工作，组织开展企业家、企业中高层管理培训，提升企业创新能力、发展水平；二是引导企业加强与高校对接合作，引入高端人才、先进技术，谋划科技研发平台，三是促进企业创新发展，发掘企业潜力，培育更多高新技术企业、“专精特新”、“小巨人”、“单项冠军”等企业。</w:t>
      </w:r>
    </w:p>
    <w:p>
      <w:pPr>
        <w:pStyle w:val="23"/>
      </w:pPr>
      <w:r>
        <w:rPr>
          <w:rFonts w:hint="eastAsia"/>
          <w:lang w:eastAsia="zh-CN"/>
        </w:rPr>
        <w:t>（五）</w:t>
      </w:r>
      <w:r>
        <w:t xml:space="preserve">调整开发区规划编制 </w:t>
      </w:r>
    </w:p>
    <w:p>
      <w:pPr>
        <w:pStyle w:val="23"/>
      </w:pPr>
      <w:r>
        <w:t>启动开发区总体规划、控制性详细规划调整编制；开发区规划环评调整编制；结合县电力公司谋划实施化工园区10kV线路双回路建设工程，以改善513线路停电频繁，提高供电可靠性。开发区现状地形图（1:1000）测绘工作；对黄海路、天津道北段老旧路灯维修；施工工地：1、冬季对暂停施工工地办理中止监督手续，3月后办理复工手续；2、每季度聘请专家进行施工工地专项检查；3、重新印制“六个百分百”治理书籍；4、印制施工安全条幅。</w:t>
      </w:r>
    </w:p>
    <w:p>
      <w:pPr>
        <w:pStyle w:val="23"/>
      </w:pPr>
      <w:r>
        <w:rPr>
          <w:rFonts w:hint="eastAsia"/>
          <w:lang w:eastAsia="zh-CN"/>
        </w:rPr>
        <w:t>（六）</w:t>
      </w:r>
      <w:r>
        <w:t>提高安全生产意识</w:t>
      </w:r>
    </w:p>
    <w:p>
      <w:pPr>
        <w:pStyle w:val="23"/>
      </w:pPr>
      <w:r>
        <w:t>大力宣传安全生产方针政策和法律法规，强化企业安全意识，营造全区重视安全生产的良好氛围。</w:t>
      </w:r>
    </w:p>
    <w:p>
      <w:pPr>
        <w:pStyle w:val="23"/>
      </w:pPr>
      <w:r>
        <w:t>持续学习新颁布的《中华人民共和国安全生产法》、典型案例警示教育视频。组织企业从企业高管到一线职工参加培训学习、警示教育培训，要求大家从思想上要高度重视。克服麻痹松懈情绪，严格落实企业主体责任，开展安全生产隐患大扫除、全力保障生命财产安全，每季度督导企业开展安全生产教育，提高安全意识，形成人人“懂安全、要安全、会安全、保安全”的良好氛围。</w:t>
      </w:r>
    </w:p>
    <w:p>
      <w:pPr>
        <w:pStyle w:val="23"/>
      </w:pPr>
      <w:r>
        <w:t>联合县应急局、消防大队召开企业、工地、商贸区消防安全生产会议，深入安全生产重点企业、重点岗位进行安全生产大检查；</w:t>
      </w:r>
    </w:p>
    <w:p>
      <w:pPr>
        <w:pStyle w:val="23"/>
      </w:pPr>
      <w:r>
        <w:t>联合辖区消防大队、哨所定期对3个商贸区各宾馆、饭店、商户的用电、用气安全、消防设施等进行拉网式隐患排查；定期对辖区钢铁、装备制造等工贸企业进行安全隐患大排查；从严、从细全面排查治理企业生产、在建工地和有限空间作业的安全风险和隐患，确保安全事故零发生。</w:t>
      </w:r>
    </w:p>
    <w:p>
      <w:pPr>
        <w:pStyle w:val="23"/>
      </w:pPr>
      <w:r>
        <w:t>发挥智慧安监一体化平台监测作用，通过科学技术手段，加强监管，进一步突出重点，对易发生安全事故的化工企业加强监督检查。以县应急局每季度聘请化工专家会诊式隐患大排查之际，持续向县应急管理局和第三方化工专家学习安全生产专业知识、总结先进经验、掌握风险隐患排查方法，对以后日常监管提供技术支撑。</w:t>
      </w:r>
    </w:p>
    <w:p>
      <w:pPr>
        <w:pStyle w:val="23"/>
      </w:pPr>
      <w:r>
        <w:t>从化工行业生产、储存、使用、经营、运输、废弃处置等各环节安全风险进行有效管控，坚决杜绝事故发生。</w:t>
      </w:r>
    </w:p>
    <w:p>
      <w:pPr>
        <w:pStyle w:val="23"/>
      </w:pPr>
      <w:r>
        <w:t>开展夏季消防综合应急演练，打造一支联合应急消防队伍，确保应急处置能力的提升；督导企业防汛防潮防台风应急物资、机械力量、应急队伍的储备，确保有备无患。</w:t>
      </w:r>
    </w:p>
    <w:p>
      <w:pPr>
        <w:pStyle w:val="23"/>
      </w:pPr>
      <w:r>
        <w:rPr>
          <w:rFonts w:hint="eastAsia"/>
          <w:lang w:eastAsia="zh-CN"/>
        </w:rPr>
        <w:t>（七）</w:t>
      </w:r>
      <w:r>
        <w:t>为做好疫情防控工作，经济开发区严格落实各项防控措施。</w:t>
      </w:r>
    </w:p>
    <w:p>
      <w:pPr>
        <w:pStyle w:val="23"/>
      </w:pPr>
      <w:r>
        <w:t xml:space="preserve">一是精准排查外来人员。严格落实境外专家来乐入企的报备批复、管控隔离政策，严格落实“十个常态化30项措施”各项规定动作；网格化排查、上报、管控风险地区来人，成立督查专班交叉对辖区企业、工地进行排查。联合辖区交警、哨所加强外来车辆、人员的排查力度，确保排查无盲区。  </w:t>
      </w:r>
    </w:p>
    <w:p>
      <w:pPr>
        <w:pStyle w:val="23"/>
      </w:pPr>
      <w:r>
        <w:t>二是持续加强33类重点人群的每周定期核酸检测，尤其是河钢乐亭钢铁、国堂、东日等工地及商贸区职工进行核检。</w:t>
      </w:r>
    </w:p>
    <w:p>
      <w:pPr>
        <w:pStyle w:val="23"/>
      </w:pPr>
      <w:r>
        <w:t>三是总结防控经验，形成统一模式，各企业参照执行，实行防控样板化。</w:t>
      </w:r>
    </w:p>
    <w:p>
      <w:pPr>
        <w:pStyle w:val="23"/>
      </w:pPr>
      <w:r>
        <w:t>四是持续推进新冠疫苗接种工作，督导企业疫情防控物资储备充足；</w:t>
      </w:r>
    </w:p>
    <w:p>
      <w:pPr>
        <w:pStyle w:val="23"/>
      </w:pPr>
      <w:r>
        <w:t>五是加强监测分析，分行业、分重点企业分析疫情对企业的影响，对全区经济稳增长形势作出预判，做好疫情形势严重恶化情况下的应对预案，坚持底线思维，进一步加强薄弱环节、堵塞工作漏洞，动态调整疫情防控及稳工稳企政策措施，确保开发区持续稳定，经济高质量发展。</w:t>
      </w:r>
    </w:p>
    <w:p>
      <w:pPr>
        <w:pStyle w:val="23"/>
      </w:pPr>
      <w:r>
        <w:rPr>
          <w:rFonts w:hint="eastAsia"/>
          <w:lang w:eastAsia="zh-CN"/>
        </w:rPr>
        <w:t>（八）</w:t>
      </w:r>
      <w:r>
        <w:t>加强开发区城市环境保护工作</w:t>
      </w:r>
    </w:p>
    <w:p>
      <w:pPr>
        <w:pStyle w:val="23"/>
      </w:pPr>
      <w:r>
        <w:t>1、环境保护工作。一是强化环境日常监管。采取日间巡查、夜间及节假日抽查的方式，将环保检查督查工作做到不留死角，及时发现问题，及时督导整改，充分落实开发区属地管理责任。二是加强水环境综合整治。持续开展水污染治理专项检查工作，加大对初期雨水收集和各企业污水站运行管理情况的检查力度和频次，持续开展渤海排污口整治销号工作。三是积极配合上级环保部门开展工作。配合上级环保部门对企业环境违法问题进行督导检查，对查出的问题督导企业落实整改。</w:t>
      </w:r>
    </w:p>
    <w:p>
      <w:pPr>
        <w:pStyle w:val="23"/>
      </w:pPr>
      <w:r>
        <w:t>2、市政管理及绿化工作。一是加大环卫保洁力度。加强环卫队对重点区域的巡查力度及清扫频次，继续做好园区举办各项活动时及上级考察团来考察时的环境卫生工作。二是加速推动开发区绿化工作。大力加强道路绿化建设，对已绿化道路进行养护、补栽，同时着力在重要道路节点建设微地形，实现绿化多样性努力提升开发区道路绿化的景观品质。与企业“门前三包”制度相结合，展开系列植绿护绿活动，因地制宜指导企业适地适树加大绿化。鼓励有条件的企业进行厂内区绿化，进行高标准绿化。</w:t>
      </w:r>
    </w:p>
    <w:p>
      <w:pPr>
        <w:pStyle w:val="23"/>
      </w:pPr>
      <w:r>
        <w:t>3、河长制工作。坚持巡查，确保每月巡河率达百分百，并集中力量对河流两侧垃圾、违建进行全面清理，力求实现河畅、水清、岸绿、景美。</w:t>
      </w:r>
    </w:p>
    <w:p>
      <w:pPr>
        <w:pStyle w:val="23"/>
      </w:pPr>
      <w:r>
        <w:t>4、全力开展防汛防潮工作。坚持“安全第一，常备不懈，以防为主，全力抢险”的防汛方针，立足防大汛、抗大灾，加大防范力度，强化应急处置，狠抓汛前、汛中各项工作的落实，确保平安度汛。</w:t>
      </w:r>
    </w:p>
    <w:p>
      <w:pPr>
        <w:spacing w:before="0" w:after="0" w:line="500" w:lineRule="exact"/>
        <w:ind w:firstLine="560"/>
        <w:jc w:val="left"/>
        <w:outlineLvl w:val="9"/>
      </w:pPr>
      <w:r>
        <w:rPr>
          <w:rFonts w:hint="eastAsia" w:eastAsia="方正仿宋_GBK" w:cs="Times New Roman"/>
          <w:color w:val="000000"/>
          <w:sz w:val="28"/>
          <w:lang w:eastAsia="zh-CN"/>
        </w:rPr>
        <w:t>三、</w:t>
      </w:r>
      <w:r>
        <w:rPr>
          <w:rFonts w:ascii="Times New Roman" w:hAnsi="Times New Roman" w:eastAsia="方正仿宋_GBK" w:cs="Times New Roman"/>
          <w:color w:val="000000"/>
          <w:sz w:val="28"/>
        </w:rPr>
        <w:t>工作保障措施</w:t>
      </w:r>
    </w:p>
    <w:p>
      <w:pPr>
        <w:pStyle w:val="24"/>
      </w:pPr>
      <w:r>
        <w:t>对开发区重要部署、重点项目、重大活动，主动作为，积极协调，精益求精，有效解决推进过程中遇到的困难，确保上级决策部署落到实处，各项工作争先创优。对中心工作、重点项目和建设工程，加强调度和督导，精准掌握推进情况，主动向领导汇报，并针对问题及时提出合理化建议，确保各项工作扎实推进并取得实效；精准发力，充分发挥开发区职能作用。针对县政府领导关注的重点、企业关心的热点和项目建设中的难点，加强调查研究，做到准确全面掌握情况，为领导指导工作、科学决策提供重要参考依据。强化政策研究，深入学习招商工作和项目建设相关规定，确保各项政策熟练于心、落实到位。   优化管理，持续提升为企业服务能力。进一步提高“领办、代办”服务制标杆，凝神聚力，加快新落地项目和新开工项目的各项手续跑办。坚持深入走访企业，调查掌握企业经营遇到的困难和项目建设存在的问题。全力解决企业的用汽用水、用电、天然气、蒸汽、用工、通讯、交通、员工社交等众多问题。做到“事事有回音，件件有着落”。</w:t>
      </w:r>
    </w:p>
    <w:p>
      <w:pPr>
        <w:spacing w:before="0" w:after="0" w:line="240" w:lineRule="auto"/>
        <w:jc w:val="left"/>
        <w:outlineLvl w:val="9"/>
        <w:rPr>
          <w:rFonts w:ascii="方正楷体_GBK" w:hAnsi="方正楷体_GBK" w:eastAsia="方正楷体_GBK" w:cs="方正楷体_GBK"/>
          <w:b/>
          <w:color w:val="000000"/>
          <w:sz w:val="32"/>
        </w:rPr>
      </w:pPr>
    </w:p>
    <w:p>
      <w:pPr>
        <w:numPr>
          <w:ilvl w:val="0"/>
          <w:numId w:val="2"/>
        </w:numPr>
        <w:spacing w:before="0" w:after="0" w:line="240" w:lineRule="auto"/>
        <w:ind w:firstLine="320" w:firstLineChars="10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w:t>
      </w:r>
    </w:p>
    <w:p>
      <w:pPr>
        <w:tabs>
          <w:tab w:val="left" w:pos="643"/>
        </w:tabs>
        <w:bidi w:val="0"/>
        <w:jc w:val="left"/>
        <w:rPr>
          <w:rFonts w:hint="eastAsia" w:ascii="Times New Roman" w:hAnsi="Times New Roman" w:eastAsia="宋体" w:cs="Times New Roman"/>
          <w:sz w:val="24"/>
          <w:szCs w:val="24"/>
          <w:lang w:val="en-US" w:eastAsia="zh-CN" w:bidi="ar-SA"/>
        </w:rPr>
        <w:sectPr>
          <w:pgSz w:w="16840" w:h="11900" w:orient="landscape"/>
          <w:pgMar w:top="1361" w:right="1020" w:bottom="1361" w:left="1020" w:header="720" w:footer="720" w:gutter="0"/>
          <w:pgNumType w:fmt="decimal"/>
          <w:cols w:space="720" w:num="1"/>
        </w:sectPr>
      </w:pPr>
      <w:r>
        <w:rPr>
          <w:rFonts w:hint="eastAsia" w:eastAsia="宋体" w:cs="Times New Roman"/>
          <w:sz w:val="24"/>
          <w:szCs w:val="24"/>
          <w:lang w:val="en-US" w:eastAsia="zh-CN" w:bidi="ar-SA"/>
        </w:rPr>
        <w:tab/>
      </w:r>
      <w:r>
        <w:rPr>
          <w:rFonts w:hint="eastAsia" w:ascii="Times New Roman" w:hAnsi="Times New Roman" w:eastAsia="方正仿宋_GBK" w:cs="Times New Roman"/>
          <w:sz w:val="28"/>
          <w:szCs w:val="24"/>
          <w:lang w:val="en-US" w:eastAsia="zh-CN" w:bidi="ar-SA"/>
        </w:rPr>
        <w:t>无。</w:t>
      </w:r>
    </w:p>
    <w:p>
      <w:pPr>
        <w:spacing w:before="0" w:after="0" w:line="240" w:lineRule="auto"/>
        <w:jc w:val="left"/>
        <w:outlineLvl w:val="9"/>
        <w:sectPr>
          <w:pgSz w:w="16840" w:h="11900" w:orient="landscape"/>
          <w:pgMar w:top="1361" w:right="1020" w:bottom="1134" w:left="1020" w:header="720" w:footer="720" w:gutter="0"/>
          <w:pgNumType w:fmt="decimal"/>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1、安全生产费用绩效目标表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1.确保开发区生产安全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时效指标</w:t>
            </w:r>
          </w:p>
        </w:tc>
        <w:tc>
          <w:tcPr>
            <w:tcW w:w="2835" w:type="dxa"/>
            <w:vAlign w:val="center"/>
          </w:tcPr>
          <w:p>
            <w:pPr>
              <w:pStyle w:val="16"/>
            </w:pPr>
            <w:r>
              <w:t>开展工作时效性</w:t>
            </w:r>
          </w:p>
          <w:p>
            <w:pPr>
              <w:pStyle w:val="16"/>
            </w:pPr>
          </w:p>
          <w:p>
            <w:pPr>
              <w:pStyle w:val="16"/>
            </w:pPr>
          </w:p>
        </w:tc>
        <w:tc>
          <w:tcPr>
            <w:tcW w:w="2835" w:type="dxa"/>
            <w:vAlign w:val="center"/>
          </w:tcPr>
          <w:p>
            <w:pPr>
              <w:pStyle w:val="16"/>
            </w:pPr>
            <w:r>
              <w:t>开展工作时效性</w:t>
            </w:r>
          </w:p>
          <w:p>
            <w:pPr>
              <w:pStyle w:val="16"/>
            </w:pPr>
          </w:p>
          <w:p>
            <w:pPr>
              <w:pStyle w:val="16"/>
            </w:pPr>
          </w:p>
        </w:tc>
        <w:tc>
          <w:tcPr>
            <w:tcW w:w="2551" w:type="dxa"/>
            <w:vAlign w:val="center"/>
          </w:tcPr>
          <w:p>
            <w:pPr>
              <w:pStyle w:val="16"/>
            </w:pPr>
            <w:r>
              <w:t>开展工作时效性</w:t>
            </w:r>
          </w:p>
        </w:tc>
        <w:tc>
          <w:tcPr>
            <w:tcW w:w="2268" w:type="dxa"/>
            <w:vAlign w:val="center"/>
          </w:tcPr>
          <w:p>
            <w:pPr>
              <w:pStyle w:val="16"/>
            </w:pPr>
            <w:r>
              <w:t>开展工作时效性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增强影响力</w:t>
            </w:r>
          </w:p>
        </w:tc>
        <w:tc>
          <w:tcPr>
            <w:tcW w:w="2835" w:type="dxa"/>
            <w:vAlign w:val="center"/>
          </w:tcPr>
          <w:p>
            <w:pPr>
              <w:pStyle w:val="16"/>
            </w:pPr>
            <w:r>
              <w:t>增强影响力</w:t>
            </w:r>
          </w:p>
        </w:tc>
        <w:tc>
          <w:tcPr>
            <w:tcW w:w="2551" w:type="dxa"/>
            <w:vAlign w:val="center"/>
          </w:tcPr>
          <w:p>
            <w:pPr>
              <w:pStyle w:val="16"/>
            </w:pPr>
            <w:r>
              <w:t>增强影响力</w:t>
            </w:r>
          </w:p>
        </w:tc>
        <w:tc>
          <w:tcPr>
            <w:tcW w:w="2268" w:type="dxa"/>
            <w:vAlign w:val="center"/>
          </w:tcPr>
          <w:p>
            <w:pPr>
              <w:pStyle w:val="16"/>
            </w:pPr>
            <w:r>
              <w:t>增强影响力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服务对象满意度</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2、搬迁费绩效目标表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1.及时顺利搬迁，利于各项工作开展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时效指标</w:t>
            </w:r>
          </w:p>
        </w:tc>
        <w:tc>
          <w:tcPr>
            <w:tcW w:w="2835" w:type="dxa"/>
            <w:vAlign w:val="center"/>
          </w:tcPr>
          <w:p>
            <w:pPr>
              <w:pStyle w:val="16"/>
            </w:pPr>
            <w:r>
              <w:t>工作任务完成及时率</w:t>
            </w:r>
          </w:p>
        </w:tc>
        <w:tc>
          <w:tcPr>
            <w:tcW w:w="2835" w:type="dxa"/>
            <w:vAlign w:val="center"/>
          </w:tcPr>
          <w:p>
            <w:pPr>
              <w:pStyle w:val="16"/>
            </w:pPr>
            <w:r>
              <w:t>工作任务完成及时率</w:t>
            </w:r>
          </w:p>
        </w:tc>
        <w:tc>
          <w:tcPr>
            <w:tcW w:w="2551" w:type="dxa"/>
            <w:vAlign w:val="center"/>
          </w:tcPr>
          <w:p>
            <w:pPr>
              <w:pStyle w:val="16"/>
            </w:pPr>
            <w:r>
              <w:t>≥95%</w:t>
            </w:r>
          </w:p>
        </w:tc>
        <w:tc>
          <w:tcPr>
            <w:tcW w:w="2268" w:type="dxa"/>
            <w:vAlign w:val="center"/>
          </w:tcPr>
          <w:p>
            <w:pPr>
              <w:pStyle w:val="16"/>
            </w:pPr>
            <w:r>
              <w:t>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对社会发展带来的影响</w:t>
            </w:r>
          </w:p>
          <w:p>
            <w:pPr>
              <w:pStyle w:val="16"/>
            </w:pPr>
          </w:p>
          <w:p>
            <w:pPr>
              <w:pStyle w:val="16"/>
            </w:pPr>
          </w:p>
        </w:tc>
        <w:tc>
          <w:tcPr>
            <w:tcW w:w="2835" w:type="dxa"/>
            <w:vAlign w:val="center"/>
          </w:tcPr>
          <w:p>
            <w:pPr>
              <w:pStyle w:val="16"/>
            </w:pPr>
            <w:r>
              <w:t>对社会发展带来的影响</w:t>
            </w:r>
          </w:p>
          <w:p>
            <w:pPr>
              <w:pStyle w:val="16"/>
            </w:pPr>
          </w:p>
          <w:p>
            <w:pPr>
              <w:pStyle w:val="16"/>
            </w:pPr>
          </w:p>
        </w:tc>
        <w:tc>
          <w:tcPr>
            <w:tcW w:w="2551" w:type="dxa"/>
            <w:vAlign w:val="center"/>
          </w:tcPr>
          <w:p>
            <w:pPr>
              <w:pStyle w:val="16"/>
            </w:pPr>
            <w:r>
              <w:t>影响力提升</w:t>
            </w:r>
          </w:p>
        </w:tc>
        <w:tc>
          <w:tcPr>
            <w:tcW w:w="2268" w:type="dxa"/>
            <w:vAlign w:val="center"/>
          </w:tcPr>
          <w:p>
            <w:pPr>
              <w:pStyle w:val="16"/>
            </w:pPr>
            <w:r>
              <w:t>影响力提升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服务对象满意度</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3、绩效奖金绩效目标表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1.奖金发放及时到位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时效指标</w:t>
            </w:r>
          </w:p>
        </w:tc>
        <w:tc>
          <w:tcPr>
            <w:tcW w:w="2835" w:type="dxa"/>
            <w:vAlign w:val="center"/>
          </w:tcPr>
          <w:p>
            <w:pPr>
              <w:pStyle w:val="16"/>
            </w:pPr>
            <w:r>
              <w:t>资金在规定时间内下达率</w:t>
            </w:r>
          </w:p>
        </w:tc>
        <w:tc>
          <w:tcPr>
            <w:tcW w:w="2835" w:type="dxa"/>
            <w:vAlign w:val="center"/>
          </w:tcPr>
          <w:p>
            <w:pPr>
              <w:pStyle w:val="16"/>
            </w:pPr>
            <w:r>
              <w:t>资金在规定时间内下达率</w:t>
            </w:r>
          </w:p>
        </w:tc>
        <w:tc>
          <w:tcPr>
            <w:tcW w:w="2551" w:type="dxa"/>
            <w:vAlign w:val="center"/>
          </w:tcPr>
          <w:p>
            <w:pPr>
              <w:pStyle w:val="16"/>
            </w:pPr>
            <w:r>
              <w:t>全部按时下达</w:t>
            </w:r>
          </w:p>
        </w:tc>
        <w:tc>
          <w:tcPr>
            <w:tcW w:w="2268" w:type="dxa"/>
            <w:vAlign w:val="center"/>
          </w:tcPr>
          <w:p>
            <w:pPr>
              <w:pStyle w:val="16"/>
            </w:pPr>
            <w:r>
              <w:t>资金在规定时间内下达率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w:t>
            </w:r>
          </w:p>
        </w:tc>
        <w:tc>
          <w:tcPr>
            <w:tcW w:w="2551" w:type="dxa"/>
            <w:vAlign w:val="center"/>
          </w:tcPr>
          <w:p>
            <w:pPr>
              <w:pStyle w:val="16"/>
            </w:pPr>
            <w:r>
              <w:t>社会影响力增强</w:t>
            </w:r>
          </w:p>
        </w:tc>
        <w:tc>
          <w:tcPr>
            <w:tcW w:w="2268" w:type="dxa"/>
            <w:vAlign w:val="center"/>
          </w:tcPr>
          <w:p>
            <w:pPr>
              <w:pStyle w:val="16"/>
            </w:pPr>
            <w:r>
              <w:t>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服务对象满意度</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4、开发区大气污染治理“一园一策”费用绩效目标表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1.“一园一策”编制顺利完成，利于开发区产业布局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≥95%</w:t>
            </w:r>
          </w:p>
        </w:tc>
        <w:tc>
          <w:tcPr>
            <w:tcW w:w="2268" w:type="dxa"/>
            <w:vAlign w:val="center"/>
          </w:tcPr>
          <w:p>
            <w:pPr>
              <w:pStyle w:val="16"/>
            </w:pPr>
            <w:r>
              <w:t>及时完成率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对社会发展带来的影响</w:t>
            </w:r>
          </w:p>
        </w:tc>
        <w:tc>
          <w:tcPr>
            <w:tcW w:w="2835" w:type="dxa"/>
            <w:vAlign w:val="center"/>
          </w:tcPr>
          <w:p>
            <w:pPr>
              <w:pStyle w:val="16"/>
            </w:pPr>
            <w:r>
              <w:t>对社会发展带来的影响</w:t>
            </w:r>
          </w:p>
        </w:tc>
        <w:tc>
          <w:tcPr>
            <w:tcW w:w="2551" w:type="dxa"/>
            <w:vAlign w:val="center"/>
          </w:tcPr>
          <w:p>
            <w:pPr>
              <w:pStyle w:val="16"/>
            </w:pPr>
            <w:r>
              <w:t>正面影响</w:t>
            </w:r>
          </w:p>
        </w:tc>
        <w:tc>
          <w:tcPr>
            <w:tcW w:w="2268" w:type="dxa"/>
            <w:vAlign w:val="center"/>
          </w:tcPr>
          <w:p>
            <w:pPr>
              <w:pStyle w:val="16"/>
            </w:pPr>
            <w:r>
              <w:t>社会发展影响力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服务对象满意度</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5、空气监测站运营维护费绩效目标表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时效指标</w:t>
            </w:r>
          </w:p>
        </w:tc>
        <w:tc>
          <w:tcPr>
            <w:tcW w:w="2835" w:type="dxa"/>
            <w:vAlign w:val="center"/>
          </w:tcPr>
          <w:p>
            <w:pPr>
              <w:pStyle w:val="16"/>
            </w:pPr>
            <w:r>
              <w:t>提高空气质量预报时限</w:t>
            </w:r>
          </w:p>
        </w:tc>
        <w:tc>
          <w:tcPr>
            <w:tcW w:w="2835" w:type="dxa"/>
            <w:vAlign w:val="center"/>
          </w:tcPr>
          <w:p>
            <w:pPr>
              <w:pStyle w:val="16"/>
            </w:pPr>
            <w:r>
              <w:t>提高空气质量预报时限</w:t>
            </w:r>
          </w:p>
        </w:tc>
        <w:tc>
          <w:tcPr>
            <w:tcW w:w="2551" w:type="dxa"/>
            <w:vAlign w:val="center"/>
          </w:tcPr>
          <w:p>
            <w:pPr>
              <w:pStyle w:val="16"/>
            </w:pPr>
            <w:r>
              <w:t>空气质量监测预报及时</w:t>
            </w:r>
          </w:p>
        </w:tc>
        <w:tc>
          <w:tcPr>
            <w:tcW w:w="2268" w:type="dxa"/>
            <w:vAlign w:val="center"/>
          </w:tcPr>
          <w:p>
            <w:pPr>
              <w:pStyle w:val="16"/>
            </w:pPr>
            <w:r>
              <w:t>提高空气质量预报时限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项目持续影响效果</w:t>
            </w:r>
          </w:p>
        </w:tc>
        <w:tc>
          <w:tcPr>
            <w:tcW w:w="2835" w:type="dxa"/>
            <w:vAlign w:val="center"/>
          </w:tcPr>
          <w:p>
            <w:pPr>
              <w:pStyle w:val="16"/>
            </w:pPr>
            <w:r>
              <w:t>项目持续影响效果</w:t>
            </w:r>
          </w:p>
        </w:tc>
        <w:tc>
          <w:tcPr>
            <w:tcW w:w="2551" w:type="dxa"/>
            <w:vAlign w:val="center"/>
          </w:tcPr>
          <w:p>
            <w:pPr>
              <w:pStyle w:val="16"/>
            </w:pPr>
            <w:r>
              <w:t>一定时期内影响</w:t>
            </w:r>
          </w:p>
        </w:tc>
        <w:tc>
          <w:tcPr>
            <w:tcW w:w="2268" w:type="dxa"/>
            <w:vAlign w:val="center"/>
          </w:tcPr>
          <w:p>
            <w:pPr>
              <w:pStyle w:val="16"/>
            </w:pPr>
            <w:r>
              <w:t>项目持续影响效果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服务对象满意度</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6、路灯维护维修费绩效目标表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1.路灯亮化维护到位，利于企业发展运营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质量合格率(%)</w:t>
            </w:r>
          </w:p>
        </w:tc>
        <w:tc>
          <w:tcPr>
            <w:tcW w:w="2835" w:type="dxa"/>
            <w:vAlign w:val="center"/>
          </w:tcPr>
          <w:p>
            <w:pPr>
              <w:pStyle w:val="16"/>
            </w:pPr>
            <w:r>
              <w:t>质量合格率(%)</w:t>
            </w:r>
          </w:p>
        </w:tc>
        <w:tc>
          <w:tcPr>
            <w:tcW w:w="2551" w:type="dxa"/>
            <w:vAlign w:val="center"/>
          </w:tcPr>
          <w:p>
            <w:pPr>
              <w:pStyle w:val="16"/>
            </w:pPr>
            <w:r>
              <w:t>≥95%</w:t>
            </w:r>
          </w:p>
        </w:tc>
        <w:tc>
          <w:tcPr>
            <w:tcW w:w="2268" w:type="dxa"/>
            <w:vAlign w:val="center"/>
          </w:tcPr>
          <w:p>
            <w:pPr>
              <w:pStyle w:val="16"/>
            </w:pPr>
            <w:r>
              <w:t>质量合格率(%)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项目持续影响效果</w:t>
            </w:r>
          </w:p>
        </w:tc>
        <w:tc>
          <w:tcPr>
            <w:tcW w:w="2835" w:type="dxa"/>
            <w:vAlign w:val="center"/>
          </w:tcPr>
          <w:p>
            <w:pPr>
              <w:pStyle w:val="16"/>
            </w:pPr>
            <w:r>
              <w:t>项目持续影响效果</w:t>
            </w:r>
          </w:p>
        </w:tc>
        <w:tc>
          <w:tcPr>
            <w:tcW w:w="2551" w:type="dxa"/>
            <w:vAlign w:val="center"/>
          </w:tcPr>
          <w:p>
            <w:pPr>
              <w:pStyle w:val="16"/>
            </w:pPr>
            <w:r>
              <w:t>一定时期内影响</w:t>
            </w:r>
          </w:p>
        </w:tc>
        <w:tc>
          <w:tcPr>
            <w:tcW w:w="2268" w:type="dxa"/>
            <w:vAlign w:val="center"/>
          </w:tcPr>
          <w:p>
            <w:pPr>
              <w:pStyle w:val="16"/>
            </w:pPr>
            <w:r>
              <w:t>项目持续影响效果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服务对象满意度</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7、律师服务费绩效目标表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1.法律服务及时到位，依法办事，维护权益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时效指标</w:t>
            </w:r>
          </w:p>
        </w:tc>
        <w:tc>
          <w:tcPr>
            <w:tcW w:w="2835" w:type="dxa"/>
            <w:vAlign w:val="center"/>
          </w:tcPr>
          <w:p>
            <w:pPr>
              <w:pStyle w:val="16"/>
            </w:pPr>
            <w:r>
              <w:t>开展工作时效性</w:t>
            </w:r>
          </w:p>
          <w:p>
            <w:pPr>
              <w:pStyle w:val="16"/>
            </w:pPr>
          </w:p>
          <w:p>
            <w:pPr>
              <w:pStyle w:val="16"/>
            </w:pPr>
          </w:p>
        </w:tc>
        <w:tc>
          <w:tcPr>
            <w:tcW w:w="2835" w:type="dxa"/>
            <w:vAlign w:val="center"/>
          </w:tcPr>
          <w:p>
            <w:pPr>
              <w:pStyle w:val="16"/>
            </w:pPr>
            <w:r>
              <w:t>开展工作时效性</w:t>
            </w:r>
          </w:p>
          <w:p>
            <w:pPr>
              <w:pStyle w:val="16"/>
            </w:pPr>
          </w:p>
          <w:p>
            <w:pPr>
              <w:pStyle w:val="16"/>
            </w:pPr>
          </w:p>
        </w:tc>
        <w:tc>
          <w:tcPr>
            <w:tcW w:w="2551" w:type="dxa"/>
            <w:vAlign w:val="center"/>
          </w:tcPr>
          <w:p>
            <w:pPr>
              <w:pStyle w:val="16"/>
            </w:pPr>
            <w:r>
              <w:t>开展工作时效性</w:t>
            </w:r>
          </w:p>
        </w:tc>
        <w:tc>
          <w:tcPr>
            <w:tcW w:w="2268" w:type="dxa"/>
            <w:vAlign w:val="center"/>
          </w:tcPr>
          <w:p>
            <w:pPr>
              <w:pStyle w:val="16"/>
            </w:pPr>
            <w:r>
              <w:t>开展工作时效性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增强影响力</w:t>
            </w:r>
          </w:p>
        </w:tc>
        <w:tc>
          <w:tcPr>
            <w:tcW w:w="2835" w:type="dxa"/>
            <w:vAlign w:val="center"/>
          </w:tcPr>
          <w:p>
            <w:pPr>
              <w:pStyle w:val="16"/>
            </w:pPr>
            <w:r>
              <w:t>增强影响力</w:t>
            </w:r>
          </w:p>
        </w:tc>
        <w:tc>
          <w:tcPr>
            <w:tcW w:w="2551" w:type="dxa"/>
            <w:vAlign w:val="center"/>
          </w:tcPr>
          <w:p>
            <w:pPr>
              <w:pStyle w:val="16"/>
            </w:pPr>
            <w:r>
              <w:t>增强影响力</w:t>
            </w:r>
          </w:p>
        </w:tc>
        <w:tc>
          <w:tcPr>
            <w:tcW w:w="2268" w:type="dxa"/>
            <w:vAlign w:val="center"/>
          </w:tcPr>
          <w:p>
            <w:pPr>
              <w:pStyle w:val="16"/>
            </w:pPr>
            <w:r>
              <w:t>增强影响力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服务对象满意度</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8、企业服务费用绩效目标表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1.提升社会影响力，加快企业尽快投资投产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服务保障完成情况</w:t>
            </w:r>
          </w:p>
        </w:tc>
        <w:tc>
          <w:tcPr>
            <w:tcW w:w="2835" w:type="dxa"/>
            <w:vAlign w:val="center"/>
          </w:tcPr>
          <w:p>
            <w:pPr>
              <w:pStyle w:val="16"/>
            </w:pPr>
            <w:r>
              <w:t>服务保障完成情况</w:t>
            </w:r>
          </w:p>
        </w:tc>
        <w:tc>
          <w:tcPr>
            <w:tcW w:w="2551" w:type="dxa"/>
            <w:vAlign w:val="center"/>
          </w:tcPr>
          <w:p>
            <w:pPr>
              <w:pStyle w:val="16"/>
            </w:pPr>
            <w:r>
              <w:t>提升服务质量</w:t>
            </w:r>
          </w:p>
        </w:tc>
        <w:tc>
          <w:tcPr>
            <w:tcW w:w="2268" w:type="dxa"/>
            <w:vAlign w:val="center"/>
          </w:tcPr>
          <w:p>
            <w:pPr>
              <w:pStyle w:val="16"/>
            </w:pPr>
            <w:r>
              <w:t>提升服务质量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w:t>
            </w:r>
          </w:p>
        </w:tc>
        <w:tc>
          <w:tcPr>
            <w:tcW w:w="2551" w:type="dxa"/>
            <w:vAlign w:val="center"/>
          </w:tcPr>
          <w:p>
            <w:pPr>
              <w:pStyle w:val="16"/>
            </w:pPr>
            <w:r>
              <w:t>社会影响力增强</w:t>
            </w:r>
          </w:p>
        </w:tc>
        <w:tc>
          <w:tcPr>
            <w:tcW w:w="2268" w:type="dxa"/>
            <w:vAlign w:val="center"/>
          </w:tcPr>
          <w:p>
            <w:pPr>
              <w:pStyle w:val="16"/>
            </w:pPr>
            <w:r>
              <w:t>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服务对象满意度</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9、外宣经费绩效目标表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1.扩大对外宣传力度，增强社会影响力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时效指标</w:t>
            </w:r>
          </w:p>
        </w:tc>
        <w:tc>
          <w:tcPr>
            <w:tcW w:w="2835" w:type="dxa"/>
            <w:vAlign w:val="center"/>
          </w:tcPr>
          <w:p>
            <w:pPr>
              <w:pStyle w:val="16"/>
            </w:pPr>
            <w:r>
              <w:t>工作完成的时效</w:t>
            </w:r>
          </w:p>
        </w:tc>
        <w:tc>
          <w:tcPr>
            <w:tcW w:w="2835" w:type="dxa"/>
            <w:vAlign w:val="center"/>
          </w:tcPr>
          <w:p>
            <w:pPr>
              <w:pStyle w:val="16"/>
            </w:pPr>
            <w:r>
              <w:t>工作完成所用的时间情况</w:t>
            </w:r>
            <w:r>
              <w:tab/>
            </w:r>
          </w:p>
        </w:tc>
        <w:tc>
          <w:tcPr>
            <w:tcW w:w="2551" w:type="dxa"/>
            <w:vAlign w:val="center"/>
          </w:tcPr>
          <w:p>
            <w:pPr>
              <w:pStyle w:val="16"/>
            </w:pPr>
            <w:r>
              <w:t>宣传及时</w:t>
            </w:r>
          </w:p>
        </w:tc>
        <w:tc>
          <w:tcPr>
            <w:tcW w:w="2268" w:type="dxa"/>
            <w:vAlign w:val="center"/>
          </w:tcPr>
          <w:p>
            <w:pPr>
              <w:pStyle w:val="16"/>
            </w:pPr>
            <w:r>
              <w:t>宣传及时性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增强影响力</w:t>
            </w:r>
          </w:p>
        </w:tc>
        <w:tc>
          <w:tcPr>
            <w:tcW w:w="2835" w:type="dxa"/>
            <w:vAlign w:val="center"/>
          </w:tcPr>
          <w:p>
            <w:pPr>
              <w:pStyle w:val="16"/>
            </w:pPr>
            <w:r>
              <w:t>增强影响力</w:t>
            </w:r>
          </w:p>
        </w:tc>
        <w:tc>
          <w:tcPr>
            <w:tcW w:w="2551" w:type="dxa"/>
            <w:vAlign w:val="center"/>
          </w:tcPr>
          <w:p>
            <w:pPr>
              <w:pStyle w:val="16"/>
            </w:pPr>
            <w:r>
              <w:t>影响力增强</w:t>
            </w:r>
          </w:p>
        </w:tc>
        <w:tc>
          <w:tcPr>
            <w:tcW w:w="2268" w:type="dxa"/>
            <w:vAlign w:val="center"/>
          </w:tcPr>
          <w:p>
            <w:pPr>
              <w:pStyle w:val="16"/>
            </w:pPr>
            <w:r>
              <w:t>影响力增强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服务对象满意度</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10、招商经费绩效目标表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1.招商活动顺利开展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财政拨款保障率</w:t>
            </w:r>
          </w:p>
        </w:tc>
        <w:tc>
          <w:tcPr>
            <w:tcW w:w="2835" w:type="dxa"/>
            <w:vAlign w:val="center"/>
          </w:tcPr>
          <w:p>
            <w:pPr>
              <w:pStyle w:val="16"/>
            </w:pPr>
            <w:r>
              <w:t>财政拨款保障率</w:t>
            </w:r>
          </w:p>
        </w:tc>
        <w:tc>
          <w:tcPr>
            <w:tcW w:w="2551" w:type="dxa"/>
            <w:vAlign w:val="center"/>
          </w:tcPr>
          <w:p>
            <w:pPr>
              <w:pStyle w:val="16"/>
            </w:pPr>
            <w:r>
              <w:t>资金拨款有保障</w:t>
            </w:r>
          </w:p>
        </w:tc>
        <w:tc>
          <w:tcPr>
            <w:tcW w:w="2268" w:type="dxa"/>
            <w:vAlign w:val="center"/>
          </w:tcPr>
          <w:p>
            <w:pPr>
              <w:pStyle w:val="16"/>
            </w:pPr>
            <w:r>
              <w:t>资金拨款有保障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经济效益增加值</w:t>
            </w:r>
          </w:p>
        </w:tc>
        <w:tc>
          <w:tcPr>
            <w:tcW w:w="2835" w:type="dxa"/>
            <w:vAlign w:val="center"/>
          </w:tcPr>
          <w:p>
            <w:pPr>
              <w:pStyle w:val="16"/>
            </w:pPr>
            <w:r>
              <w:t>通过项目开展对经济效益提升值</w:t>
            </w:r>
          </w:p>
        </w:tc>
        <w:tc>
          <w:tcPr>
            <w:tcW w:w="2551" w:type="dxa"/>
            <w:vAlign w:val="center"/>
          </w:tcPr>
          <w:p>
            <w:pPr>
              <w:pStyle w:val="16"/>
            </w:pPr>
            <w:r>
              <w:t>经济效益提升</w:t>
            </w:r>
          </w:p>
        </w:tc>
        <w:tc>
          <w:tcPr>
            <w:tcW w:w="2268" w:type="dxa"/>
            <w:vAlign w:val="center"/>
          </w:tcPr>
          <w:p>
            <w:pPr>
              <w:pStyle w:val="16"/>
            </w:pPr>
            <w:r>
              <w:t>经济效益提升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服务对象满意度</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11、城市维护费绩效目标表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1.各种基础设施维护及环境保持，利于企业发展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质量指标</w:t>
            </w:r>
          </w:p>
        </w:tc>
        <w:tc>
          <w:tcPr>
            <w:tcW w:w="2835" w:type="dxa"/>
            <w:vAlign w:val="center"/>
          </w:tcPr>
          <w:p>
            <w:pPr>
              <w:pStyle w:val="16"/>
            </w:pPr>
            <w:r>
              <w:t>质量指标</w:t>
            </w:r>
          </w:p>
        </w:tc>
        <w:tc>
          <w:tcPr>
            <w:tcW w:w="2551" w:type="dxa"/>
            <w:vAlign w:val="center"/>
          </w:tcPr>
          <w:p>
            <w:pPr>
              <w:pStyle w:val="16"/>
            </w:pPr>
            <w:r>
              <w:t>质量达标</w:t>
            </w:r>
          </w:p>
        </w:tc>
        <w:tc>
          <w:tcPr>
            <w:tcW w:w="2268" w:type="dxa"/>
            <w:vAlign w:val="center"/>
          </w:tcPr>
          <w:p>
            <w:pPr>
              <w:pStyle w:val="16"/>
            </w:pPr>
            <w:r>
              <w:t>质量达标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成果对社会影响力</w:t>
            </w:r>
          </w:p>
        </w:tc>
        <w:tc>
          <w:tcPr>
            <w:tcW w:w="2835" w:type="dxa"/>
            <w:vAlign w:val="center"/>
          </w:tcPr>
          <w:p>
            <w:pPr>
              <w:pStyle w:val="16"/>
            </w:pPr>
            <w:r>
              <w:t>成果对社会影响力</w:t>
            </w:r>
          </w:p>
        </w:tc>
        <w:tc>
          <w:tcPr>
            <w:tcW w:w="2551" w:type="dxa"/>
            <w:vAlign w:val="center"/>
          </w:tcPr>
          <w:p>
            <w:pPr>
              <w:pStyle w:val="16"/>
            </w:pPr>
            <w:r>
              <w:t>影响力增强</w:t>
            </w:r>
          </w:p>
        </w:tc>
        <w:tc>
          <w:tcPr>
            <w:tcW w:w="2268" w:type="dxa"/>
            <w:vAlign w:val="center"/>
          </w:tcPr>
          <w:p>
            <w:pPr>
              <w:pStyle w:val="16"/>
            </w:pPr>
            <w:r>
              <w:t>影响力增强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满意度</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12、规划环评编制费绩效目标表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1.经济开发区规划更加合理，更加符合上级要求与规划</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编制方案的质量</w:t>
            </w:r>
          </w:p>
        </w:tc>
        <w:tc>
          <w:tcPr>
            <w:tcW w:w="2835" w:type="dxa"/>
            <w:vAlign w:val="center"/>
          </w:tcPr>
          <w:p>
            <w:pPr>
              <w:pStyle w:val="16"/>
            </w:pPr>
            <w:r>
              <w:t>是否使得编制更加科学</w:t>
            </w:r>
          </w:p>
        </w:tc>
        <w:tc>
          <w:tcPr>
            <w:tcW w:w="2551" w:type="dxa"/>
            <w:vAlign w:val="center"/>
          </w:tcPr>
          <w:p>
            <w:pPr>
              <w:pStyle w:val="16"/>
            </w:pPr>
            <w:r>
              <w:t>编制更加科学</w:t>
            </w:r>
          </w:p>
        </w:tc>
        <w:tc>
          <w:tcPr>
            <w:tcW w:w="2268" w:type="dxa"/>
            <w:vAlign w:val="center"/>
          </w:tcPr>
          <w:p>
            <w:pPr>
              <w:pStyle w:val="16"/>
            </w:pPr>
            <w:r>
              <w:t>编制方案质量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社会效益增加值</w:t>
            </w:r>
          </w:p>
        </w:tc>
        <w:tc>
          <w:tcPr>
            <w:tcW w:w="2835" w:type="dxa"/>
            <w:vAlign w:val="center"/>
          </w:tcPr>
          <w:p>
            <w:pPr>
              <w:pStyle w:val="16"/>
            </w:pPr>
            <w:r>
              <w:t>通过项目开展对社会效益增加值</w:t>
            </w:r>
          </w:p>
        </w:tc>
        <w:tc>
          <w:tcPr>
            <w:tcW w:w="2551" w:type="dxa"/>
            <w:vAlign w:val="center"/>
          </w:tcPr>
          <w:p>
            <w:pPr>
              <w:pStyle w:val="16"/>
            </w:pPr>
            <w:r>
              <w:t>社会效益值增加</w:t>
            </w:r>
          </w:p>
        </w:tc>
        <w:tc>
          <w:tcPr>
            <w:tcW w:w="2268" w:type="dxa"/>
            <w:vAlign w:val="center"/>
          </w:tcPr>
          <w:p>
            <w:pPr>
              <w:pStyle w:val="16"/>
            </w:pPr>
            <w:r>
              <w:t>社会效益值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服务对象满意度增加</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13、近岸海域环境功能功能区划调整项目费用绩效目标表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1.功能区划调整到位，利于产业布局及企业投产落地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功能与政策标准的合规率</w:t>
            </w:r>
          </w:p>
        </w:tc>
        <w:tc>
          <w:tcPr>
            <w:tcW w:w="2835" w:type="dxa"/>
            <w:vAlign w:val="center"/>
          </w:tcPr>
          <w:p>
            <w:pPr>
              <w:pStyle w:val="16"/>
            </w:pPr>
            <w:r>
              <w:t>功能与政策标准的合规率</w:t>
            </w:r>
          </w:p>
        </w:tc>
        <w:tc>
          <w:tcPr>
            <w:tcW w:w="2551" w:type="dxa"/>
            <w:vAlign w:val="center"/>
          </w:tcPr>
          <w:p>
            <w:pPr>
              <w:pStyle w:val="16"/>
            </w:pPr>
            <w:r>
              <w:t>≥95%</w:t>
            </w:r>
          </w:p>
        </w:tc>
        <w:tc>
          <w:tcPr>
            <w:tcW w:w="2268" w:type="dxa"/>
            <w:vAlign w:val="center"/>
          </w:tcPr>
          <w:p>
            <w:pPr>
              <w:pStyle w:val="16"/>
            </w:pPr>
            <w:r>
              <w:t>功能与政策标准的合规率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项目持续影响效果</w:t>
            </w:r>
          </w:p>
        </w:tc>
        <w:tc>
          <w:tcPr>
            <w:tcW w:w="2835" w:type="dxa"/>
            <w:vAlign w:val="center"/>
          </w:tcPr>
          <w:p>
            <w:pPr>
              <w:pStyle w:val="16"/>
            </w:pPr>
            <w:r>
              <w:t>项目持续影响效果</w:t>
            </w:r>
          </w:p>
        </w:tc>
        <w:tc>
          <w:tcPr>
            <w:tcW w:w="2551" w:type="dxa"/>
            <w:vAlign w:val="center"/>
          </w:tcPr>
          <w:p>
            <w:pPr>
              <w:pStyle w:val="16"/>
            </w:pPr>
            <w:r>
              <w:t>≥95%</w:t>
            </w:r>
          </w:p>
        </w:tc>
        <w:tc>
          <w:tcPr>
            <w:tcW w:w="2268" w:type="dxa"/>
            <w:vAlign w:val="center"/>
          </w:tcPr>
          <w:p>
            <w:pPr>
              <w:pStyle w:val="16"/>
            </w:pPr>
            <w:r>
              <w:t>项目持续影响效果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服务对象满意度</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14、污水处理厂运营补贴绩效目标表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1.污水处理及时，利于环境改善，提升企业满意度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检测报告质量</w:t>
            </w:r>
          </w:p>
        </w:tc>
        <w:tc>
          <w:tcPr>
            <w:tcW w:w="2835" w:type="dxa"/>
            <w:vAlign w:val="center"/>
          </w:tcPr>
          <w:p>
            <w:pPr>
              <w:pStyle w:val="16"/>
            </w:pPr>
            <w:r>
              <w:t>检测报告质量</w:t>
            </w:r>
          </w:p>
        </w:tc>
        <w:tc>
          <w:tcPr>
            <w:tcW w:w="2551" w:type="dxa"/>
            <w:vAlign w:val="center"/>
          </w:tcPr>
          <w:p>
            <w:pPr>
              <w:pStyle w:val="16"/>
            </w:pPr>
            <w:r>
              <w:t>明显改善</w:t>
            </w:r>
          </w:p>
        </w:tc>
        <w:tc>
          <w:tcPr>
            <w:tcW w:w="2268" w:type="dxa"/>
            <w:vAlign w:val="center"/>
          </w:tcPr>
          <w:p>
            <w:pPr>
              <w:pStyle w:val="16"/>
            </w:pPr>
            <w:r>
              <w:t>检测报告质量改善度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生态效益指标</w:t>
            </w:r>
          </w:p>
        </w:tc>
        <w:tc>
          <w:tcPr>
            <w:tcW w:w="2835" w:type="dxa"/>
            <w:vAlign w:val="center"/>
          </w:tcPr>
          <w:p>
            <w:pPr>
              <w:pStyle w:val="16"/>
            </w:pPr>
            <w:r>
              <w:t>有利于当地生态环境的改善</w:t>
            </w:r>
          </w:p>
        </w:tc>
        <w:tc>
          <w:tcPr>
            <w:tcW w:w="2835" w:type="dxa"/>
            <w:vAlign w:val="center"/>
          </w:tcPr>
          <w:p>
            <w:pPr>
              <w:pStyle w:val="16"/>
            </w:pPr>
            <w:r>
              <w:t>有利于当地生态环境的改善</w:t>
            </w:r>
          </w:p>
        </w:tc>
        <w:tc>
          <w:tcPr>
            <w:tcW w:w="2551" w:type="dxa"/>
            <w:vAlign w:val="center"/>
          </w:tcPr>
          <w:p>
            <w:pPr>
              <w:pStyle w:val="16"/>
            </w:pPr>
            <w:r>
              <w:t>利于生态环境改善</w:t>
            </w:r>
          </w:p>
        </w:tc>
        <w:tc>
          <w:tcPr>
            <w:tcW w:w="2268" w:type="dxa"/>
            <w:vAlign w:val="center"/>
          </w:tcPr>
          <w:p>
            <w:pPr>
              <w:pStyle w:val="16"/>
            </w:pPr>
            <w:r>
              <w:t>利于生态环境改善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服务对象满意度</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2"/>
      </w:pPr>
      <w:bookmarkStart w:id="13" w:name="_Toc_3_3_0000000015"/>
      <w:r>
        <w:rPr>
          <w:rFonts w:ascii="黑体" w:hAnsi="黑体" w:eastAsia="黑体" w:cs="黑体"/>
          <w:color w:val="000000"/>
          <w:sz w:val="32"/>
        </w:rPr>
        <w:t>六、政府采购预算情况</w:t>
      </w:r>
      <w:bookmarkEnd w:id="13"/>
    </w:p>
    <w:p>
      <w:pPr>
        <w:spacing w:before="0" w:after="0" w:line="500" w:lineRule="exact"/>
        <w:ind w:firstLine="560"/>
        <w:jc w:val="left"/>
        <w:outlineLvl w:val="9"/>
      </w:pPr>
      <w:r>
        <w:rPr>
          <w:rFonts w:ascii="Times New Roman" w:hAnsi="Times New Roman" w:eastAsia="方正仿宋_GBK" w:cs="Times New Roman"/>
          <w:b w:val="0"/>
          <w:color w:val="000000"/>
          <w:sz w:val="28"/>
        </w:rPr>
        <w:t>2022年，经济开发区管理委员会安排政府采购预算</w:t>
      </w:r>
      <w:r>
        <w:rPr>
          <w:rFonts w:hint="eastAsia" w:eastAsia="方正仿宋_GBK" w:cs="Times New Roman"/>
          <w:b w:val="0"/>
          <w:color w:val="000000"/>
          <w:sz w:val="28"/>
          <w:lang w:val="en-US" w:eastAsia="zh-CN"/>
        </w:rPr>
        <w:t>329.50</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1305"/>
        <w:gridCol w:w="543"/>
        <w:gridCol w:w="924"/>
        <w:gridCol w:w="1128"/>
        <w:gridCol w:w="849"/>
        <w:gridCol w:w="795"/>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72" w:type="dxa"/>
            <w:gridSpan w:val="7"/>
            <w:tcBorders>
              <w:top w:val="single" w:color="FFFFFF" w:sz="6" w:space="0"/>
              <w:left w:val="single" w:color="FFFFFF" w:sz="6" w:space="0"/>
              <w:right w:val="single" w:color="FFFFFF" w:sz="6" w:space="0"/>
            </w:tcBorders>
            <w:vAlign w:val="center"/>
          </w:tcPr>
          <w:p>
            <w:pPr>
              <w:pStyle w:val="13"/>
            </w:pPr>
            <w:r>
              <w:t>479经济开发区管理委员会</w:t>
            </w:r>
          </w:p>
        </w:tc>
        <w:tc>
          <w:tcPr>
            <w:tcW w:w="8112"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pPr>
            <w:r>
              <w:t>政府采购项目来源</w:t>
            </w:r>
          </w:p>
        </w:tc>
        <w:tc>
          <w:tcPr>
            <w:tcW w:w="924" w:type="dxa"/>
            <w:vMerge w:val="restart"/>
            <w:vAlign w:val="center"/>
          </w:tcPr>
          <w:p>
            <w:pPr>
              <w:pStyle w:val="14"/>
            </w:pPr>
            <w:r>
              <w:t>采购物品名称</w:t>
            </w:r>
          </w:p>
        </w:tc>
        <w:tc>
          <w:tcPr>
            <w:tcW w:w="1305" w:type="dxa"/>
            <w:vMerge w:val="restart"/>
            <w:vAlign w:val="center"/>
          </w:tcPr>
          <w:p>
            <w:pPr>
              <w:pStyle w:val="14"/>
            </w:pPr>
            <w:r>
              <w:t>政府采购目录序号</w:t>
            </w:r>
          </w:p>
        </w:tc>
        <w:tc>
          <w:tcPr>
            <w:tcW w:w="543" w:type="dxa"/>
            <w:vMerge w:val="restart"/>
            <w:vAlign w:val="center"/>
          </w:tcPr>
          <w:p>
            <w:pPr>
              <w:pStyle w:val="14"/>
            </w:pPr>
            <w:r>
              <w:t>计量  单位</w:t>
            </w:r>
          </w:p>
        </w:tc>
        <w:tc>
          <w:tcPr>
            <w:tcW w:w="924" w:type="dxa"/>
            <w:vMerge w:val="restart"/>
            <w:vAlign w:val="center"/>
          </w:tcPr>
          <w:p>
            <w:pPr>
              <w:pStyle w:val="14"/>
            </w:pPr>
            <w:r>
              <w:t>数量</w:t>
            </w:r>
          </w:p>
        </w:tc>
        <w:tc>
          <w:tcPr>
            <w:tcW w:w="1128" w:type="dxa"/>
            <w:vMerge w:val="restart"/>
            <w:vAlign w:val="center"/>
          </w:tcPr>
          <w:p>
            <w:pPr>
              <w:pStyle w:val="14"/>
            </w:pPr>
            <w:r>
              <w:t>单价</w:t>
            </w:r>
          </w:p>
        </w:tc>
        <w:tc>
          <w:tcPr>
            <w:tcW w:w="7188" w:type="dxa"/>
            <w:gridSpan w:val="8"/>
            <w:vAlign w:val="center"/>
          </w:tcPr>
          <w:p>
            <w:pPr>
              <w:pStyle w:val="14"/>
            </w:pPr>
            <w:r>
              <w:t>政府采购金额（当年部门预算安排资金）</w:t>
            </w:r>
          </w:p>
        </w:tc>
        <w:tc>
          <w:tcPr>
            <w:tcW w:w="92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1305" w:type="dxa"/>
            <w:vMerge w:val="continue"/>
          </w:tcPr>
          <w:p/>
        </w:tc>
        <w:tc>
          <w:tcPr>
            <w:tcW w:w="543" w:type="dxa"/>
            <w:vMerge w:val="continue"/>
          </w:tcPr>
          <w:p/>
        </w:tc>
        <w:tc>
          <w:tcPr>
            <w:tcW w:w="924" w:type="dxa"/>
            <w:vMerge w:val="continue"/>
          </w:tcPr>
          <w:p/>
        </w:tc>
        <w:tc>
          <w:tcPr>
            <w:tcW w:w="1128" w:type="dxa"/>
            <w:vMerge w:val="continue"/>
          </w:tcPr>
          <w:p/>
        </w:tc>
        <w:tc>
          <w:tcPr>
            <w:tcW w:w="849" w:type="dxa"/>
            <w:vAlign w:val="center"/>
          </w:tcPr>
          <w:p>
            <w:pPr>
              <w:pStyle w:val="14"/>
            </w:pPr>
            <w:r>
              <w:t>合计</w:t>
            </w:r>
          </w:p>
        </w:tc>
        <w:tc>
          <w:tcPr>
            <w:tcW w:w="795"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rPr>
                <w:rFonts w:hint="eastAsia"/>
                <w:lang w:eastAsia="zh-CN"/>
              </w:rPr>
              <w:t>部门</w:t>
            </w:r>
            <w:r>
              <w:t xml:space="preserve">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765" w:hRule="atLeast"/>
          <w:jc w:val="center"/>
        </w:trPr>
        <w:tc>
          <w:tcPr>
            <w:tcW w:w="924" w:type="dxa"/>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zh-CN" w:bidi="ar"/>
              </w:rPr>
            </w:pPr>
            <w:r>
              <w:rPr>
                <w:rFonts w:hint="eastAsia" w:ascii="Calibri" w:hAnsi="Calibri" w:eastAsia="宋体" w:cs="Calibri"/>
                <w:b/>
                <w:bCs/>
                <w:i w:val="0"/>
                <w:color w:val="000000"/>
                <w:kern w:val="0"/>
                <w:sz w:val="22"/>
                <w:szCs w:val="22"/>
                <w:u w:val="none"/>
                <w:lang w:val="en-US" w:eastAsia="zh-CN" w:bidi="ar"/>
              </w:rPr>
              <w:t>河北乐亭经济开发区管委会合计数</w:t>
            </w: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b/>
                <w:bCs/>
                <w:i w:val="0"/>
                <w:color w:val="000000"/>
                <w:kern w:val="0"/>
                <w:sz w:val="22"/>
                <w:szCs w:val="22"/>
                <w:u w:val="none"/>
                <w:lang w:val="en-US" w:eastAsia="zh-CN" w:bidi="ar"/>
              </w:rPr>
              <w:t>488.5</w:t>
            </w:r>
          </w:p>
        </w:tc>
        <w:tc>
          <w:tcPr>
            <w:tcW w:w="2229" w:type="dxa"/>
            <w:gridSpan w:val="2"/>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zh-CN" w:bidi="ar"/>
              </w:rPr>
            </w:pPr>
          </w:p>
        </w:tc>
        <w:tc>
          <w:tcPr>
            <w:tcW w:w="543" w:type="dxa"/>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zh-CN" w:bidi="ar"/>
              </w:rPr>
            </w:pPr>
          </w:p>
        </w:tc>
        <w:tc>
          <w:tcPr>
            <w:tcW w:w="1128" w:type="dxa"/>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zh-CN" w:bidi="ar"/>
              </w:rPr>
            </w:pPr>
          </w:p>
        </w:tc>
        <w:tc>
          <w:tcPr>
            <w:tcW w:w="849" w:type="dxa"/>
            <w:vAlign w:val="center"/>
          </w:tcPr>
          <w:p>
            <w:pPr>
              <w:keepNext w:val="0"/>
              <w:keepLines w:val="0"/>
              <w:widowControl/>
              <w:suppressLineNumbers w:val="0"/>
              <w:jc w:val="left"/>
              <w:textAlignment w:val="top"/>
              <w:rPr>
                <w:rFonts w:hint="default" w:ascii="Calibri" w:hAnsi="Calibri" w:eastAsia="宋体" w:cs="Calibri"/>
                <w:b/>
                <w:bCs/>
                <w:i w:val="0"/>
                <w:color w:val="000000"/>
                <w:kern w:val="0"/>
                <w:sz w:val="22"/>
                <w:szCs w:val="22"/>
                <w:u w:val="none"/>
                <w:lang w:val="en-US" w:eastAsia="zh-CN" w:bidi="ar"/>
              </w:rPr>
            </w:pPr>
            <w:r>
              <w:rPr>
                <w:rFonts w:hint="eastAsia" w:ascii="Calibri" w:hAnsi="Calibri" w:eastAsia="宋体" w:cs="Calibri"/>
                <w:b/>
                <w:bCs/>
                <w:i w:val="0"/>
                <w:color w:val="000000"/>
                <w:kern w:val="0"/>
                <w:sz w:val="22"/>
                <w:szCs w:val="22"/>
                <w:u w:val="none"/>
                <w:lang w:val="en-US" w:eastAsia="zh-CN" w:bidi="ar"/>
              </w:rPr>
              <w:t>329.5</w:t>
            </w:r>
          </w:p>
        </w:tc>
        <w:tc>
          <w:tcPr>
            <w:tcW w:w="795" w:type="dxa"/>
            <w:vAlign w:val="center"/>
          </w:tcPr>
          <w:p>
            <w:pPr>
              <w:keepNext w:val="0"/>
              <w:keepLines w:val="0"/>
              <w:widowControl/>
              <w:suppressLineNumbers w:val="0"/>
              <w:jc w:val="left"/>
              <w:textAlignment w:val="top"/>
              <w:rPr>
                <w:rFonts w:hint="default" w:ascii="Calibri" w:hAnsi="Calibri" w:eastAsia="宋体" w:cs="Calibri"/>
                <w:b/>
                <w:bCs/>
                <w:i w:val="0"/>
                <w:color w:val="000000"/>
                <w:kern w:val="0"/>
                <w:sz w:val="22"/>
                <w:szCs w:val="22"/>
                <w:u w:val="none"/>
                <w:lang w:val="en-US" w:eastAsia="zh-CN" w:bidi="ar"/>
              </w:rPr>
            </w:pPr>
            <w:r>
              <w:rPr>
                <w:rFonts w:hint="eastAsia" w:ascii="Calibri" w:hAnsi="Calibri" w:eastAsia="宋体" w:cs="Calibri"/>
                <w:b/>
                <w:bCs/>
                <w:i w:val="0"/>
                <w:color w:val="000000"/>
                <w:kern w:val="0"/>
                <w:sz w:val="22"/>
                <w:szCs w:val="22"/>
                <w:u w:val="none"/>
                <w:lang w:val="en-US" w:eastAsia="zh-CN" w:bidi="ar"/>
              </w:rPr>
              <w:t>329.5</w:t>
            </w:r>
          </w:p>
        </w:tc>
        <w:tc>
          <w:tcPr>
            <w:tcW w:w="924" w:type="dxa"/>
            <w:vAlign w:val="center"/>
          </w:tcPr>
          <w:p>
            <w:pPr>
              <w:keepNext w:val="0"/>
              <w:keepLines w:val="0"/>
              <w:widowControl/>
              <w:suppressLineNumbers w:val="0"/>
              <w:jc w:val="left"/>
              <w:textAlignment w:val="top"/>
              <w:rPr>
                <w:rFonts w:hint="default" w:ascii="Calibri" w:hAnsi="Calibri" w:eastAsia="宋体" w:cs="Calibri"/>
                <w:b/>
                <w:bCs/>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default" w:ascii="Calibri" w:hAnsi="Calibri" w:eastAsia="宋体" w:cs="Calibri"/>
                <w:b/>
                <w:bCs/>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default" w:ascii="Calibri" w:hAnsi="Calibri" w:eastAsia="宋体" w:cs="Calibri"/>
                <w:b/>
                <w:bCs/>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default" w:ascii="Calibri" w:hAnsi="Calibri" w:eastAsia="宋体" w:cs="Calibri"/>
                <w:b/>
                <w:bCs/>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default" w:ascii="Calibri" w:hAnsi="Calibri" w:eastAsia="宋体" w:cs="Calibri"/>
                <w:b/>
                <w:bCs/>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default" w:ascii="Calibri" w:hAnsi="Calibri" w:eastAsia="宋体" w:cs="Calibri"/>
                <w:b/>
                <w:bCs/>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default" w:ascii="Calibri" w:hAnsi="Calibri" w:eastAsia="宋体" w:cs="Calibri"/>
                <w:b/>
                <w:bCs/>
                <w:i w:val="0"/>
                <w:color w:val="000000"/>
                <w:kern w:val="0"/>
                <w:sz w:val="22"/>
                <w:szCs w:val="22"/>
                <w:u w:val="none"/>
                <w:lang w:val="en-US" w:eastAsia="zh-CN" w:bidi="ar"/>
              </w:rPr>
            </w:pPr>
            <w:r>
              <w:rPr>
                <w:rFonts w:hint="eastAsia" w:ascii="Calibri" w:hAnsi="Calibri" w:eastAsia="宋体" w:cs="Calibri"/>
                <w:b/>
                <w:bCs/>
                <w:i w:val="0"/>
                <w:color w:val="000000"/>
                <w:kern w:val="0"/>
                <w:sz w:val="22"/>
                <w:szCs w:val="22"/>
                <w:u w:val="none"/>
                <w:lang w:val="en-US" w:eastAsia="zh-CN" w:bidi="ar"/>
              </w:rPr>
              <w:t>329.5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5" w:hRule="atLeast"/>
          <w:jc w:val="center"/>
        </w:trPr>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律师服务费</w:t>
            </w: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100</w:t>
            </w:r>
          </w:p>
        </w:tc>
        <w:tc>
          <w:tcPr>
            <w:tcW w:w="2229" w:type="dxa"/>
            <w:gridSpan w:val="2"/>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律师服务费</w:t>
            </w:r>
          </w:p>
        </w:tc>
        <w:tc>
          <w:tcPr>
            <w:tcW w:w="543"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项</w:t>
            </w: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1</w:t>
            </w:r>
          </w:p>
        </w:tc>
        <w:tc>
          <w:tcPr>
            <w:tcW w:w="1128"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100</w:t>
            </w:r>
          </w:p>
        </w:tc>
        <w:tc>
          <w:tcPr>
            <w:tcW w:w="849"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100</w:t>
            </w:r>
          </w:p>
        </w:tc>
        <w:tc>
          <w:tcPr>
            <w:tcW w:w="795"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100</w:t>
            </w: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安全生产费用</w:t>
            </w: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20.5</w:t>
            </w:r>
          </w:p>
        </w:tc>
        <w:tc>
          <w:tcPr>
            <w:tcW w:w="2229" w:type="dxa"/>
            <w:gridSpan w:val="2"/>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安全生产防护费</w:t>
            </w:r>
          </w:p>
        </w:tc>
        <w:tc>
          <w:tcPr>
            <w:tcW w:w="543" w:type="dxa"/>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套</w:t>
            </w: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20</w:t>
            </w:r>
          </w:p>
        </w:tc>
        <w:tc>
          <w:tcPr>
            <w:tcW w:w="1128"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0.025</w:t>
            </w:r>
          </w:p>
        </w:tc>
        <w:tc>
          <w:tcPr>
            <w:tcW w:w="849"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0.5</w:t>
            </w:r>
          </w:p>
        </w:tc>
        <w:tc>
          <w:tcPr>
            <w:tcW w:w="795"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0.5</w:t>
            </w: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近岸海域功能区划调整费用</w:t>
            </w: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149</w:t>
            </w:r>
          </w:p>
        </w:tc>
        <w:tc>
          <w:tcPr>
            <w:tcW w:w="2229" w:type="dxa"/>
            <w:gridSpan w:val="2"/>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近岸海域功能区划调整费用</w:t>
            </w:r>
          </w:p>
        </w:tc>
        <w:tc>
          <w:tcPr>
            <w:tcW w:w="543" w:type="dxa"/>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项</w:t>
            </w: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1</w:t>
            </w:r>
          </w:p>
        </w:tc>
        <w:tc>
          <w:tcPr>
            <w:tcW w:w="1128"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149</w:t>
            </w:r>
          </w:p>
        </w:tc>
        <w:tc>
          <w:tcPr>
            <w:tcW w:w="849"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149</w:t>
            </w:r>
          </w:p>
        </w:tc>
        <w:tc>
          <w:tcPr>
            <w:tcW w:w="795"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149</w:t>
            </w: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城市维护费</w:t>
            </w: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219</w:t>
            </w:r>
          </w:p>
        </w:tc>
        <w:tc>
          <w:tcPr>
            <w:tcW w:w="2229" w:type="dxa"/>
            <w:gridSpan w:val="2"/>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uk-UA" w:bidi="ar"/>
              </w:rPr>
            </w:pPr>
            <w:r>
              <w:rPr>
                <w:rFonts w:hint="eastAsia" w:ascii="Calibri" w:hAnsi="Calibri" w:eastAsia="宋体" w:cs="Calibri"/>
                <w:i w:val="0"/>
                <w:color w:val="000000"/>
                <w:kern w:val="0"/>
                <w:sz w:val="22"/>
                <w:szCs w:val="22"/>
                <w:u w:val="none"/>
                <w:lang w:val="en-US" w:eastAsia="zh-CN" w:bidi="ar"/>
              </w:rPr>
              <w:t>城市环境卫生整治</w:t>
            </w:r>
          </w:p>
        </w:tc>
        <w:tc>
          <w:tcPr>
            <w:tcW w:w="543" w:type="dxa"/>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项</w:t>
            </w: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1</w:t>
            </w:r>
          </w:p>
        </w:tc>
        <w:tc>
          <w:tcPr>
            <w:tcW w:w="1128"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80</w:t>
            </w:r>
          </w:p>
        </w:tc>
        <w:tc>
          <w:tcPr>
            <w:tcW w:w="849"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80</w:t>
            </w:r>
          </w:p>
        </w:tc>
        <w:tc>
          <w:tcPr>
            <w:tcW w:w="795"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80</w:t>
            </w:r>
          </w:p>
        </w:tc>
        <w:tc>
          <w:tcPr>
            <w:tcW w:w="924" w:type="dxa"/>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uk-UA" w:bidi="ar"/>
              </w:rPr>
            </w:pPr>
          </w:p>
        </w:tc>
        <w:tc>
          <w:tcPr>
            <w:tcW w:w="924" w:type="dxa"/>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uk-UA" w:bidi="ar"/>
              </w:rPr>
            </w:pPr>
          </w:p>
        </w:tc>
        <w:tc>
          <w:tcPr>
            <w:tcW w:w="924" w:type="dxa"/>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uk-UA" w:bidi="ar"/>
              </w:rPr>
            </w:pPr>
          </w:p>
        </w:tc>
        <w:tc>
          <w:tcPr>
            <w:tcW w:w="924" w:type="dxa"/>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uk-UA" w:bidi="ar"/>
              </w:rPr>
            </w:pPr>
          </w:p>
        </w:tc>
        <w:tc>
          <w:tcPr>
            <w:tcW w:w="924" w:type="dxa"/>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uk-UA" w:bidi="ar"/>
              </w:rPr>
            </w:pPr>
          </w:p>
        </w:tc>
        <w:tc>
          <w:tcPr>
            <w:tcW w:w="924" w:type="dxa"/>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uk-UA" w:bidi="ar"/>
              </w:rPr>
            </w:pP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80</w:t>
            </w:r>
          </w:p>
        </w:tc>
      </w:tr>
    </w:tbl>
    <w:p>
      <w:pPr>
        <w:spacing w:before="0" w:after="0"/>
        <w:ind w:firstLine="640"/>
        <w:jc w:val="left"/>
        <w:outlineLvl w:val="9"/>
        <w:rPr>
          <w:rFonts w:ascii="黑体" w:hAnsi="黑体" w:eastAsia="黑体" w:cs="黑体"/>
          <w:color w:val="000000"/>
          <w:sz w:val="32"/>
        </w:rPr>
      </w:pPr>
      <w:r>
        <w:rPr>
          <w:rFonts w:ascii="Times New Roman" w:hAnsi="Times New Roman" w:eastAsia="方正仿宋_GBK" w:cs="Times New Roman"/>
          <w:color w:val="000000"/>
          <w:sz w:val="32"/>
        </w:rPr>
        <w:t xml:space="preserve"> </w:t>
      </w:r>
      <w:bookmarkStart w:id="14" w:name="_Toc_3_3_0000000016"/>
    </w:p>
    <w:p>
      <w:pPr>
        <w:spacing w:before="10" w:after="10" w:line="240" w:lineRule="auto"/>
        <w:ind w:firstLine="640"/>
        <w:jc w:val="left"/>
        <w:outlineLvl w:val="2"/>
      </w:pPr>
      <w:r>
        <w:rPr>
          <w:rFonts w:ascii="黑体" w:hAnsi="黑体" w:eastAsia="黑体" w:cs="黑体"/>
          <w:color w:val="000000"/>
          <w:sz w:val="32"/>
        </w:rPr>
        <w:t>七、国有资产信息</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经济开发区管理委员会（含所属</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）上年末固定资产金额为</w:t>
      </w:r>
      <w:r>
        <w:rPr>
          <w:rFonts w:hint="eastAsia" w:eastAsia="方正仿宋_GBK" w:cs="Times New Roman"/>
          <w:b w:val="0"/>
          <w:color w:val="000000"/>
          <w:sz w:val="28"/>
          <w:lang w:val="en-US" w:eastAsia="zh-CN"/>
        </w:rPr>
        <w:t>2329.86</w:t>
      </w:r>
      <w:r>
        <w:rPr>
          <w:rFonts w:ascii="Times New Roman" w:hAnsi="Times New Roman" w:eastAsia="方正仿宋_GBK" w:cs="Times New Roman"/>
          <w:b w:val="0"/>
          <w:color w:val="000000"/>
          <w:sz w:val="28"/>
        </w:rPr>
        <w:t>万元（详见下表）。本年度拟购置固定资产总额为0.00万元。</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13710" w:type="dxa"/>
        <w:tblInd w:w="0" w:type="dxa"/>
        <w:shd w:val="clear" w:color="auto" w:fill="auto"/>
        <w:tblLayout w:type="autofit"/>
        <w:tblCellMar>
          <w:top w:w="0" w:type="dxa"/>
          <w:left w:w="0" w:type="dxa"/>
          <w:bottom w:w="0" w:type="dxa"/>
          <w:right w:w="0" w:type="dxa"/>
        </w:tblCellMar>
      </w:tblPr>
      <w:tblGrid>
        <w:gridCol w:w="675"/>
        <w:gridCol w:w="4468"/>
        <w:gridCol w:w="4286"/>
        <w:gridCol w:w="4286"/>
      </w:tblGrid>
      <w:tr>
        <w:tblPrEx>
          <w:tblCellMar>
            <w:top w:w="0" w:type="dxa"/>
            <w:left w:w="0" w:type="dxa"/>
            <w:bottom w:w="0" w:type="dxa"/>
            <w:right w:w="0" w:type="dxa"/>
          </w:tblCellMar>
        </w:tblPrEx>
        <w:trPr>
          <w:trHeight w:val="360" w:hRule="atLeast"/>
        </w:trPr>
        <w:tc>
          <w:tcPr>
            <w:tcW w:w="51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预算部门编码及名称：[479]经济开发区管理委员会</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价值</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资产总额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2329.86</w:t>
            </w: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1、房屋（平方米）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1887.53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598.21</w:t>
            </w: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其中：办公用房（平方米）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2、车辆（台、辆）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262.10</w:t>
            </w: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3、单价在20万元以上的设备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1398.13</w:t>
            </w: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4、其他固定资产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71.42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7"/>
      <w:r>
        <w:rPr>
          <w:rFonts w:ascii="黑体" w:hAnsi="黑体" w:eastAsia="黑体" w:cs="黑体"/>
          <w:color w:val="000000"/>
          <w:sz w:val="32"/>
        </w:rPr>
        <w:t>八、名词解释</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级财政预算管理的“三公”经费，是指省级部门用财政拨款安排的因公出国（境）费、公务用车购置及运维费和公务接待费。其中，因公出国（境）费反映</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公务出国（境）的住宿费、旅费、伙食补助费、杂费、培训费等支出；公务用车购置及运维费反映</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公务用车购置费及租用费、燃料费、维修费、过路过桥费、保险费、安全奖励费用等支出；公务接待费反映</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在专业业务活动及其辅助活动之外开展非独立核算经营活动发生的支出。</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10" w:after="10" w:line="240" w:lineRule="auto"/>
        <w:ind w:firstLine="640"/>
        <w:jc w:val="left"/>
        <w:outlineLvl w:val="2"/>
      </w:pPr>
      <w:bookmarkStart w:id="16" w:name="_Toc_3_3_0000000018"/>
      <w:r>
        <w:rPr>
          <w:rFonts w:ascii="黑体" w:hAnsi="黑体" w:eastAsia="黑体" w:cs="黑体"/>
          <w:color w:val="000000"/>
          <w:sz w:val="32"/>
        </w:rPr>
        <w:t>九、其他需要说明的事项</w:t>
      </w:r>
      <w:bookmarkEnd w:id="16"/>
    </w:p>
    <w:p>
      <w:pPr>
        <w:keepNext w:val="0"/>
        <w:keepLines w:val="0"/>
        <w:pageBreakBefore w:val="0"/>
        <w:widowControl/>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eastAsia="方正仿宋_GBK"/>
          <w:lang w:eastAsia="zh-CN"/>
        </w:rPr>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pPr>
        <w:tabs>
          <w:tab w:val="left" w:pos="1488"/>
        </w:tabs>
        <w:spacing w:before="0" w:after="0" w:line="240" w:lineRule="auto"/>
        <w:ind w:firstLine="0"/>
        <w:jc w:val="both"/>
        <w:outlineLvl w:val="9"/>
        <w:rPr>
          <w:rFonts w:hint="eastAsia" w:eastAsia="宋体"/>
          <w:lang w:val="en-US" w:eastAsia="zh-CN"/>
        </w:rPr>
      </w:pPr>
    </w:p>
    <w:p>
      <w:pPr>
        <w:bidi w:val="0"/>
        <w:rPr>
          <w:rFonts w:hint="eastAsia" w:ascii="Times New Roman" w:hAnsi="Times New Roman" w:eastAsia="Times New Roman" w:cs="Times New Roman"/>
          <w:sz w:val="24"/>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643"/>
        </w:tabs>
        <w:bidi w:val="0"/>
        <w:jc w:val="left"/>
        <w:rPr>
          <w:rFonts w:hint="eastAsia"/>
          <w:lang w:val="en-US" w:eastAsia="zh-CN"/>
        </w:rPr>
      </w:pPr>
      <w:r>
        <w:rPr>
          <w:rFonts w:hint="eastAsia"/>
          <w:lang w:val="en-US" w:eastAsia="zh-CN"/>
        </w:rPr>
        <w:tab/>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DB741"/>
    <w:multiLevelType w:val="singleLevel"/>
    <w:tmpl w:val="AAEDB741"/>
    <w:lvl w:ilvl="0" w:tentative="0">
      <w:start w:val="3"/>
      <w:numFmt w:val="chineseCounting"/>
      <w:suff w:val="nothing"/>
      <w:lvlText w:val="（%1）"/>
      <w:lvlJc w:val="left"/>
      <w:rPr>
        <w:rFonts w:hint="eastAsia"/>
      </w:rPr>
    </w:lvl>
  </w:abstractNum>
  <w:abstractNum w:abstractNumId="1">
    <w:nsid w:val="BF915351"/>
    <w:multiLevelType w:val="singleLevel"/>
    <w:tmpl w:val="BF915351"/>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mY2Y3MGFlZTY2MTM0MDMzOGIxYjM2MThjNzU0MmMifQ=="/>
  </w:docVars>
  <w:rsids>
    <w:rsidRoot w:val="00000000"/>
    <w:rsid w:val="0290574C"/>
    <w:rsid w:val="03E811D8"/>
    <w:rsid w:val="0B717128"/>
    <w:rsid w:val="0F6C4862"/>
    <w:rsid w:val="21925BC3"/>
    <w:rsid w:val="29160C66"/>
    <w:rsid w:val="30F67DFF"/>
    <w:rsid w:val="312E7779"/>
    <w:rsid w:val="3A7807DE"/>
    <w:rsid w:val="3A961BF3"/>
    <w:rsid w:val="3BBA49D3"/>
    <w:rsid w:val="3DBD0DC6"/>
    <w:rsid w:val="3DDB706C"/>
    <w:rsid w:val="3DE315C8"/>
    <w:rsid w:val="40580367"/>
    <w:rsid w:val="41354F8B"/>
    <w:rsid w:val="42BD0739"/>
    <w:rsid w:val="445720BE"/>
    <w:rsid w:val="48694928"/>
    <w:rsid w:val="4A756E05"/>
    <w:rsid w:val="52EE79D3"/>
    <w:rsid w:val="5A2F60B0"/>
    <w:rsid w:val="5D131BB3"/>
    <w:rsid w:val="5D5A0011"/>
    <w:rsid w:val="5DED1ED3"/>
    <w:rsid w:val="65FA2ABA"/>
    <w:rsid w:val="6A2D1D9F"/>
    <w:rsid w:val="70115CB9"/>
    <w:rsid w:val="7449135E"/>
    <w:rsid w:val="7A2E2DE0"/>
    <w:rsid w:val="7B9A0A3A"/>
    <w:rsid w:val="7D56545A"/>
    <w:rsid w:val="7FBD72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6" Type="http://schemas.openxmlformats.org/officeDocument/2006/relationships/fontTable" Target="fontTable.xml"/><Relationship Id="rId75" Type="http://schemas.openxmlformats.org/officeDocument/2006/relationships/customXml" Target="../customXml/item67.xml"/><Relationship Id="rId74" Type="http://schemas.openxmlformats.org/officeDocument/2006/relationships/customXml" Target="../customXml/item66.xml"/><Relationship Id="rId73" Type="http://schemas.openxmlformats.org/officeDocument/2006/relationships/customXml" Target="../customXml/item65.xml"/><Relationship Id="rId72" Type="http://schemas.openxmlformats.org/officeDocument/2006/relationships/customXml" Target="../customXml/item64.xml"/><Relationship Id="rId71" Type="http://schemas.openxmlformats.org/officeDocument/2006/relationships/customXml" Target="../customXml/item63.xml"/><Relationship Id="rId70" Type="http://schemas.openxmlformats.org/officeDocument/2006/relationships/customXml" Target="../customXml/item62.xml"/><Relationship Id="rId7" Type="http://schemas.openxmlformats.org/officeDocument/2006/relationships/theme" Target="theme/theme1.xml"/><Relationship Id="rId69" Type="http://schemas.openxmlformats.org/officeDocument/2006/relationships/customXml" Target="../customXml/item61.xml"/><Relationship Id="rId68" Type="http://schemas.openxmlformats.org/officeDocument/2006/relationships/customXml" Target="../customXml/item60.xml"/><Relationship Id="rId67" Type="http://schemas.openxmlformats.org/officeDocument/2006/relationships/customXml" Target="../customXml/item59.xml"/><Relationship Id="rId66" Type="http://schemas.openxmlformats.org/officeDocument/2006/relationships/customXml" Target="../customXml/item58.xml"/><Relationship Id="rId65" Type="http://schemas.openxmlformats.org/officeDocument/2006/relationships/customXml" Target="../customXml/item57.xml"/><Relationship Id="rId64" Type="http://schemas.openxmlformats.org/officeDocument/2006/relationships/customXml" Target="../customXml/item56.xml"/><Relationship Id="rId63" Type="http://schemas.openxmlformats.org/officeDocument/2006/relationships/customXml" Target="../customXml/item55.xml"/><Relationship Id="rId62" Type="http://schemas.openxmlformats.org/officeDocument/2006/relationships/customXml" Target="../customXml/item54.xml"/><Relationship Id="rId61" Type="http://schemas.openxmlformats.org/officeDocument/2006/relationships/customXml" Target="../customXml/item53.xml"/><Relationship Id="rId60" Type="http://schemas.openxmlformats.org/officeDocument/2006/relationships/customXml" Target="../customXml/item52.xml"/><Relationship Id="rId6" Type="http://schemas.openxmlformats.org/officeDocument/2006/relationships/footer" Target="footer3.xml"/><Relationship Id="rId59" Type="http://schemas.openxmlformats.org/officeDocument/2006/relationships/customXml" Target="../customXml/item51.xml"/><Relationship Id="rId58" Type="http://schemas.openxmlformats.org/officeDocument/2006/relationships/customXml" Target="../customXml/item50.xml"/><Relationship Id="rId57" Type="http://schemas.openxmlformats.org/officeDocument/2006/relationships/customXml" Target="../customXml/item49.xml"/><Relationship Id="rId56" Type="http://schemas.openxmlformats.org/officeDocument/2006/relationships/customXml" Target="../customXml/item48.xml"/><Relationship Id="rId55" Type="http://schemas.openxmlformats.org/officeDocument/2006/relationships/customXml" Target="../customXml/item47.xml"/><Relationship Id="rId54" Type="http://schemas.openxmlformats.org/officeDocument/2006/relationships/customXml" Target="../customXml/item46.xml"/><Relationship Id="rId53" Type="http://schemas.openxmlformats.org/officeDocument/2006/relationships/customXml" Target="../customXml/item45.xml"/><Relationship Id="rId52" Type="http://schemas.openxmlformats.org/officeDocument/2006/relationships/customXml" Target="../customXml/item44.xml"/><Relationship Id="rId51" Type="http://schemas.openxmlformats.org/officeDocument/2006/relationships/customXml" Target="../customXml/item43.xml"/><Relationship Id="rId50" Type="http://schemas.openxmlformats.org/officeDocument/2006/relationships/customXml" Target="../customXml/item42.xml"/><Relationship Id="rId5" Type="http://schemas.openxmlformats.org/officeDocument/2006/relationships/footer" Target="footer2.xml"/><Relationship Id="rId49" Type="http://schemas.openxmlformats.org/officeDocument/2006/relationships/customXml" Target="../customXml/item41.xml"/><Relationship Id="rId48" Type="http://schemas.openxmlformats.org/officeDocument/2006/relationships/customXml" Target="../customXml/item40.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1.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header" Target="head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2022-03-02T16:11:33Z</dcterms:created>
  <dcterms:modified xsi:type="dcterms:W3CDTF">2022-03-02T08:11:33Z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2022-03-02T16:11:33Z</dcterms:created>
  <dcterms:modified xsi:type="dcterms:W3CDTF">2022-03-02T08:11:33Z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2022-03-02T16:11:32Z</dcterms:created>
  <dcterms:modified xsi:type="dcterms:W3CDTF">2022-03-02T08:11:32Z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2022-03-02T16:11:33Z</dcterms:created>
  <dcterms:modified xsi:type="dcterms:W3CDTF">2022-03-02T08:11:33Z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2022-03-02T16:11:33Z</dcterms:created>
  <dcterms:modified xsi:type="dcterms:W3CDTF">2022-03-02T08:11:33Z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2022-03-02T16:11:33Z</dcterms:created>
  <dcterms:modified xsi:type="dcterms:W3CDTF">2022-03-02T08:11:32Z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2022-03-02T16:11:33Z</dcterms:created>
  <dcterms:modified xsi:type="dcterms:W3CDTF">2022-03-02T08:11:33Z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2022-03-02T16:11:33Z</dcterms:created>
  <dcterms:modified xsi:type="dcterms:W3CDTF">2022-03-02T08:11:33Z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2022-03-02T16:11:33Z</dcterms:created>
  <dcterms:modified xsi:type="dcterms:W3CDTF">2022-03-02T08:11:33Z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2022-03-02T16:11:32Z</dcterms:created>
  <dcterms:modified xsi:type="dcterms:W3CDTF">2022-03-02T08:11:32Z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2022-03-02T16:11:33Z</dcterms:created>
  <dcterms:modified xsi:type="dcterms:W3CDTF">2022-03-02T08:11:33Z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2022-03-02T16:11:33Z</dcterms:created>
  <dcterms:modified xsi:type="dcterms:W3CDTF">2022-03-02T08:11:33Z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2022-03-02T16:11:35Z</dcterms:created>
  <dcterms:modified xsi:type="dcterms:W3CDTF">2022-03-02T08:11:35Z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2022-03-02T16:11:36Z</dcterms:created>
  <dcterms:modified xsi:type="dcterms:W3CDTF">2022-03-02T08:11:36Z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2022-03-02T16:11:36Z</dcterms:created>
  <dcterms:modified xsi:type="dcterms:W3CDTF">2022-03-02T08:11:36Z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2022-03-02T16:11:36Z</dcterms:created>
  <dcterms:modified xsi:type="dcterms:W3CDTF">2022-03-02T08:11:36Z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2022-03-02T16:11:32Z</dcterms:created>
  <dcterms:modified xsi:type="dcterms:W3CDTF">2022-03-02T08:11:32Z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2022-03-02T16:11:36Z</dcterms:created>
  <dcterms:modified xsi:type="dcterms:W3CDTF">2022-03-02T08:11:36Z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2022-03-02T16:11:36Z</dcterms:created>
  <dcterms:modified xsi:type="dcterms:W3CDTF">2022-03-02T08:11:36Z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2022-03-02T16:11:36Z</dcterms:created>
  <dcterms:modified xsi:type="dcterms:W3CDTF">2022-03-02T08:11:36Z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2022-03-02T16:11:36Z</dcterms:created>
  <dcterms:modified xsi:type="dcterms:W3CDTF">2022-03-02T08:11:36Z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2022-03-02T16:11:32Z</dcterms:created>
  <dcterms:modified xsi:type="dcterms:W3CDTF">2022-03-02T08:11:32Z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2022-03-02T16:11:36Z</dcterms:created>
  <dcterms:modified xsi:type="dcterms:W3CDTF">2022-03-02T08:11:36Z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2022-03-02T16:11:36Z</dcterms:created>
  <dcterms:modified xsi:type="dcterms:W3CDTF">2022-03-02T08:11:36Z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2022-03-02T16:11:37Z</dcterms:created>
  <dcterms:modified xsi:type="dcterms:W3CDTF">2022-03-02T08:11:37Z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2022-03-02T16:11:36Z</dcterms:created>
  <dcterms:modified xsi:type="dcterms:W3CDTF">2022-03-02T08:11:36Z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2022-03-02T16:11:36Z</dcterms:created>
  <dcterms:modified xsi:type="dcterms:W3CDTF">2022-03-02T08:11:36Z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2022-03-02T16:11:36Z</dcterms:created>
  <dcterms:modified xsi:type="dcterms:W3CDTF">2022-03-02T08:11:36Z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2022-03-02T16:11:33Z</dcterms:created>
  <dcterms:modified xsi:type="dcterms:W3CDTF">2022-03-02T08:11:33Z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2022-03-02T16:11:36Z</dcterms:created>
  <dcterms:modified xsi:type="dcterms:W3CDTF">2022-03-02T08:11:36Z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2022-03-02T16:11:36Z</dcterms:created>
  <dcterms:modified xsi:type="dcterms:W3CDTF">2022-03-02T08:11:36Z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2022-03-02T16:11:32Z</dcterms:created>
  <dcterms:modified xsi:type="dcterms:W3CDTF">2022-03-02T08:11:32Z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2022-03-02T16:11:33Z</dcterms:created>
  <dcterms:modified xsi:type="dcterms:W3CDTF">2022-03-02T08:11:33Z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29cae6b-9f8b-45dd-bcdf-c7d618563c6d}">
  <ds:schemaRefs/>
</ds:datastoreItem>
</file>

<file path=customXml/itemProps11.xml><?xml version="1.0" encoding="utf-8"?>
<ds:datastoreItem xmlns:ds="http://schemas.openxmlformats.org/officeDocument/2006/customXml" ds:itemID="{403fc6f7-cdc6-4cb0-b1ff-d0197e294b90}">
  <ds:schemaRefs/>
</ds:datastoreItem>
</file>

<file path=customXml/itemProps12.xml><?xml version="1.0" encoding="utf-8"?>
<ds:datastoreItem xmlns:ds="http://schemas.openxmlformats.org/officeDocument/2006/customXml" ds:itemID="{bae8ea54-8f73-4555-a36d-603301ddd89c}">
  <ds:schemaRefs/>
</ds:datastoreItem>
</file>

<file path=customXml/itemProps13.xml><?xml version="1.0" encoding="utf-8"?>
<ds:datastoreItem xmlns:ds="http://schemas.openxmlformats.org/officeDocument/2006/customXml" ds:itemID="{e9373ce6-a94b-4062-84d8-a87123f37307}">
  <ds:schemaRefs/>
</ds:datastoreItem>
</file>

<file path=customXml/itemProps14.xml><?xml version="1.0" encoding="utf-8"?>
<ds:datastoreItem xmlns:ds="http://schemas.openxmlformats.org/officeDocument/2006/customXml" ds:itemID="{21ea7f96-5da7-42a3-ab31-19c577f0acab}">
  <ds:schemaRefs/>
</ds:datastoreItem>
</file>

<file path=customXml/itemProps15.xml><?xml version="1.0" encoding="utf-8"?>
<ds:datastoreItem xmlns:ds="http://schemas.openxmlformats.org/officeDocument/2006/customXml" ds:itemID="{0e2854a1-e279-4d33-a0e5-91ca9e3dc2f2}">
  <ds:schemaRefs/>
</ds:datastoreItem>
</file>

<file path=customXml/itemProps16.xml><?xml version="1.0" encoding="utf-8"?>
<ds:datastoreItem xmlns:ds="http://schemas.openxmlformats.org/officeDocument/2006/customXml" ds:itemID="{37f8b627-aba6-4f5f-9368-4d6e88293d90}">
  <ds:schemaRefs/>
</ds:datastoreItem>
</file>

<file path=customXml/itemProps17.xml><?xml version="1.0" encoding="utf-8"?>
<ds:datastoreItem xmlns:ds="http://schemas.openxmlformats.org/officeDocument/2006/customXml" ds:itemID="{f44e32ab-3ac2-4a91-8147-ccf2a1665241}">
  <ds:schemaRefs/>
</ds:datastoreItem>
</file>

<file path=customXml/itemProps18.xml><?xml version="1.0" encoding="utf-8"?>
<ds:datastoreItem xmlns:ds="http://schemas.openxmlformats.org/officeDocument/2006/customXml" ds:itemID="{e4f98a09-5638-483a-bd0f-2edd2c03356c}">
  <ds:schemaRefs/>
</ds:datastoreItem>
</file>

<file path=customXml/itemProps19.xml><?xml version="1.0" encoding="utf-8"?>
<ds:datastoreItem xmlns:ds="http://schemas.openxmlformats.org/officeDocument/2006/customXml" ds:itemID="{88709b7b-2d12-444c-8f09-d04118522ded}">
  <ds:schemaRefs/>
</ds:datastoreItem>
</file>

<file path=customXml/itemProps2.xml><?xml version="1.0" encoding="utf-8"?>
<ds:datastoreItem xmlns:ds="http://schemas.openxmlformats.org/officeDocument/2006/customXml" ds:itemID="{b0175cd7-dfb9-4b8c-bb0d-7c7df88d57c9}">
  <ds:schemaRefs/>
</ds:datastoreItem>
</file>

<file path=customXml/itemProps20.xml><?xml version="1.0" encoding="utf-8"?>
<ds:datastoreItem xmlns:ds="http://schemas.openxmlformats.org/officeDocument/2006/customXml" ds:itemID="{3874904d-3e77-4291-ba69-0567021169f2}">
  <ds:schemaRefs/>
</ds:datastoreItem>
</file>

<file path=customXml/itemProps21.xml><?xml version="1.0" encoding="utf-8"?>
<ds:datastoreItem xmlns:ds="http://schemas.openxmlformats.org/officeDocument/2006/customXml" ds:itemID="{3ecce6e9-b443-4b7c-b611-a5c638eeb265}">
  <ds:schemaRefs/>
</ds:datastoreItem>
</file>

<file path=customXml/itemProps22.xml><?xml version="1.0" encoding="utf-8"?>
<ds:datastoreItem xmlns:ds="http://schemas.openxmlformats.org/officeDocument/2006/customXml" ds:itemID="{fd1cdc88-23ba-4692-a5e6-8e49b167765d}">
  <ds:schemaRefs/>
</ds:datastoreItem>
</file>

<file path=customXml/itemProps23.xml><?xml version="1.0" encoding="utf-8"?>
<ds:datastoreItem xmlns:ds="http://schemas.openxmlformats.org/officeDocument/2006/customXml" ds:itemID="{ea369842-5cc9-4c22-9851-475cd191d287}">
  <ds:schemaRefs/>
</ds:datastoreItem>
</file>

<file path=customXml/itemProps24.xml><?xml version="1.0" encoding="utf-8"?>
<ds:datastoreItem xmlns:ds="http://schemas.openxmlformats.org/officeDocument/2006/customXml" ds:itemID="{5a950266-1f14-4d9a-ad7a-a14aae1d7afe}">
  <ds:schemaRefs/>
</ds:datastoreItem>
</file>

<file path=customXml/itemProps25.xml><?xml version="1.0" encoding="utf-8"?>
<ds:datastoreItem xmlns:ds="http://schemas.openxmlformats.org/officeDocument/2006/customXml" ds:itemID="{d0f039df-2bff-4bb0-b4e9-b85c52d8153c}">
  <ds:schemaRefs/>
</ds:datastoreItem>
</file>

<file path=customXml/itemProps26.xml><?xml version="1.0" encoding="utf-8"?>
<ds:datastoreItem xmlns:ds="http://schemas.openxmlformats.org/officeDocument/2006/customXml" ds:itemID="{65bdb689-df31-45f9-8a26-77446c187a33}">
  <ds:schemaRefs/>
</ds:datastoreItem>
</file>

<file path=customXml/itemProps27.xml><?xml version="1.0" encoding="utf-8"?>
<ds:datastoreItem xmlns:ds="http://schemas.openxmlformats.org/officeDocument/2006/customXml" ds:itemID="{184e32ff-3002-4cc4-aaa5-ea8cd3c2f605}">
  <ds:schemaRefs/>
</ds:datastoreItem>
</file>

<file path=customXml/itemProps28.xml><?xml version="1.0" encoding="utf-8"?>
<ds:datastoreItem xmlns:ds="http://schemas.openxmlformats.org/officeDocument/2006/customXml" ds:itemID="{9fc9e249-999d-4e75-9305-adf87e151dea}">
  <ds:schemaRefs/>
</ds:datastoreItem>
</file>

<file path=customXml/itemProps29.xml><?xml version="1.0" encoding="utf-8"?>
<ds:datastoreItem xmlns:ds="http://schemas.openxmlformats.org/officeDocument/2006/customXml" ds:itemID="{500b872f-3eff-449b-bd56-3beec0ca9826}">
  <ds:schemaRefs/>
</ds:datastoreItem>
</file>

<file path=customXml/itemProps3.xml><?xml version="1.0" encoding="utf-8"?>
<ds:datastoreItem xmlns:ds="http://schemas.openxmlformats.org/officeDocument/2006/customXml" ds:itemID="{813d313b-4933-4ddf-93e2-69807699baaa}">
  <ds:schemaRefs/>
</ds:datastoreItem>
</file>

<file path=customXml/itemProps30.xml><?xml version="1.0" encoding="utf-8"?>
<ds:datastoreItem xmlns:ds="http://schemas.openxmlformats.org/officeDocument/2006/customXml" ds:itemID="{5e0923ed-d71b-43af-b551-9db1690ab513}">
  <ds:schemaRefs/>
</ds:datastoreItem>
</file>

<file path=customXml/itemProps31.xml><?xml version="1.0" encoding="utf-8"?>
<ds:datastoreItem xmlns:ds="http://schemas.openxmlformats.org/officeDocument/2006/customXml" ds:itemID="{e85f57ef-78ac-4fb2-bdb8-8eab8e424d82}">
  <ds:schemaRefs/>
</ds:datastoreItem>
</file>

<file path=customXml/itemProps32.xml><?xml version="1.0" encoding="utf-8"?>
<ds:datastoreItem xmlns:ds="http://schemas.openxmlformats.org/officeDocument/2006/customXml" ds:itemID="{df37961d-31d4-43a0-b3b7-a77829b05a61}">
  <ds:schemaRefs/>
</ds:datastoreItem>
</file>

<file path=customXml/itemProps33.xml><?xml version="1.0" encoding="utf-8"?>
<ds:datastoreItem xmlns:ds="http://schemas.openxmlformats.org/officeDocument/2006/customXml" ds:itemID="{dcfeac77-75d7-4561-8b00-a3fdf86960e8}">
  <ds:schemaRefs/>
</ds:datastoreItem>
</file>

<file path=customXml/itemProps34.xml><?xml version="1.0" encoding="utf-8"?>
<ds:datastoreItem xmlns:ds="http://schemas.openxmlformats.org/officeDocument/2006/customXml" ds:itemID="{16b1507a-d0e8-4d1c-bf6c-c9cbef12e3f6}">
  <ds:schemaRefs/>
</ds:datastoreItem>
</file>

<file path=customXml/itemProps35.xml><?xml version="1.0" encoding="utf-8"?>
<ds:datastoreItem xmlns:ds="http://schemas.openxmlformats.org/officeDocument/2006/customXml" ds:itemID="{8e0ca0f9-acb2-401b-a2ce-26b2fd31c6d7}">
  <ds:schemaRefs/>
</ds:datastoreItem>
</file>

<file path=customXml/itemProps36.xml><?xml version="1.0" encoding="utf-8"?>
<ds:datastoreItem xmlns:ds="http://schemas.openxmlformats.org/officeDocument/2006/customXml" ds:itemID="{11c37ab2-156f-4c26-953b-18768b7a83e8}">
  <ds:schemaRefs/>
</ds:datastoreItem>
</file>

<file path=customXml/itemProps37.xml><?xml version="1.0" encoding="utf-8"?>
<ds:datastoreItem xmlns:ds="http://schemas.openxmlformats.org/officeDocument/2006/customXml" ds:itemID="{04a17e73-b4c5-4bf3-bf41-24aaccba7850}">
  <ds:schemaRefs/>
</ds:datastoreItem>
</file>

<file path=customXml/itemProps38.xml><?xml version="1.0" encoding="utf-8"?>
<ds:datastoreItem xmlns:ds="http://schemas.openxmlformats.org/officeDocument/2006/customXml" ds:itemID="{c229b5dd-40cc-4a53-adef-460c6ef365bc}">
  <ds:schemaRefs/>
</ds:datastoreItem>
</file>

<file path=customXml/itemProps39.xml><?xml version="1.0" encoding="utf-8"?>
<ds:datastoreItem xmlns:ds="http://schemas.openxmlformats.org/officeDocument/2006/customXml" ds:itemID="{92f8b995-49b8-4b81-bce7-793aca53922e}">
  <ds:schemaRefs/>
</ds:datastoreItem>
</file>

<file path=customXml/itemProps4.xml><?xml version="1.0" encoding="utf-8"?>
<ds:datastoreItem xmlns:ds="http://schemas.openxmlformats.org/officeDocument/2006/customXml" ds:itemID="{ef7f9652-7f3c-45b0-b64d-c668838df4b3}">
  <ds:schemaRefs/>
</ds:datastoreItem>
</file>

<file path=customXml/itemProps40.xml><?xml version="1.0" encoding="utf-8"?>
<ds:datastoreItem xmlns:ds="http://schemas.openxmlformats.org/officeDocument/2006/customXml" ds:itemID="{2235893e-9373-47ed-8c9e-2b9768d6ff6c}">
  <ds:schemaRefs/>
</ds:datastoreItem>
</file>

<file path=customXml/itemProps41.xml><?xml version="1.0" encoding="utf-8"?>
<ds:datastoreItem xmlns:ds="http://schemas.openxmlformats.org/officeDocument/2006/customXml" ds:itemID="{fa1f9f81-ed3a-4916-8adf-af045fd5f2d1}">
  <ds:schemaRefs/>
</ds:datastoreItem>
</file>

<file path=customXml/itemProps42.xml><?xml version="1.0" encoding="utf-8"?>
<ds:datastoreItem xmlns:ds="http://schemas.openxmlformats.org/officeDocument/2006/customXml" ds:itemID="{df06cc65-ab43-43a8-838b-8da6cc7eff32}">
  <ds:schemaRefs/>
</ds:datastoreItem>
</file>

<file path=customXml/itemProps43.xml><?xml version="1.0" encoding="utf-8"?>
<ds:datastoreItem xmlns:ds="http://schemas.openxmlformats.org/officeDocument/2006/customXml" ds:itemID="{dcfc0fb6-481b-440b-8f55-08587f434526}">
  <ds:schemaRefs/>
</ds:datastoreItem>
</file>

<file path=customXml/itemProps44.xml><?xml version="1.0" encoding="utf-8"?>
<ds:datastoreItem xmlns:ds="http://schemas.openxmlformats.org/officeDocument/2006/customXml" ds:itemID="{c9d8bd3c-180a-4473-b3dd-ac284851ab61}">
  <ds:schemaRefs/>
</ds:datastoreItem>
</file>

<file path=customXml/itemProps45.xml><?xml version="1.0" encoding="utf-8"?>
<ds:datastoreItem xmlns:ds="http://schemas.openxmlformats.org/officeDocument/2006/customXml" ds:itemID="{f6a9cce3-963e-427a-9e47-36f6f2829053}">
  <ds:schemaRefs/>
</ds:datastoreItem>
</file>

<file path=customXml/itemProps46.xml><?xml version="1.0" encoding="utf-8"?>
<ds:datastoreItem xmlns:ds="http://schemas.openxmlformats.org/officeDocument/2006/customXml" ds:itemID="{e56c5fa8-d443-4942-8411-8c7123f30235}">
  <ds:schemaRefs/>
</ds:datastoreItem>
</file>

<file path=customXml/itemProps47.xml><?xml version="1.0" encoding="utf-8"?>
<ds:datastoreItem xmlns:ds="http://schemas.openxmlformats.org/officeDocument/2006/customXml" ds:itemID="{40f8d974-6d0a-4562-9893-2ab9fc32e528}">
  <ds:schemaRefs/>
</ds:datastoreItem>
</file>

<file path=customXml/itemProps48.xml><?xml version="1.0" encoding="utf-8"?>
<ds:datastoreItem xmlns:ds="http://schemas.openxmlformats.org/officeDocument/2006/customXml" ds:itemID="{f82f18f6-0be4-4f81-a393-02af0db25612}">
  <ds:schemaRefs/>
</ds:datastoreItem>
</file>

<file path=customXml/itemProps49.xml><?xml version="1.0" encoding="utf-8"?>
<ds:datastoreItem xmlns:ds="http://schemas.openxmlformats.org/officeDocument/2006/customXml" ds:itemID="{5a8186cf-9a1b-44b7-842a-6ee3d9b4d913}">
  <ds:schemaRefs/>
</ds:datastoreItem>
</file>

<file path=customXml/itemProps5.xml><?xml version="1.0" encoding="utf-8"?>
<ds:datastoreItem xmlns:ds="http://schemas.openxmlformats.org/officeDocument/2006/customXml" ds:itemID="{3b15655a-aa61-4ae4-8ddf-42c9f8f05762}">
  <ds:schemaRefs/>
</ds:datastoreItem>
</file>

<file path=customXml/itemProps50.xml><?xml version="1.0" encoding="utf-8"?>
<ds:datastoreItem xmlns:ds="http://schemas.openxmlformats.org/officeDocument/2006/customXml" ds:itemID="{a4ed13d4-84eb-412c-82ef-17d05de1e812}">
  <ds:schemaRefs/>
</ds:datastoreItem>
</file>

<file path=customXml/itemProps51.xml><?xml version="1.0" encoding="utf-8"?>
<ds:datastoreItem xmlns:ds="http://schemas.openxmlformats.org/officeDocument/2006/customXml" ds:itemID="{afd23454-c436-4ef6-8bdc-aa5855deecb3}">
  <ds:schemaRefs/>
</ds:datastoreItem>
</file>

<file path=customXml/itemProps52.xml><?xml version="1.0" encoding="utf-8"?>
<ds:datastoreItem xmlns:ds="http://schemas.openxmlformats.org/officeDocument/2006/customXml" ds:itemID="{085305ce-37f8-4bd9-954c-a33e6774a701}">
  <ds:schemaRefs/>
</ds:datastoreItem>
</file>

<file path=customXml/itemProps53.xml><?xml version="1.0" encoding="utf-8"?>
<ds:datastoreItem xmlns:ds="http://schemas.openxmlformats.org/officeDocument/2006/customXml" ds:itemID="{e31cc930-842c-455e-af75-8e3a177e02cf}">
  <ds:schemaRefs/>
</ds:datastoreItem>
</file>

<file path=customXml/itemProps54.xml><?xml version="1.0" encoding="utf-8"?>
<ds:datastoreItem xmlns:ds="http://schemas.openxmlformats.org/officeDocument/2006/customXml" ds:itemID="{fde9b1d3-f218-4d09-ad27-fa61f04ace85}">
  <ds:schemaRefs/>
</ds:datastoreItem>
</file>

<file path=customXml/itemProps55.xml><?xml version="1.0" encoding="utf-8"?>
<ds:datastoreItem xmlns:ds="http://schemas.openxmlformats.org/officeDocument/2006/customXml" ds:itemID="{85b19310-b059-4b9e-971d-af364ba855ee}">
  <ds:schemaRefs/>
</ds:datastoreItem>
</file>

<file path=customXml/itemProps56.xml><?xml version="1.0" encoding="utf-8"?>
<ds:datastoreItem xmlns:ds="http://schemas.openxmlformats.org/officeDocument/2006/customXml" ds:itemID="{b2b5ebe6-4293-46e5-9265-ba79c3d804ec}">
  <ds:schemaRefs/>
</ds:datastoreItem>
</file>

<file path=customXml/itemProps57.xml><?xml version="1.0" encoding="utf-8"?>
<ds:datastoreItem xmlns:ds="http://schemas.openxmlformats.org/officeDocument/2006/customXml" ds:itemID="{d2cde16e-4542-4183-98a3-2712d6526a0d}">
  <ds:schemaRefs/>
</ds:datastoreItem>
</file>

<file path=customXml/itemProps58.xml><?xml version="1.0" encoding="utf-8"?>
<ds:datastoreItem xmlns:ds="http://schemas.openxmlformats.org/officeDocument/2006/customXml" ds:itemID="{d6abc31f-2fa1-46a5-9581-14ab5fe396d9}">
  <ds:schemaRefs/>
</ds:datastoreItem>
</file>

<file path=customXml/itemProps59.xml><?xml version="1.0" encoding="utf-8"?>
<ds:datastoreItem xmlns:ds="http://schemas.openxmlformats.org/officeDocument/2006/customXml" ds:itemID="{55b19182-9961-4ef9-b6fb-fa9ded376f70}">
  <ds:schemaRefs/>
</ds:datastoreItem>
</file>

<file path=customXml/itemProps6.xml><?xml version="1.0" encoding="utf-8"?>
<ds:datastoreItem xmlns:ds="http://schemas.openxmlformats.org/officeDocument/2006/customXml" ds:itemID="{4c65f39e-719f-46c2-b308-fd0417336522}">
  <ds:schemaRefs/>
</ds:datastoreItem>
</file>

<file path=customXml/itemProps60.xml><?xml version="1.0" encoding="utf-8"?>
<ds:datastoreItem xmlns:ds="http://schemas.openxmlformats.org/officeDocument/2006/customXml" ds:itemID="{48f22163-a96a-48f9-99f3-8ea2b0e11ee7}">
  <ds:schemaRefs/>
</ds:datastoreItem>
</file>

<file path=customXml/itemProps61.xml><?xml version="1.0" encoding="utf-8"?>
<ds:datastoreItem xmlns:ds="http://schemas.openxmlformats.org/officeDocument/2006/customXml" ds:itemID="{e47422ef-f391-426d-8f06-039223b1b9cd}">
  <ds:schemaRefs/>
</ds:datastoreItem>
</file>

<file path=customXml/itemProps62.xml><?xml version="1.0" encoding="utf-8"?>
<ds:datastoreItem xmlns:ds="http://schemas.openxmlformats.org/officeDocument/2006/customXml" ds:itemID="{89904ba7-e0f1-407e-9aa6-9721c879ea14}">
  <ds:schemaRefs/>
</ds:datastoreItem>
</file>

<file path=customXml/itemProps63.xml><?xml version="1.0" encoding="utf-8"?>
<ds:datastoreItem xmlns:ds="http://schemas.openxmlformats.org/officeDocument/2006/customXml" ds:itemID="{395ed562-9a1f-4745-b7ea-b65867a45fc5}">
  <ds:schemaRefs/>
</ds:datastoreItem>
</file>

<file path=customXml/itemProps64.xml><?xml version="1.0" encoding="utf-8"?>
<ds:datastoreItem xmlns:ds="http://schemas.openxmlformats.org/officeDocument/2006/customXml" ds:itemID="{38f7ecfa-682e-4aa3-9bec-23ee7130457f}">
  <ds:schemaRefs/>
</ds:datastoreItem>
</file>

<file path=customXml/itemProps65.xml><?xml version="1.0" encoding="utf-8"?>
<ds:datastoreItem xmlns:ds="http://schemas.openxmlformats.org/officeDocument/2006/customXml" ds:itemID="{ebdca801-9381-4f6d-9f4e-65aada6a5736}">
  <ds:schemaRefs/>
</ds:datastoreItem>
</file>

<file path=customXml/itemProps66.xml><?xml version="1.0" encoding="utf-8"?>
<ds:datastoreItem xmlns:ds="http://schemas.openxmlformats.org/officeDocument/2006/customXml" ds:itemID="{8412ece1-0584-446e-b08c-30ccce8acf18}">
  <ds:schemaRefs/>
</ds:datastoreItem>
</file>

<file path=customXml/itemProps67.xml><?xml version="1.0" encoding="utf-8"?>
<ds:datastoreItem xmlns:ds="http://schemas.openxmlformats.org/officeDocument/2006/customXml" ds:itemID="{600e08fe-557f-4b52-9df0-fe3751444f24}">
  <ds:schemaRefs/>
</ds:datastoreItem>
</file>

<file path=customXml/itemProps7.xml><?xml version="1.0" encoding="utf-8"?>
<ds:datastoreItem xmlns:ds="http://schemas.openxmlformats.org/officeDocument/2006/customXml" ds:itemID="{25f4c01b-d6f1-4cf3-a283-33230fa670d5}">
  <ds:schemaRefs/>
</ds:datastoreItem>
</file>

<file path=customXml/itemProps8.xml><?xml version="1.0" encoding="utf-8"?>
<ds:datastoreItem xmlns:ds="http://schemas.openxmlformats.org/officeDocument/2006/customXml" ds:itemID="{726378e0-2044-44f6-b74c-fceb0fceb38e}">
  <ds:schemaRefs/>
</ds:datastoreItem>
</file>

<file path=customXml/itemProps9.xml><?xml version="1.0" encoding="utf-8"?>
<ds:datastoreItem xmlns:ds="http://schemas.openxmlformats.org/officeDocument/2006/customXml" ds:itemID="{ae22cdba-7747-4696-99ab-3dbcfa05c9e2}">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2022-03-02T16:11:00Z</dcterms:created>
  <dc:creator>Administrator</dc:creator>
  <cp:lastModifiedBy>半颗心</cp:lastModifiedBy>
  <dcterms:modified xsi:type="dcterms:W3CDTF">2024-03-18T01:59:38Z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B1F403EF373C424F8377D4D7BE8FEF55_13</vt:lpwstr>
  </property>
</Properties>
</file>