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信访局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2022年部门预算绩效文本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信访局编制</w:t>
      </w:r>
    </w:p>
    <w:p>
      <w:pPr>
        <w:jc w:val="center"/>
        <w:rPr>
          <w:rFonts w:ascii="方正楷体_GBK" w:hAnsi="方正楷体_GBK" w:eastAsia="方正楷体_GBK" w:cs="方正楷体_GBK"/>
          <w:b/>
          <w:color w:val="000000"/>
          <w:sz w:val="32"/>
        </w:rPr>
      </w:pPr>
      <w:r>
        <w:rPr>
          <w:rFonts w:hint="eastAsia" w:ascii="方正楷体_GBK" w:hAnsi="方正楷体_GBK" w:eastAsia="方正楷体_GBK" w:cs="方正楷体_GBK"/>
          <w:b/>
          <w:color w:val="000000"/>
          <w:sz w:val="32"/>
          <w:lang w:eastAsia="zh-CN"/>
        </w:rPr>
        <w:t>乐亭县</w:t>
      </w:r>
      <w:r>
        <w:rPr>
          <w:rFonts w:ascii="方正楷体_GBK" w:hAnsi="方正楷体_GBK" w:eastAsia="方正楷体_GBK" w:cs="方正楷体_GBK"/>
          <w:b/>
          <w:color w:val="000000"/>
          <w:sz w:val="32"/>
        </w:rPr>
        <w:t>财政局审核</w:t>
      </w:r>
    </w:p>
    <w:p>
      <w:pPr>
        <w:jc w:val="center"/>
        <w:rPr>
          <w:rFonts w:ascii="方正楷体_GBK" w:hAnsi="方正楷体_GBK" w:eastAsia="方正楷体_GBK" w:cs="方正楷体_GBK"/>
          <w:b/>
          <w:color w:val="000000"/>
          <w:sz w:val="32"/>
        </w:rPr>
      </w:pPr>
    </w:p>
    <w:p>
      <w:pPr>
        <w:tabs>
          <w:tab w:val="left" w:pos="5164"/>
        </w:tabs>
        <w:bidi w:val="0"/>
        <w:jc w:val="left"/>
        <w:rPr>
          <w:rFonts w:hint="eastAsia" w:eastAsia="宋体"/>
          <w:lang w:val="en-US" w:eastAsia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jc w:val="center"/>
      </w:pP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jc w:val="center"/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1.解决特殊疑难问题资金绩效目标表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2.信访专项资金绩效目标表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r>
        <w:fldChar w:fldCharType="end"/>
      </w:r>
    </w:p>
    <w:p>
      <w:r>
        <w:br w:type="page"/>
      </w:r>
    </w:p>
    <w:p>
      <w:pPr>
        <w:jc w:val="center"/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jc w:val="center"/>
      </w:pPr>
    </w:p>
    <w:p>
      <w:pPr>
        <w:spacing w:before="10" w:after="10"/>
        <w:ind w:firstLine="560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7"/>
      </w:pPr>
      <w:r>
        <w:t>2022年，牢牢把握“北京不能去、河北不能聚、家里不出事”的总要求，紧紧围绕“解决问题、降低访量”这个中心，着力防范化解重大风险，深入开展信访积案攻坚，不断强化越级访治理，切实做好各级“两会”、暑期等重要敏感时期信访维稳工作，构建和谐稳定的社会氛围。预计本年度需要：处置化解疑难问题，减少越级访的解决特殊疑难问题资金50万元，以及加强敏感期，敏感地点的值班力量，加强驻京值班力量，妥善处置越级访，减少重点地区访量的信访专项资金100万元，共计150万元。</w:t>
      </w:r>
    </w:p>
    <w:p>
      <w:pPr>
        <w:spacing w:before="10" w:after="10"/>
        <w:ind w:firstLine="560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8"/>
      </w:pPr>
      <w:r>
        <w:rPr>
          <w:rFonts w:hint="eastAsia"/>
          <w:lang w:eastAsia="zh-CN"/>
        </w:rPr>
        <w:t>1</w:t>
      </w:r>
      <w:r>
        <w:t>、解决特殊疑难问题资金</w:t>
      </w:r>
    </w:p>
    <w:p>
      <w:pPr>
        <w:pStyle w:val="8"/>
      </w:pPr>
      <w:r>
        <w:t>绩效目标：处置化解疑难问题。目标是减少越级访的发生，确实化解大量疑难信访问题，将信访人最大限度的吸附在基层，维护全县社会和谐稳定。</w:t>
      </w:r>
    </w:p>
    <w:p>
      <w:pPr>
        <w:pStyle w:val="8"/>
      </w:pPr>
      <w:r>
        <w:t>绩效指标：有效减少越级访的发生、社会和谐稳定、预算资金执行率、确实解决疑难信访问题，提高信访群众满意度、化解各种疑难问题，维护社会稳定、信访群众及相关单位满意度</w:t>
      </w:r>
    </w:p>
    <w:p>
      <w:pPr>
        <w:pStyle w:val="8"/>
      </w:pPr>
      <w:r>
        <w:rPr>
          <w:rFonts w:hint="eastAsia"/>
          <w:lang w:eastAsia="zh-CN"/>
        </w:rPr>
        <w:t>2</w:t>
      </w:r>
      <w:r>
        <w:t>、信访专项资金</w:t>
      </w:r>
    </w:p>
    <w:p>
      <w:pPr>
        <w:pStyle w:val="8"/>
      </w:pPr>
      <w:r>
        <w:t>绩效目标：加强驻京值班力量，特别是敏感期、敏感地点的值班力量。目标是妥善处置越级访，最大限度的减少重点地区访量，减少进京访、赴省访、到市访量,维护全县的大局稳定。</w:t>
      </w:r>
    </w:p>
    <w:p>
      <w:pPr>
        <w:pStyle w:val="8"/>
      </w:pPr>
      <w:r>
        <w:t>绩效指标：减少重点地区访量、减少进京访量、上级交办案件按期结案率、群众对交办案件的满意度、预算资金执行率、减少各种访量，维护全县社会和谐稳定、信访群众及相关单位满意度</w:t>
      </w:r>
    </w:p>
    <w:p>
      <w:pPr>
        <w:pStyle w:val="8"/>
      </w:pPr>
    </w:p>
    <w:p>
      <w:pPr>
        <w:pStyle w:val="8"/>
      </w:pPr>
    </w:p>
    <w:p>
      <w:pPr>
        <w:spacing w:before="10" w:after="10"/>
        <w:ind w:firstLine="560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9"/>
      </w:pPr>
      <w:r>
        <w:rPr>
          <w:rFonts w:hint="eastAsia"/>
          <w:lang w:eastAsia="zh-CN"/>
        </w:rPr>
        <w:t>1</w:t>
      </w:r>
      <w:r>
        <w:t>、完善制度建设。制定完善预算绩效管理制度、资金管理办法、工作保障制度等，为全年预算绩效目标的实现奠定制度基础。</w:t>
      </w:r>
    </w:p>
    <w:p>
      <w:pPr>
        <w:pStyle w:val="9"/>
      </w:pPr>
      <w:r>
        <w:rPr>
          <w:rFonts w:hint="eastAsia"/>
          <w:lang w:eastAsia="zh-CN"/>
        </w:rPr>
        <w:t>2</w:t>
      </w:r>
      <w:r>
        <w:t>、加强支出管理。通过优化支出结构、加快履行政府采购手续、尽快启动项目、及时支付资金、按规定及时下达资金等多种措施，确保支出进度达标，保障信访问题及时解决，保持社会的稳定发展。</w:t>
      </w:r>
    </w:p>
    <w:p>
      <w:pPr>
        <w:pStyle w:val="9"/>
      </w:pPr>
      <w:r>
        <w:rPr>
          <w:rFonts w:hint="eastAsia"/>
          <w:lang w:eastAsia="zh-CN"/>
        </w:rPr>
        <w:t>3</w:t>
      </w:r>
      <w:r>
        <w:t>、加强绩效运行监控。开展绩效运行监控，发现问题及时采取措施，确保绩效目标如期保质实现。</w:t>
      </w:r>
    </w:p>
    <w:p>
      <w:pPr>
        <w:pStyle w:val="9"/>
      </w:pPr>
      <w:r>
        <w:rPr>
          <w:rFonts w:hint="eastAsia"/>
          <w:lang w:eastAsia="zh-CN"/>
        </w:rPr>
        <w:t>4</w:t>
      </w:r>
      <w:r>
        <w:t>、做好绩效自评。开展202</w:t>
      </w:r>
      <w:r>
        <w:rPr>
          <w:rFonts w:hint="eastAsia"/>
          <w:lang w:val="en-US" w:eastAsia="zh-CN"/>
        </w:rPr>
        <w:t>2年</w:t>
      </w:r>
      <w:r>
        <w:t>部门预算绩效自评和重点评价工作，对评价中发现的问题及时整改，调整优化支出结构，提高财政资金使用效益。</w:t>
      </w:r>
    </w:p>
    <w:p>
      <w:pPr>
        <w:pStyle w:val="9"/>
      </w:pPr>
      <w:r>
        <w:rPr>
          <w:rFonts w:hint="eastAsia"/>
          <w:lang w:eastAsia="zh-CN"/>
        </w:rPr>
        <w:t>5</w:t>
      </w:r>
      <w:r>
        <w:t>、规范财务资产管理。完善财务管理制度，严格审批程序，加强固定资产登记、使用和报废处置管理，做到支出合理，物尽其用。</w:t>
      </w:r>
    </w:p>
    <w:p>
      <w:pPr>
        <w:pStyle w:val="9"/>
      </w:pPr>
      <w:r>
        <w:rPr>
          <w:rFonts w:hint="eastAsia"/>
          <w:lang w:eastAsia="zh-CN"/>
        </w:rPr>
        <w:t>6</w:t>
      </w:r>
      <w:r>
        <w:t>、加强内部监督。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>
      <w:pPr>
        <w:pStyle w:val="9"/>
      </w:pPr>
      <w:r>
        <w:rPr>
          <w:rFonts w:hint="eastAsia"/>
          <w:lang w:eastAsia="zh-CN"/>
        </w:rPr>
        <w:t>7</w:t>
      </w:r>
      <w:r>
        <w:t>、加强宣传培训调研等。加强人员培训，提高本部门职工业务素质；加强调研，提出优化财政资金配置、提高资金使用效益的意见</w:t>
      </w:r>
      <w:bookmarkStart w:id="5" w:name="_GoBack"/>
      <w:bookmarkEnd w:id="5"/>
      <w:r>
        <w:t>；加大宣传力度，强化预算绩效管理意识，促进预算绩效管理水平进一步提升。</w:t>
      </w:r>
    </w:p>
    <w:p>
      <w:pPr>
        <w:pStyle w:val="9"/>
      </w:pPr>
    </w:p>
    <w:p>
      <w:pPr>
        <w:pStyle w:val="9"/>
      </w:pPr>
    </w:p>
    <w:p>
      <w:pPr>
        <w:jc w:val="center"/>
        <w:sectPr>
          <w:footerReference r:id="rId9" w:type="default"/>
          <w:footerReference r:id="rId10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jc w:val="center"/>
      </w:pP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1.解决特殊疑难问题资金绩效目标表</w:t>
      </w:r>
      <w:bookmarkEnd w:id="3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482002乐亭县信访局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13022522P00RERB10005K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2"/>
            </w:pPr>
            <w:r>
              <w:t>解决特殊疑难问题资金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50.00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50.00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2"/>
            </w:pPr>
            <w:r>
              <w:t>处置化解疑难问题。目标是减少越级访的发生，确实化解大量疑难信访问题，将信访人最大限度的吸附在基层，维护全县社会和谐稳定。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2"/>
            </w:pPr>
            <w:r>
              <w:t>1.有效减少越级访的发生，维护社会和谐</w:t>
            </w:r>
          </w:p>
          <w:p>
            <w:pPr>
              <w:pStyle w:val="12"/>
            </w:pPr>
            <w:r>
              <w:t>2.确实解决疑难信访问题，提高信访群众满意度</w:t>
            </w:r>
          </w:p>
          <w:p>
            <w:pPr>
              <w:pStyle w:val="12"/>
            </w:pPr>
            <w:r>
              <w:t>3.信访群众及相关单位满意度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解决上访事件的数量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解决上访事件的数量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市信访工作责任目标考核评分办法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有效减少越级访的发生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有效减少越级访的发生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逐步减少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市信访工作责任目标考核评分办法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项目完成时限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项目完成时限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2022年12月底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市信访工作责任目标考核评分办法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预算资金完成率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预算资金完成率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98%以上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市信访工作责任目标考核评分办法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社会稳定，促进经济发展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社会稳定，促进经济发展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有效提高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市信访工作责任目标考核评分办法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化解信访问题，维护社会稳定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化解信访问题，维护社会稳定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中长期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市信访工作责任目标考核评分办法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解决疑难信访问题，维护社会稳定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确实解决疑难信访问题，维护社会稳定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显著改善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市信访工作责任目标考核评分办法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信访群众及相关单位满意度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信访群众及相关单位满意度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市信访工作责任目标考核评分办法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2.信访专项资金绩效目标表</w:t>
      </w:r>
      <w:bookmarkEnd w:id="4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482002乐亭县信访局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13022522P00RERB100040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2"/>
            </w:pPr>
            <w:r>
              <w:t>信访专项资金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100.00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2"/>
            </w:pPr>
            <w:r>
              <w:t>信访维稳办公费用，加强驻京值班力量，特别是敏感期、敏感地点的值班力量。目标是妥善处置越级访，最大限度的减少重点地区访量，减少进京访、赴省访、到市访量,维护全县的大局稳定。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2"/>
            </w:pPr>
            <w:r>
              <w:t>1.减少进京访、赴省访、到市访量</w:t>
            </w:r>
          </w:p>
          <w:p>
            <w:pPr>
              <w:pStyle w:val="12"/>
            </w:pPr>
            <w:r>
              <w:t>2.上级交办案件按期结案率提高</w:t>
            </w:r>
          </w:p>
          <w:p>
            <w:pPr>
              <w:pStyle w:val="12"/>
            </w:pPr>
            <w:r>
              <w:t>3.化解各种疑难问题，维护社会稳定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减少重点地区访量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减少重点地区访量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≤10批次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市信访工作责任目标考核评分办法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减少进京访量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减少进京访量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下降10%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市信访工作责任目标考核评分办法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上级交办案件按期结案率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上级交办案件按期结案率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市信访工作责任目标考核评分办法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群众对交办案件的满意度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群众对交办案件的满意度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市信访工作责任目标考核评分办法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预算资金执行率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预算资金执行率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市信访工作责任目标考核评分办法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信访费用支出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信访费用支出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≤100万元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市信访工作责任目标考核评分办法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社会稳定为经济发展创造良好环境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社会稳定为经济发展创造良好环境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经济稳定增长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市信访工作责任目标考核评分办法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减少各种访量，维护社会稳定和谐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减少各种访量，维护社会稳定和谐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访量降低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市信访工作责任目标考核评分办法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解决信访问题，社会和谐稳定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解决信访问题，社会和谐稳定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显著改善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市信访工作责任目标考核评分办法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信访群众及相关单位满意度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信访群众及相关单位满意度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市信访工作责任目标考核评分办法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黑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5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4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 w:val="1"/>
  <w:bordersDoNotSurroundFooter w:val="1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3019AC"/>
    <w:rsid w:val="003019AC"/>
    <w:rsid w:val="0032210D"/>
    <w:rsid w:val="00631AB3"/>
    <w:rsid w:val="006C1F3C"/>
    <w:rsid w:val="00885287"/>
    <w:rsid w:val="00C804AE"/>
    <w:rsid w:val="00EE5631"/>
    <w:rsid w:val="00FD5543"/>
    <w:rsid w:val="0EEA665D"/>
    <w:rsid w:val="26403A6D"/>
    <w:rsid w:val="6D01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TOC 2"/>
    <w:basedOn w:val="1"/>
    <w:qFormat/>
    <w:uiPriority w:val="0"/>
    <w:pPr>
      <w:ind w:left="240"/>
    </w:pPr>
  </w:style>
  <w:style w:type="paragraph" w:customStyle="1" w:styleId="16">
    <w:name w:val="TOC 4"/>
    <w:basedOn w:val="1"/>
    <w:qFormat/>
    <w:uiPriority w:val="0"/>
    <w:pPr>
      <w:ind w:left="720"/>
    </w:pPr>
  </w:style>
  <w:style w:type="paragraph" w:customStyle="1" w:styleId="17">
    <w:name w:val="TOC 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character" w:customStyle="1" w:styleId="18">
    <w:name w:val="页眉 Char"/>
    <w:basedOn w:val="6"/>
    <w:link w:val="3"/>
    <w:semiHidden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19">
    <w:name w:val="页脚 Char"/>
    <w:basedOn w:val="6"/>
    <w:link w:val="2"/>
    <w:semiHidden/>
    <w:qFormat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9.xml"/><Relationship Id="rId2" Type="http://schemas.openxmlformats.org/officeDocument/2006/relationships/settings" Target="settings.xml"/><Relationship Id="rId19" Type="http://schemas.openxmlformats.org/officeDocument/2006/relationships/customXml" Target="../customXml/item8.xml"/><Relationship Id="rId18" Type="http://schemas.openxmlformats.org/officeDocument/2006/relationships/customXml" Target="../customXml/item7.xml"/><Relationship Id="rId17" Type="http://schemas.openxmlformats.org/officeDocument/2006/relationships/customXml" Target="../customXml/item6.xml"/><Relationship Id="rId16" Type="http://schemas.openxmlformats.org/officeDocument/2006/relationships/customXml" Target="../customXml/item5.xml"/><Relationship Id="rId15" Type="http://schemas.openxmlformats.org/officeDocument/2006/relationships/customXml" Target="../customXml/item4.xml"/><Relationship Id="rId14" Type="http://schemas.openxmlformats.org/officeDocument/2006/relationships/customXml" Target="../customXml/item3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2022-04-08T09:38:18Z</dcterms:created>
  <dcterms:modified xsi:type="dcterms:W3CDTF">2022-04-08T01:38:18Z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2022-04-08T09:38:18Z</dcterms:created>
  <dcterms:modified xsi:type="dcterms:W3CDTF">2022-04-08T01:38:18Z</dcterms:modified>
</cp:core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2022-04-08T09:38:18Z</dcterms:created>
  <dcterms:modified xsi:type="dcterms:W3CDTF">2022-04-08T01:38:18Z</dcterms:modified>
</cp:core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2022-04-08T09:38:18Z</dcterms:created>
  <dcterms:modified xsi:type="dcterms:W3CDTF">2022-04-08T01:38:18Z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2EFDCC-685F-465B-8139-F62343119F05}">
  <ds:schemaRefs/>
</ds:datastoreItem>
</file>

<file path=customXml/itemProps3.xml><?xml version="1.0" encoding="utf-8"?>
<ds:datastoreItem xmlns:ds="http://schemas.openxmlformats.org/officeDocument/2006/customXml" ds:itemID="{535220D8-B596-45F4-827C-5196D5DD89B4}">
  <ds:schemaRefs/>
</ds:datastoreItem>
</file>

<file path=customXml/itemProps4.xml><?xml version="1.0" encoding="utf-8"?>
<ds:datastoreItem xmlns:ds="http://schemas.openxmlformats.org/officeDocument/2006/customXml" ds:itemID="{61C1022C-C12A-4DA7-A34B-623E80A92074}">
  <ds:schemaRefs/>
</ds:datastoreItem>
</file>

<file path=customXml/itemProps5.xml><?xml version="1.0" encoding="utf-8"?>
<ds:datastoreItem xmlns:ds="http://schemas.openxmlformats.org/officeDocument/2006/customXml" ds:itemID="{8A511604-6B45-4F1D-832F-97EC845CE482}">
  <ds:schemaRefs/>
</ds:datastoreItem>
</file>

<file path=customXml/itemProps6.xml><?xml version="1.0" encoding="utf-8"?>
<ds:datastoreItem xmlns:ds="http://schemas.openxmlformats.org/officeDocument/2006/customXml" ds:itemID="{B986C82B-F8F1-4718-8EEE-D46E54343BD2}">
  <ds:schemaRefs/>
</ds:datastoreItem>
</file>

<file path=customXml/itemProps7.xml><?xml version="1.0" encoding="utf-8"?>
<ds:datastoreItem xmlns:ds="http://schemas.openxmlformats.org/officeDocument/2006/customXml" ds:itemID="{D3BFA6EF-32A8-4FD1-AB1A-46870C0086F6}">
  <ds:schemaRefs/>
</ds:datastoreItem>
</file>

<file path=customXml/itemProps8.xml><?xml version="1.0" encoding="utf-8"?>
<ds:datastoreItem xmlns:ds="http://schemas.openxmlformats.org/officeDocument/2006/customXml" ds:itemID="{C7325182-AA93-4A5D-84E6-23922550D73A}">
  <ds:schemaRefs/>
</ds:datastoreItem>
</file>

<file path=customXml/itemProps9.xml><?xml version="1.0" encoding="utf-8"?>
<ds:datastoreItem xmlns:ds="http://schemas.openxmlformats.org/officeDocument/2006/customXml" ds:itemID="{E62369EC-E7BB-4BE9-BE9C-AC26DBEEF4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506</Words>
  <Characters>2885</Characters>
  <Lines>24</Lines>
  <Paragraphs>6</Paragraphs>
  <TotalTime>73</TotalTime>
  <ScaleCrop>false</ScaleCrop>
  <LinksUpToDate>false</LinksUpToDate>
  <CharactersWithSpaces>3385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2022-04-08T01:51:00Z</dcterms:created>
  <dc:creator>Administrator</dc:creator>
  <cp:lastModifiedBy>Administrator</cp:lastModifiedBy>
  <dcterms:modified xsi:type="dcterms:W3CDTF">2024-01-15T03:00:11Z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