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spacing w:after="360" w:line="640" w:lineRule="exact"/>
        <w:ind w:firstLine="0"/>
        <w:jc w:val="center"/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乐亭县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部门单位整体支出绩效</w:t>
      </w:r>
    </w:p>
    <w:p>
      <w:pPr>
        <w:pStyle w:val="6"/>
        <w:keepNext/>
        <w:keepLines/>
        <w:spacing w:after="360" w:line="640" w:lineRule="exact"/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自评报告</w:t>
      </w:r>
    </w:p>
    <w:p>
      <w:pPr>
        <w:pStyle w:val="4"/>
        <w:spacing w:after="660" w:line="240" w:lineRule="auto"/>
        <w:ind w:firstLine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2021 </w:t>
      </w:r>
      <w:r>
        <w:rPr>
          <w:rFonts w:hint="eastAsia" w:ascii="仿宋" w:hAnsi="仿宋" w:eastAsia="仿宋" w:cs="仿宋"/>
          <w:sz w:val="32"/>
          <w:szCs w:val="32"/>
        </w:rPr>
        <w:t>年度）</w:t>
      </w:r>
    </w:p>
    <w:p>
      <w:pPr>
        <w:pStyle w:val="4"/>
        <w:spacing w:after="200" w:line="240" w:lineRule="auto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4"/>
        <w:spacing w:after="200" w:line="240" w:lineRule="auto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4"/>
        <w:spacing w:after="200" w:line="240" w:lineRule="auto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4"/>
        <w:spacing w:after="200" w:line="240" w:lineRule="auto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4"/>
        <w:spacing w:after="200"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4"/>
        <w:spacing w:after="200"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4"/>
        <w:spacing w:after="200"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4"/>
        <w:spacing w:after="200"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4"/>
        <w:spacing w:after="200"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4"/>
        <w:spacing w:after="200"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4"/>
        <w:spacing w:after="200"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4"/>
        <w:spacing w:after="200"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部门单位名称（公章）：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乐亭县审计局</w:t>
      </w:r>
    </w:p>
    <w:p>
      <w:pPr>
        <w:pStyle w:val="4"/>
        <w:spacing w:after="520" w:line="24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1418" w:right="1418" w:bottom="1418" w:left="1418" w:header="0" w:footer="3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2021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12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25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jc w:val="center"/>
        <w:rPr>
          <w:rFonts w:hint="eastAsia" w:cs="Times New Roman" w:asciiTheme="minorEastAsia" w:hAnsiTheme="minorEastAsia" w:eastAsiaTheme="minorEastAsia"/>
          <w:b/>
          <w:sz w:val="44"/>
          <w:szCs w:val="44"/>
          <w:lang w:eastAsia="zh-CN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hint="eastAsia" w:cs="Times New Roman" w:asciiTheme="minorEastAsia" w:hAnsiTheme="minorEastAsia"/>
          <w:b/>
          <w:sz w:val="44"/>
          <w:szCs w:val="44"/>
          <w:lang w:eastAsia="zh-CN"/>
        </w:rPr>
        <w:t>支出</w:t>
      </w:r>
      <w:r>
        <w:rPr>
          <w:rFonts w:cs="Times New Roman" w:asciiTheme="minorEastAsia" w:hAnsiTheme="minorEastAsia"/>
          <w:b/>
          <w:sz w:val="44"/>
          <w:szCs w:val="44"/>
        </w:rPr>
        <w:t>绩效</w:t>
      </w:r>
      <w:r>
        <w:rPr>
          <w:rFonts w:hint="eastAsia" w:cs="Times New Roman" w:asciiTheme="minorEastAsia" w:hAnsiTheme="minorEastAsia"/>
          <w:b/>
          <w:sz w:val="44"/>
          <w:szCs w:val="44"/>
          <w:lang w:eastAsia="zh-CN"/>
        </w:rPr>
        <w:t>报告</w:t>
      </w:r>
    </w:p>
    <w:p>
      <w:pPr>
        <w:ind w:firstLine="640" w:firstLineChars="200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</w:rPr>
        <w:t>整体</w:t>
      </w:r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年度申请预算资金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327.77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万元，实际支出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327.77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万元，预算执行率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%。其中：专项项目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个，金额合计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万元，实际支出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万元，执行率为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4"/>
        <w:tabs>
          <w:tab w:val="left" w:pos="839"/>
        </w:tabs>
        <w:spacing w:line="52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总体</w:t>
      </w:r>
      <w:r>
        <w:rPr>
          <w:rFonts w:hint="eastAsia" w:ascii="黑体" w:hAnsi="黑体" w:eastAsia="黑体" w:cs="黑体"/>
          <w:sz w:val="32"/>
          <w:szCs w:val="32"/>
        </w:rPr>
        <w:t>绩效目标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和绩效指标设定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体绩效目标：严格高质量完成全年审计工作，审计要促改革、促发展。审计业务工作计划完成率达90%以上，审计结果落实情况达80%以上，专项审计调查工作计划完成率达90%以上，政策建议采纳率达85%以上，审计项目审理覆盖率达100%，审计报告合格率达100%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计业务绩效：对财政财务收支的真实性、合法性和效益型进行审计监督，维护国家财政经济秩序，促进廉政建设、保障全县经济和社会健康发展，问题回查率达85%，监督检查覆盖率达85%，问题整改率达90%；专项审计调查绩效：向有关部门、单位反映情况、揭露问题，提出建议，为政府决策提供依据，政策采纳率达90%，监督检查覆盖率达90%，问题整改率达90%；政务管理开展数据平台建设，加强培训，抓好宣传和文化建设，促进信息公开，接收监督检查业务培训人数达100%，形成监督整改建议书数量大100%、问题整改率达100%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绩效评价组织情况</w:t>
      </w:r>
    </w:p>
    <w:p>
      <w:pPr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本次绩效评价项目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个，占部门项目总数的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x%，涉及金额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>
      <w:pPr>
        <w:widowControl/>
        <w:numPr>
          <w:ilvl w:val="0"/>
          <w:numId w:val="0"/>
        </w:numPr>
        <w:spacing w:line="57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四</w:t>
      </w:r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部门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绩效实现情况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产出指标完成情况：一般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审计业务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全年完成审计项目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36个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完成率达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102%，专项审计调查完成2个，完成率100%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资金完成率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100%。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社会效益指标完成情况：审计整改率逐步提高，当年完成达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满意度指标完成情况：被审计对象满意度大于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90%，单位职工满意度大于95%。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目标完成时效：通过财政一体化平台，本单位按进度及时完成各项指标。</w:t>
      </w:r>
    </w:p>
    <w:p>
      <w:pPr>
        <w:ind w:firstLine="640" w:firstLineChars="200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五</w:t>
      </w:r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、存在的问题和建议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项目管理应进一步规范，建立部门内部分工合作机制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完善责任机制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全面预算绩效管理工作是近年来管理改革工作的重要内容，各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在实际工作中应进一步学习、实践。共同推进预算绩效管理实施，建立起绩效指标和标准体系的制度。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进一步加强了预算管理，加大预算执行力度，确保实现预算管理的科学化、公开化、透明化。树立了节俭办学意识，科学合理有效地使用资金，为办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</w:rPr>
        <w:t>所需日常公用经费、事业发展所需项目经费等方面工作提供坚实的支撑。</w:t>
      </w:r>
    </w:p>
    <w:p>
      <w:pPr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475615</wp:posOffset>
              </wp:positionH>
              <wp:positionV relativeFrom="page">
                <wp:posOffset>308610</wp:posOffset>
              </wp:positionV>
              <wp:extent cx="114935" cy="146050"/>
              <wp:effectExtent l="0" t="0" r="0" b="0"/>
              <wp:wrapNone/>
              <wp:docPr id="80" name="文本框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.45pt;margin-top:24.3pt;height:11.5pt;width:9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3F01dMAAAAHAQAADwAAAAAAAAABACAAAAAiAAAAZHJzL2Rvd25yZXYueG1sUEsB&#10;AhQAFAAAAAgAh07iQE5XghzBAQAAdQMAAA4AAAAAAAAAAQAgAAAAI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300BD8"/>
    <w:multiLevelType w:val="singleLevel"/>
    <w:tmpl w:val="A8300BD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014C6FC0"/>
    <w:rsid w:val="0CA36C89"/>
    <w:rsid w:val="1F804328"/>
    <w:rsid w:val="2251163E"/>
    <w:rsid w:val="2FB7375E"/>
    <w:rsid w:val="3CD8575D"/>
    <w:rsid w:val="3D2E1997"/>
    <w:rsid w:val="3DDA1876"/>
    <w:rsid w:val="538D58BE"/>
    <w:rsid w:val="68644F44"/>
    <w:rsid w:val="77397721"/>
    <w:rsid w:val="7ABD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41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  <w:style w:type="paragraph" w:customStyle="1" w:styleId="6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7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Administrator</cp:lastModifiedBy>
  <dcterms:modified xsi:type="dcterms:W3CDTF">2022-03-02T07:58:52Z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