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7" w:name="_GoBack"/>
      <w:bookmarkEnd w:id="17"/>
      <w:r>
        <w:rPr>
          <w:rFonts w:hint="eastAsia" w:ascii="黑体" w:hAnsi="黑体" w:eastAsia="黑体" w:cs="黑体"/>
          <w:b/>
          <w:color w:val="000000"/>
          <w:sz w:val="44"/>
          <w:lang w:val="en-US" w:eastAsia="zh-CN"/>
        </w:rPr>
        <w:t>妇联</w:t>
      </w: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rPr>
          <w:rFonts w:hint="eastAsia"/>
          <w:lang w:val="en-US" w:eastAsia="zh-CN"/>
        </w:rPr>
        <w:t xml:space="preserve"> ...................................................................................</w:t>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rPr>
          <w:rFonts w:hint="eastAsia"/>
          <w:lang w:val="en-US" w:eastAsia="zh-CN"/>
        </w:rPr>
        <w:t>....................................................................................</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"_Toc_2_2_0000000003" </w:instrText>
      </w:r>
      <w:r>
        <w:fldChar w:fldCharType="separate"/>
      </w:r>
      <w:r>
        <w:t>部门预算支出总表</w:t>
      </w:r>
      <w:r>
        <w:rPr>
          <w:rFonts w:hint="eastAsia"/>
          <w:lang w:val="en-US" w:eastAsia="zh-CN"/>
        </w:rPr>
        <w:t>...................................................................................</w:t>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rPr>
          <w:rFonts w:hint="eastAsia"/>
          <w:lang w:val="en-US" w:eastAsia="zh-CN"/>
        </w:rPr>
        <w:t>................................................. .................</w:t>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rPr>
          <w:rFonts w:hint="eastAsia"/>
          <w:lang w:val="en-US" w:eastAsia="zh-CN"/>
        </w:rPr>
        <w:t>...............................................</w:t>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rPr>
          <w:rFonts w:hint="eastAsia"/>
          <w:lang w:val="en-US" w:eastAsia="zh-CN"/>
        </w:rPr>
        <w:t>.......................................</w:t>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rPr>
          <w:rFonts w:hint="eastAsia"/>
          <w:lang w:val="en-US" w:eastAsia="zh-CN"/>
        </w:rPr>
        <w:t>................................................</w:t>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rPr>
          <w:rFonts w:hint="eastAsia"/>
          <w:lang w:val="en-US" w:eastAsia="zh-CN"/>
        </w:rPr>
        <w:t>......................................</w:t>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rPr>
          <w:rFonts w:hint="eastAsia"/>
          <w:lang w:val="en-US" w:eastAsia="zh-CN"/>
        </w:rPr>
        <w:t>..................................................</w:t>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rPr>
          <w:rFonts w:hint="eastAsia"/>
          <w:lang w:val="en-US" w:eastAsia="zh-CN"/>
        </w:rPr>
        <w:t>................................................................</w:t>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rPr>
          <w:rFonts w:hint="eastAsia"/>
          <w:lang w:val="en-US" w:eastAsia="zh-CN"/>
        </w:rPr>
        <w:t>................................................................</w:t>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rPr>
          <w:rFonts w:hint="eastAsia"/>
          <w:lang w:val="en-US" w:eastAsia="zh-CN"/>
        </w:rPr>
        <w:t>....................................................................</w:t>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w:t>
      </w:r>
      <w:r>
        <w:rPr>
          <w:rFonts w:hint="eastAsia"/>
          <w:lang w:val="en-US" w:eastAsia="zh-CN"/>
        </w:rPr>
        <w:t>因............................</w:t>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rPr>
          <w:rFonts w:hint="eastAsia"/>
          <w:lang w:val="en-US" w:eastAsia="zh-CN"/>
        </w:rPr>
        <w:t>....................................................................................</w:t>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rPr>
          <w:rFonts w:hint="eastAsia"/>
          <w:lang w:val="en-US" w:eastAsia="zh-CN"/>
        </w:rPr>
        <w:t>............................................................................</w:t>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rPr>
          <w:rFonts w:hint="eastAsia"/>
          <w:lang w:val="en-US" w:eastAsia="zh-CN"/>
        </w:rPr>
        <w:t>....................................................................................</w:t>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rPr>
          <w:rFonts w:hint="eastAsia"/>
          <w:lang w:val="en-US" w:eastAsia="zh-CN"/>
        </w:rPr>
        <w:t>............................................................................................</w:t>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rPr>
          <w:rFonts w:hint="eastAsia"/>
          <w:lang w:val="en-US" w:eastAsia="zh-CN"/>
        </w:rPr>
        <w:t>........................................................................</w:t>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1900" w:h="16840"/>
          <w:pgMar w:top="1134" w:right="1361" w:bottom="1134" w:left="1531" w:header="720" w:footer="720" w:gutter="0"/>
          <w:pgNumType w:start="1"/>
          <w:cols w:space="425" w:num="1"/>
          <w:rtlGutter w:val="0"/>
          <w:docGrid w:linePitch="0" w:charSpace="0"/>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1900" w:h="16840"/>
          <w:pgMar w:top="1134" w:right="1361" w:bottom="1134" w:left="1531" w:header="720" w:footer="720" w:gutter="0"/>
          <w:pgNumType w:start="1"/>
          <w:cols w:space="425" w:num="1"/>
          <w:rtlGutter w:val="0"/>
          <w:docGrid w:linePitch="0" w:charSpace="0"/>
        </w:sectPr>
      </w:pPr>
      <w:r>
        <w:rPr>
          <w:rFonts w:hint="eastAsia" w:ascii="方正小标宋_GBK" w:hAnsi="方正小标宋_GBK" w:eastAsia="方正小标宋_GBK" w:cs="方正小标宋_GBK"/>
          <w:color w:val="000000"/>
          <w:sz w:val="72"/>
          <w:lang w:val="en-US" w:eastAsia="zh-CN"/>
        </w:rPr>
        <w:t>妇联</w:t>
      </w:r>
      <w:r>
        <w:rPr>
          <w:rFonts w:ascii="方正小标宋_GBK" w:hAnsi="方正小标宋_GBK" w:eastAsia="方正小标宋_GBK" w:cs="方正小标宋_GBK"/>
          <w:color w:val="000000"/>
          <w:sz w:val="72"/>
        </w:rPr>
        <w:t>部门预算</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tbl>
      <w:tblPr>
        <w:tblStyle w:val="6"/>
        <w:tblW w:w="9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3414"/>
        <w:gridCol w:w="907"/>
        <w:gridCol w:w="3642"/>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eastAsia="宋体"/>
                <w:lang w:val="en-US" w:eastAsia="zh-CN"/>
              </w:rPr>
              <w:t>部门：</w:t>
            </w:r>
            <w:r>
              <w:t>713妇联</w:t>
            </w:r>
          </w:p>
        </w:tc>
        <w:tc>
          <w:tcPr>
            <w:tcW w:w="455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9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926"/>
        <w:gridCol w:w="2216"/>
        <w:gridCol w:w="774"/>
        <w:gridCol w:w="825"/>
        <w:gridCol w:w="840"/>
        <w:gridCol w:w="630"/>
        <w:gridCol w:w="570"/>
        <w:gridCol w:w="495"/>
        <w:gridCol w:w="555"/>
        <w:gridCol w:w="555"/>
        <w:gridCol w:w="42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872"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2" w:type="dxa"/>
            <w:gridSpan w:val="2"/>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713</w:t>
            </w:r>
            <w:r>
              <w:rPr>
                <w:rStyle w:val="28"/>
                <w:lang w:val="en-US" w:eastAsia="zh-CN" w:bidi="ar"/>
              </w:rPr>
              <w:t>妇联</w:t>
            </w:r>
          </w:p>
        </w:tc>
        <w:tc>
          <w:tcPr>
            <w:tcW w:w="221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4"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40"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49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80" w:type="dxa"/>
            <w:gridSpan w:val="4"/>
            <w:tcBorders>
              <w:top w:val="nil"/>
              <w:left w:val="nil"/>
              <w:bottom w:val="nil"/>
              <w:right w:val="nil"/>
            </w:tcBorders>
            <w:shd w:val="clear" w:color="auto" w:fill="auto"/>
            <w:vAlign w:val="top"/>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财政专户收入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239.95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239.95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239.95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20129</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2012901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222.75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2080505</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6.00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7.00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2101103</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2210201</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4.20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0"/>
                <w:szCs w:val="20"/>
                <w:u w:val="none"/>
              </w:rPr>
            </w:pPr>
          </w:p>
        </w:tc>
      </w:tr>
    </w:tbl>
    <w:p>
      <w:pPr>
        <w:spacing w:before="0" w:after="0" w:line="240" w:lineRule="auto"/>
        <w:ind w:firstLine="0"/>
        <w:jc w:val="left"/>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0"/>
    <w:p>
      <w:pPr>
        <w:spacing w:before="0" w:after="0" w:line="240" w:lineRule="auto"/>
        <w:ind w:firstLine="0"/>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6"/>
        <w:tblW w:w="96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476"/>
        <w:gridCol w:w="915"/>
        <w:gridCol w:w="810"/>
        <w:gridCol w:w="930"/>
        <w:gridCol w:w="675"/>
        <w:gridCol w:w="764"/>
        <w:gridCol w:w="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6" w:type="dxa"/>
            <w:gridSpan w:val="3"/>
            <w:tcBorders>
              <w:top w:val="single" w:color="FFFFFF" w:sz="6" w:space="0"/>
              <w:left w:val="single" w:color="FFFFFF" w:sz="6" w:space="0"/>
              <w:right w:val="single" w:color="FFFFFF" w:sz="6" w:space="0"/>
            </w:tcBorders>
            <w:vAlign w:val="center"/>
          </w:tcPr>
          <w:p>
            <w:pPr>
              <w:pStyle w:val="11"/>
            </w:pPr>
            <w:r>
              <w:t>713妇联</w:t>
            </w:r>
          </w:p>
        </w:tc>
        <w:tc>
          <w:tcPr>
            <w:tcW w:w="5030" w:type="dxa"/>
            <w:gridSpan w:val="6"/>
            <w:tcBorders>
              <w:top w:val="single" w:color="FFFFFF" w:sz="6" w:space="0"/>
              <w:left w:val="single" w:color="FFFFFF" w:sz="6" w:space="0"/>
              <w:right w:val="single" w:color="FFFFFF" w:sz="6" w:space="0"/>
            </w:tcBorders>
            <w:vAlign w:val="center"/>
          </w:tcPr>
          <w:p>
            <w:pPr>
              <w:pStyle w:val="10"/>
              <w:jc w:val="both"/>
            </w:pPr>
            <w:r>
              <w:t>预算年度：2022</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3571" w:type="dxa"/>
            <w:gridSpan w:val="2"/>
            <w:vAlign w:val="center"/>
          </w:tcPr>
          <w:p>
            <w:pPr>
              <w:pStyle w:val="12"/>
            </w:pPr>
            <w:r>
              <w:t>功能分类科目</w:t>
            </w:r>
          </w:p>
        </w:tc>
        <w:tc>
          <w:tcPr>
            <w:tcW w:w="915" w:type="dxa"/>
            <w:vMerge w:val="restart"/>
            <w:vAlign w:val="center"/>
          </w:tcPr>
          <w:p>
            <w:pPr>
              <w:pStyle w:val="12"/>
            </w:pPr>
            <w:r>
              <w:t>合计</w:t>
            </w:r>
          </w:p>
        </w:tc>
        <w:tc>
          <w:tcPr>
            <w:tcW w:w="810" w:type="dxa"/>
            <w:vMerge w:val="restart"/>
            <w:vAlign w:val="center"/>
          </w:tcPr>
          <w:p>
            <w:pPr>
              <w:pStyle w:val="12"/>
            </w:pPr>
            <w:r>
              <w:t>基本支出</w:t>
            </w:r>
          </w:p>
        </w:tc>
        <w:tc>
          <w:tcPr>
            <w:tcW w:w="930" w:type="dxa"/>
            <w:vMerge w:val="restart"/>
            <w:vAlign w:val="center"/>
          </w:tcPr>
          <w:p>
            <w:pPr>
              <w:pStyle w:val="12"/>
            </w:pPr>
            <w:r>
              <w:t>项目支出</w:t>
            </w:r>
          </w:p>
        </w:tc>
        <w:tc>
          <w:tcPr>
            <w:tcW w:w="675" w:type="dxa"/>
            <w:vMerge w:val="restart"/>
            <w:vAlign w:val="center"/>
          </w:tcPr>
          <w:p>
            <w:pPr>
              <w:pStyle w:val="12"/>
            </w:pPr>
            <w:r>
              <w:t>经营支出</w:t>
            </w:r>
          </w:p>
        </w:tc>
        <w:tc>
          <w:tcPr>
            <w:tcW w:w="764" w:type="dxa"/>
            <w:vMerge w:val="restart"/>
            <w:vAlign w:val="center"/>
          </w:tcPr>
          <w:p>
            <w:pPr>
              <w:pStyle w:val="12"/>
            </w:pPr>
            <w:r>
              <w:t>上解上级     支出</w:t>
            </w:r>
          </w:p>
        </w:tc>
        <w:tc>
          <w:tcPr>
            <w:tcW w:w="93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2476" w:type="dxa"/>
            <w:vAlign w:val="center"/>
          </w:tcPr>
          <w:p>
            <w:pPr>
              <w:pStyle w:val="12"/>
            </w:pPr>
            <w:r>
              <w:t>科目名称</w:t>
            </w:r>
          </w:p>
        </w:tc>
        <w:tc>
          <w:tcPr>
            <w:tcW w:w="915" w:type="dxa"/>
            <w:vMerge w:val="continue"/>
          </w:tcPr>
          <w:p/>
        </w:tc>
        <w:tc>
          <w:tcPr>
            <w:tcW w:w="810" w:type="dxa"/>
            <w:vMerge w:val="continue"/>
          </w:tcPr>
          <w:p/>
        </w:tc>
        <w:tc>
          <w:tcPr>
            <w:tcW w:w="930" w:type="dxa"/>
            <w:vMerge w:val="continue"/>
          </w:tcPr>
          <w:p/>
        </w:tc>
        <w:tc>
          <w:tcPr>
            <w:tcW w:w="675" w:type="dxa"/>
            <w:vMerge w:val="continue"/>
          </w:tcPr>
          <w:p/>
        </w:tc>
        <w:tc>
          <w:tcPr>
            <w:tcW w:w="764" w:type="dxa"/>
            <w:vMerge w:val="continue"/>
          </w:tcPr>
          <w:p/>
        </w:tc>
        <w:tc>
          <w:tcPr>
            <w:tcW w:w="9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2476" w:type="dxa"/>
            <w:vAlign w:val="center"/>
          </w:tcPr>
          <w:p>
            <w:pPr>
              <w:pStyle w:val="12"/>
            </w:pPr>
            <w:r>
              <w:t>2</w:t>
            </w:r>
          </w:p>
        </w:tc>
        <w:tc>
          <w:tcPr>
            <w:tcW w:w="915" w:type="dxa"/>
            <w:vAlign w:val="center"/>
          </w:tcPr>
          <w:p>
            <w:pPr>
              <w:pStyle w:val="12"/>
            </w:pPr>
            <w:r>
              <w:t>3</w:t>
            </w:r>
          </w:p>
        </w:tc>
        <w:tc>
          <w:tcPr>
            <w:tcW w:w="810" w:type="dxa"/>
            <w:vAlign w:val="center"/>
          </w:tcPr>
          <w:p>
            <w:pPr>
              <w:pStyle w:val="12"/>
            </w:pPr>
            <w:r>
              <w:t>4</w:t>
            </w:r>
          </w:p>
        </w:tc>
        <w:tc>
          <w:tcPr>
            <w:tcW w:w="930" w:type="dxa"/>
            <w:vAlign w:val="center"/>
          </w:tcPr>
          <w:p>
            <w:pPr>
              <w:pStyle w:val="12"/>
            </w:pPr>
            <w:r>
              <w:t>5</w:t>
            </w:r>
          </w:p>
        </w:tc>
        <w:tc>
          <w:tcPr>
            <w:tcW w:w="675" w:type="dxa"/>
            <w:vAlign w:val="center"/>
          </w:tcPr>
          <w:p>
            <w:pPr>
              <w:pStyle w:val="12"/>
            </w:pPr>
            <w:r>
              <w:t>6</w:t>
            </w:r>
          </w:p>
        </w:tc>
        <w:tc>
          <w:tcPr>
            <w:tcW w:w="764" w:type="dxa"/>
            <w:vAlign w:val="center"/>
          </w:tcPr>
          <w:p>
            <w:pPr>
              <w:pStyle w:val="12"/>
            </w:pPr>
            <w:r>
              <w:t>7</w:t>
            </w:r>
          </w:p>
        </w:tc>
        <w:tc>
          <w:tcPr>
            <w:tcW w:w="93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w:t>
            </w:r>
          </w:p>
        </w:tc>
        <w:tc>
          <w:tcPr>
            <w:tcW w:w="1095" w:type="dxa"/>
            <w:vAlign w:val="top"/>
          </w:tcPr>
          <w:p>
            <w:pPr>
              <w:jc w:val="left"/>
              <w:rPr>
                <w:sz w:val="21"/>
                <w:szCs w:val="21"/>
              </w:rPr>
            </w:pP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合计</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239.95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60.45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2</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一般公共服务支出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222.75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43.25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3</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20129</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群众团体事务</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222.75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43.25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4</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2012901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行政运行</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222.75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43.25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5</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208</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社会保障和就业支出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6</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20805</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行政事业单位养老支出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7</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2080505</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机关事业单位基本养老保险缴费支出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8</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卫生健康支出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9</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21011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行政事业单位医疗</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7.00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10</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2101101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行政单位医疗</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3.00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3.00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11</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2101103</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公务员医疗补助</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4.00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4.00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12</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住房保障支出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13</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22102</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住房改革支出</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r>
              <w:rPr>
                <w:rFonts w:hint="default" w:ascii="Calibri" w:hAnsi="Calibri" w:eastAsia="宋体" w:cs="Calibri"/>
                <w:i w:val="0"/>
                <w:iCs w:val="0"/>
                <w:color w:val="000000"/>
                <w:kern w:val="0"/>
                <w:sz w:val="21"/>
                <w:szCs w:val="21"/>
                <w:u w:val="none"/>
                <w:lang w:val="en-US" w:eastAsia="zh-CN" w:bidi="ar"/>
              </w:rPr>
              <w:t>14</w:t>
            </w:r>
          </w:p>
        </w:tc>
        <w:tc>
          <w:tcPr>
            <w:tcW w:w="1095"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2210201</w:t>
            </w: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住房公积金</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4.20</w:t>
            </w:r>
          </w:p>
        </w:tc>
        <w:tc>
          <w:tcPr>
            <w:tcW w:w="930" w:type="dxa"/>
            <w:vAlign w:val="top"/>
          </w:tcPr>
          <w:p>
            <w:pPr>
              <w:jc w:val="right"/>
              <w:rPr>
                <w:sz w:val="21"/>
                <w:szCs w:val="21"/>
              </w:rPr>
            </w:pP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top"/>
          </w:tcPr>
          <w:p>
            <w:pPr>
              <w:keepNext w:val="0"/>
              <w:keepLines w:val="0"/>
              <w:widowControl/>
              <w:suppressLineNumbers w:val="0"/>
              <w:jc w:val="center"/>
              <w:textAlignment w:val="top"/>
              <w:rPr>
                <w:sz w:val="21"/>
                <w:szCs w:val="21"/>
              </w:rPr>
            </w:pPr>
          </w:p>
        </w:tc>
        <w:tc>
          <w:tcPr>
            <w:tcW w:w="1095" w:type="dxa"/>
            <w:vAlign w:val="top"/>
          </w:tcPr>
          <w:p>
            <w:pPr>
              <w:jc w:val="left"/>
              <w:rPr>
                <w:sz w:val="21"/>
                <w:szCs w:val="21"/>
              </w:rPr>
            </w:pPr>
          </w:p>
        </w:tc>
        <w:tc>
          <w:tcPr>
            <w:tcW w:w="2476" w:type="dxa"/>
            <w:vAlign w:val="top"/>
          </w:tcPr>
          <w:p>
            <w:pPr>
              <w:keepNext w:val="0"/>
              <w:keepLines w:val="0"/>
              <w:widowControl/>
              <w:suppressLineNumbers w:val="0"/>
              <w:jc w:val="left"/>
              <w:textAlignment w:val="top"/>
              <w:rPr>
                <w:sz w:val="21"/>
                <w:szCs w:val="21"/>
              </w:rPr>
            </w:pPr>
            <w:r>
              <w:rPr>
                <w:rFonts w:hint="default" w:ascii="Calibri" w:hAnsi="Calibri" w:eastAsia="宋体" w:cs="Calibri"/>
                <w:i w:val="0"/>
                <w:iCs w:val="0"/>
                <w:color w:val="000000"/>
                <w:kern w:val="0"/>
                <w:sz w:val="21"/>
                <w:szCs w:val="21"/>
                <w:u w:val="none"/>
                <w:lang w:val="en-US" w:eastAsia="zh-CN" w:bidi="ar"/>
              </w:rPr>
              <w:t>合计</w:t>
            </w:r>
          </w:p>
        </w:tc>
        <w:tc>
          <w:tcPr>
            <w:tcW w:w="915"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239.95</w:t>
            </w:r>
          </w:p>
        </w:tc>
        <w:tc>
          <w:tcPr>
            <w:tcW w:w="81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60.45</w:t>
            </w:r>
          </w:p>
        </w:tc>
        <w:tc>
          <w:tcPr>
            <w:tcW w:w="930" w:type="dxa"/>
            <w:vAlign w:val="top"/>
          </w:tcPr>
          <w:p>
            <w:pPr>
              <w:keepNext w:val="0"/>
              <w:keepLines w:val="0"/>
              <w:widowControl/>
              <w:suppressLineNumbers w:val="0"/>
              <w:jc w:val="right"/>
              <w:textAlignment w:val="top"/>
              <w:rPr>
                <w:sz w:val="21"/>
                <w:szCs w:val="21"/>
              </w:rPr>
            </w:pPr>
            <w:r>
              <w:rPr>
                <w:rFonts w:hint="default" w:ascii="Calibri" w:hAnsi="Calibri" w:eastAsia="宋体" w:cs="Calibri"/>
                <w:i w:val="0"/>
                <w:iCs w:val="0"/>
                <w:color w:val="000000"/>
                <w:kern w:val="0"/>
                <w:sz w:val="21"/>
                <w:szCs w:val="21"/>
                <w:u w:val="none"/>
                <w:lang w:val="en-US" w:eastAsia="zh-CN" w:bidi="ar"/>
              </w:rPr>
              <w:t>179.50</w:t>
            </w:r>
          </w:p>
        </w:tc>
        <w:tc>
          <w:tcPr>
            <w:tcW w:w="675" w:type="dxa"/>
            <w:vAlign w:val="center"/>
          </w:tcPr>
          <w:p>
            <w:pPr>
              <w:pStyle w:val="13"/>
            </w:pPr>
          </w:p>
        </w:tc>
        <w:tc>
          <w:tcPr>
            <w:tcW w:w="764" w:type="dxa"/>
            <w:vAlign w:val="center"/>
          </w:tcPr>
          <w:p>
            <w:pPr>
              <w:pStyle w:val="13"/>
            </w:pPr>
          </w:p>
        </w:tc>
        <w:tc>
          <w:tcPr>
            <w:tcW w:w="936" w:type="dxa"/>
            <w:vAlign w:val="center"/>
          </w:tcPr>
          <w:p>
            <w:pPr>
              <w:pStyle w:val="13"/>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4"/>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6"/>
        <w:tblW w:w="9675"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145"/>
        <w:gridCol w:w="819"/>
        <w:gridCol w:w="2751"/>
        <w:gridCol w:w="810"/>
        <w:gridCol w:w="810"/>
        <w:gridCol w:w="81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67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方正小标宋_GBK" w:hAnsi="方正小标宋_GBK" w:eastAsia="方正小标宋_GBK" w:cs="方正小标宋_GBK"/>
                <w:color w:val="000000"/>
                <w:sz w:val="36"/>
                <w:lang w:val="en-US" w:eastAsia="zh-CN"/>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9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145" w:type="dxa"/>
            <w:tcBorders>
              <w:top w:val="nil"/>
              <w:left w:val="nil"/>
              <w:bottom w:val="nil"/>
              <w:right w:val="nil"/>
            </w:tcBorders>
            <w:shd w:val="clear" w:color="auto" w:fill="auto"/>
            <w:vAlign w:val="center"/>
          </w:tcPr>
          <w:p>
            <w:pPr>
              <w:jc w:val="left"/>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713部门</w:t>
            </w:r>
          </w:p>
        </w:tc>
        <w:tc>
          <w:tcPr>
            <w:tcW w:w="819"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75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预算年度：2022</w:t>
            </w:r>
          </w:p>
        </w:tc>
        <w:tc>
          <w:tcPr>
            <w:tcW w:w="81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460"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222.75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2"/>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6"/>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1099"/>
        <w:gridCol w:w="2885"/>
        <w:gridCol w:w="866"/>
        <w:gridCol w:w="739"/>
        <w:gridCol w:w="928"/>
        <w:gridCol w:w="1003"/>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707"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t>713妇联</w:t>
            </w:r>
          </w:p>
        </w:tc>
        <w:tc>
          <w:tcPr>
            <w:tcW w:w="288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866"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9"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934"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239.95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20129</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群众团体事务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2012901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222.75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43.25</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36.07</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2101103</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420"/>
        <w:jc w:val="left"/>
        <w:outlineLvl w:val="9"/>
        <w:sectPr>
          <w:pgSz w:w="11900" w:h="16840"/>
          <w:pgMar w:top="1134" w:right="1361" w:bottom="1134" w:left="1531" w:header="720" w:footer="720" w:gutter="0"/>
          <w:cols w:space="425" w:num="1"/>
          <w:rtlGutter w:val="0"/>
          <w:docGrid w:linePitch="0" w:charSpace="0"/>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6"/>
        <w:tblW w:w="9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850"/>
        <w:gridCol w:w="246"/>
        <w:gridCol w:w="2639"/>
        <w:gridCol w:w="657"/>
        <w:gridCol w:w="209"/>
        <w:gridCol w:w="639"/>
        <w:gridCol w:w="100"/>
        <w:gridCol w:w="1194"/>
        <w:gridCol w:w="1293"/>
        <w:gridCol w:w="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707"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t>713妇联</w:t>
            </w:r>
          </w:p>
        </w:tc>
        <w:tc>
          <w:tcPr>
            <w:tcW w:w="2885"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866"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39" w:type="dxa"/>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934"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60"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34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6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6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60.45</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53.26</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53.26</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15.28</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0.18</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0.18</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0.52</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0.47</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47" w:type="dxa"/>
          <w:trHeight w:val="33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32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420"/>
        <w:jc w:val="left"/>
        <w:outlineLvl w:val="9"/>
        <w:sectPr>
          <w:pgSz w:w="11900" w:h="16840"/>
          <w:pgMar w:top="1134" w:right="1361" w:bottom="1134" w:left="1531" w:header="720" w:footer="720" w:gutter="0"/>
          <w:cols w:space="425" w:num="1"/>
          <w:rtlGutter w:val="0"/>
          <w:docGrid w:linePitch="0" w:charSpace="0"/>
        </w:sectPr>
      </w:pPr>
    </w:p>
    <w:p>
      <w:pPr>
        <w:spacing w:before="0" w:after="0" w:line="240" w:lineRule="auto"/>
        <w:ind w:firstLine="0"/>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713妇联</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134" w:right="1361" w:bottom="1134" w:left="1531" w:header="720" w:footer="720" w:gutter="0"/>
          <w:cols w:space="425"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713妇联</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134" w:right="1361" w:bottom="1134" w:left="1531" w:header="720" w:footer="720" w:gutter="0"/>
          <w:cols w:space="425"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6"/>
        <w:tblW w:w="88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4286"/>
        <w:gridCol w:w="945"/>
        <w:gridCol w:w="990"/>
        <w:gridCol w:w="91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r>
              <w:t>713妇联</w:t>
            </w:r>
          </w:p>
        </w:tc>
        <w:tc>
          <w:tcPr>
            <w:tcW w:w="428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945"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92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“三公”经费小计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一、因公出国（境）费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2.84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2.84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三、公务接待费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default" w:ascii="Calibri" w:hAnsi="Calibri" w:eastAsia="宋体" w:cs="Calibri"/>
                <w:i w:val="0"/>
                <w:iCs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0"/>
        <w:sectPr>
          <w:pgSz w:w="11900" w:h="16840"/>
          <w:pgMar w:top="1134" w:right="1361" w:bottom="1134" w:left="1531" w:header="720" w:footer="720" w:gutter="0"/>
          <w:cols w:space="425" w:num="1"/>
          <w:rtlGutter w:val="0"/>
          <w:docGrid w:linePitch="0" w:charSpace="0"/>
        </w:sectPr>
      </w:pPr>
      <w:r>
        <w:rPr>
          <w:rFonts w:ascii="方正书宋_GBK" w:hAnsi="方正书宋_GBK" w:eastAsia="方正书宋_GBK" w:cs="方正书宋_GBK"/>
          <w:color w:val="FFFFFF"/>
          <w:sz w:val="21"/>
        </w:rPr>
        <w:t>第一部分  妇联2022年部门预算信息公开情况说明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妇联2022年部门预算信息公开情况说明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预算法》、《地方预决算公开操作规程》和《关于进一步推进预算公开工作的实施意见》规定，现将妇联2022年部门预算公开如下：</w:t>
      </w:r>
    </w:p>
    <w:p>
      <w:pPr>
        <w:spacing w:before="10" w:after="10" w:line="360" w:lineRule="auto"/>
        <w:ind w:firstLine="640"/>
        <w:jc w:val="left"/>
        <w:outlineLvl w:val="2"/>
      </w:pPr>
      <w:bookmarkStart w:id="8" w:name="_Toc_3_3_0000000010"/>
      <w:r>
        <w:rPr>
          <w:rFonts w:ascii="黑体" w:hAnsi="黑体" w:eastAsia="黑体" w:cs="黑体"/>
          <w:color w:val="000000"/>
          <w:sz w:val="32"/>
        </w:rPr>
        <w:t>一、部门职责及机构设置情况</w:t>
      </w:r>
      <w:bookmarkEnd w:id="8"/>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6"/>
      </w:pPr>
      <w:r>
        <w:t>1.坚持正确的政治方向，团结、教育、引导各类妇女组织和全县各族各界妇女同党中央在思想上、政治上、行动上保持高度一致。</w:t>
      </w:r>
    </w:p>
    <w:p>
      <w:pPr>
        <w:pStyle w:val="16"/>
      </w:pPr>
      <w:r>
        <w:t>2.紧密围绕县委、县政府的中心任务开展工作，团结、动员、组织妇女群众投身改革开放和社会主义物质文明，精神文明建设，积极促进我县经济发展和社会进步，为维护改革、发展、稳定的大局服务。</w:t>
      </w:r>
    </w:p>
    <w:p>
      <w:pPr>
        <w:pStyle w:val="16"/>
      </w:pPr>
      <w:r>
        <w:t>3.宣传马克思主义妇女观和男女平等思想，教育、引导妇女树立正确的世界观、人生观、价值观，弘扬“自尊、自信、自立、自强”的精神，积极推动和开展对妇女的科学文化及生产劳动技术技能教育培训，全面提高妇女素质。</w:t>
      </w:r>
    </w:p>
    <w:p>
      <w:pPr>
        <w:pStyle w:val="16"/>
      </w:pPr>
      <w:r>
        <w:t>4.代表妇女参与国家和社会事务的民主管理和民主监督，加强对涉及妇女切身利益的热点、难点问题的调查研究，及时向县委、县政府反映妇女群众的呼声，提出对策建议。</w:t>
      </w:r>
    </w:p>
    <w:p>
      <w:pPr>
        <w:pStyle w:val="16"/>
      </w:pPr>
      <w:r>
        <w:t>5.坚持为妇女儿童服务，为基层服务，加强与社会各界的联系，协调推动全社会为妇女儿童办实事、办好事。</w:t>
      </w:r>
    </w:p>
    <w:p>
      <w:pPr>
        <w:pStyle w:val="16"/>
      </w:pPr>
      <w:r>
        <w:t>6.指导镇、乡、乐安街道妇联和县直妇联、妇委会依据《中华全国妇女联合会章程》和妇女代表大会的任务，开展妇女儿童工作，联系团体会员并给予工作指导，加强同各界妇女的联谊，巩固和扩大各族各界妇女的大团结；协助县委组织部做好妇女干部的选拔推荐工作。</w:t>
      </w:r>
    </w:p>
    <w:p>
      <w:pPr>
        <w:pStyle w:val="16"/>
      </w:pPr>
      <w:r>
        <w:t>7.积极发展同全国各地妇女和妇女组织的友好交往，增进友谊和了解，开展合作。</w:t>
      </w:r>
    </w:p>
    <w:p>
      <w:pPr>
        <w:pStyle w:val="16"/>
      </w:pPr>
      <w:r>
        <w:t>8.承办县委、县政府交办的其它工作任务。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乐亭县妇女联合会</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9" w:name="_Toc_3_3_0000000011"/>
      <w:r>
        <w:rPr>
          <w:rFonts w:ascii="黑体" w:hAnsi="黑体" w:eastAsia="黑体" w:cs="黑体"/>
          <w:color w:val="000000"/>
          <w:sz w:val="32"/>
        </w:rPr>
        <w:t>二、部门预算安排的总体情况</w:t>
      </w:r>
      <w:bookmarkEnd w:id="9"/>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部门预算的编制实行综合预算管理，即全部收入和支出都反映在预算中。妇联机关及所属事业单位的收支包含在部门预算中。</w:t>
      </w:r>
    </w:p>
    <w:p>
      <w:pPr>
        <w:pStyle w:val="17"/>
      </w:pPr>
      <w:r>
        <w:t>(一)收入说明</w:t>
      </w:r>
    </w:p>
    <w:p>
      <w:pPr>
        <w:pStyle w:val="17"/>
      </w:pPr>
      <w:r>
        <w:t>反映本部门当年全部收入。本年收入239.95万元全部都是财政拨款收入。</w:t>
      </w:r>
    </w:p>
    <w:p>
      <w:pPr>
        <w:pStyle w:val="17"/>
      </w:pPr>
      <w:r>
        <w:t>（二）支出说明</w:t>
      </w:r>
    </w:p>
    <w:p>
      <w:pPr>
        <w:pStyle w:val="17"/>
      </w:pPr>
      <w:r>
        <w:t>收支预算总表支出栏、基本支出表、项目支出表按经济分类和支出功能分类科目编制，反映乐亭县妇女联合会年度部门预算收入支出预算的总体情况。2022年支出预算239.95万元，其中基本支出60.45万元，包括人员经费和日常公用经费；项目支出179.50万元，主要为落实两纲，“两癌”筛查，预防化解婚姻家庭纠纷工作；党建带妇建，巾帼建新功；美丽庭院创建经费；家庭教育公益大讲堂。</w:t>
      </w:r>
    </w:p>
    <w:p>
      <w:pPr>
        <w:pStyle w:val="17"/>
      </w:pPr>
      <w:r>
        <w:t>（三）比上年增减情况</w:t>
      </w:r>
    </w:p>
    <w:p>
      <w:pPr>
        <w:pStyle w:val="17"/>
      </w:pPr>
      <w:r>
        <w:t>1.人员经费53.27万元较上年32.72万元增加20.55万元，主要是增加2人，增加了工资、保险等支出，其中1人为新招录公务员，涉及到补发2021年工资保险。</w:t>
      </w:r>
    </w:p>
    <w:p>
      <w:pPr>
        <w:pStyle w:val="17"/>
      </w:pPr>
      <w:r>
        <w:t>2.日常公用经费7.18万元比上年6.02万元增加1.16万元，其中增加公务交通补贴1.2万元，减少住宅固话补贴0.04万元，合计增加1.16万元。主要是因为增加2个人公务交通补贴（其中新招录一人含2021年半年公务交通补贴），减少科级干部住宅固话补贴。</w:t>
      </w:r>
    </w:p>
    <w:p>
      <w:pPr>
        <w:pStyle w:val="17"/>
      </w:pPr>
      <w:r>
        <w:t>3.项目经费179.50万元较上年171.5万元增加8万元，主要是家庭教育公益大讲堂项目增加8万元，用于心灵护航共建平台建设、家风宣讲、家长学校、儿童之家建设、活动及拉练。</w:t>
      </w:r>
    </w:p>
    <w:p>
      <w:pPr>
        <w:spacing w:before="10" w:after="10" w:line="360" w:lineRule="auto"/>
        <w:ind w:firstLine="640"/>
        <w:jc w:val="left"/>
        <w:outlineLvl w:val="2"/>
      </w:pPr>
      <w:bookmarkStart w:id="10" w:name="_Toc_3_3_0000000012"/>
      <w:r>
        <w:rPr>
          <w:rFonts w:ascii="黑体" w:hAnsi="黑体" w:eastAsia="黑体" w:cs="黑体"/>
          <w:color w:val="000000"/>
          <w:sz w:val="32"/>
        </w:rPr>
        <w:t>三、机关运行经费安排情况</w:t>
      </w:r>
      <w:bookmarkEnd w:id="10"/>
    </w:p>
    <w:p>
      <w:pPr>
        <w:pStyle w:val="18"/>
      </w:pPr>
      <w:r>
        <w:t>机关运行经费共计安排7.18万元，主要用于乐亭县妇女联合会正常运转的办公费、印刷费、邮电费、差旅费、会议费、培训费、公务用车运行维护费及其他交通费用。较上年6.02万元增加1.16万元，其中增加公务交通补贴1.2万元，减少住宅固话补贴0.04万元，合计增加1.16万元。主要是因为增加2个人公务交通补贴（其中新招录一人含2021年半年公务交通补贴），减少科级干部住宅固话补贴。</w:t>
      </w:r>
    </w:p>
    <w:p>
      <w:pPr>
        <w:spacing w:before="10" w:after="10" w:line="360" w:lineRule="auto"/>
        <w:ind w:firstLine="640"/>
        <w:jc w:val="left"/>
        <w:outlineLvl w:val="2"/>
      </w:pPr>
      <w:bookmarkStart w:id="11" w:name="_Toc_3_3_0000000013"/>
      <w:r>
        <w:rPr>
          <w:rFonts w:ascii="黑体" w:hAnsi="黑体" w:eastAsia="黑体" w:cs="黑体"/>
          <w:color w:val="000000"/>
          <w:sz w:val="32"/>
        </w:rPr>
        <w:t>四、财政拨款“三公”经费预算情况及增减变化原因</w:t>
      </w:r>
      <w:bookmarkEnd w:id="11"/>
    </w:p>
    <w:p>
      <w:pPr>
        <w:pStyle w:val="19"/>
      </w:pPr>
      <w:r>
        <w:t xml:space="preserve">2022年我部门“三公”经费预算安排3万元，与上年持平。具体安排情况为： </w:t>
      </w:r>
    </w:p>
    <w:p>
      <w:pPr>
        <w:pStyle w:val="19"/>
      </w:pPr>
      <w:r>
        <w:t>（一）公务用车运行维护费安排2.84万元，与上年持平。</w:t>
      </w:r>
    </w:p>
    <w:p>
      <w:pPr>
        <w:pStyle w:val="19"/>
      </w:pPr>
      <w:r>
        <w:t>（二）公务接待费安排0.16万元，与上年持平。</w:t>
      </w:r>
    </w:p>
    <w:p>
      <w:pPr>
        <w:pStyle w:val="19"/>
      </w:pPr>
      <w:r>
        <w:t>（三）因公出国（境）费安排0万元，与上年持平。</w:t>
      </w:r>
    </w:p>
    <w:p>
      <w:pPr>
        <w:pStyle w:val="19"/>
      </w:pPr>
      <w:r>
        <w:t>2022年没有公务用车购置费用。</w:t>
      </w:r>
    </w:p>
    <w:p>
      <w:pPr>
        <w:spacing w:before="10" w:after="10" w:line="360" w:lineRule="auto"/>
        <w:ind w:firstLine="640"/>
        <w:jc w:val="left"/>
        <w:outlineLvl w:val="2"/>
      </w:pPr>
      <w:bookmarkStart w:id="12" w:name="_Toc_3_3_0000000014"/>
      <w:r>
        <w:rPr>
          <w:rFonts w:ascii="黑体" w:hAnsi="黑体" w:eastAsia="黑体" w:cs="黑体"/>
          <w:color w:val="000000"/>
          <w:sz w:val="32"/>
        </w:rPr>
        <w:t>五、预算绩效信息</w:t>
      </w:r>
      <w:bookmarkEnd w:id="12"/>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0"/>
      </w:pPr>
      <w:r>
        <w:t>依据</w:t>
      </w:r>
      <w:r>
        <w:rPr>
          <w:rFonts w:hint="eastAsia"/>
          <w:lang w:eastAsia="zh-CN"/>
        </w:rPr>
        <w:t>乐亭县妇女联合会</w:t>
      </w:r>
      <w:r>
        <w:t>工作职责、</w:t>
      </w:r>
      <w:r>
        <w:rPr>
          <w:rFonts w:hint="eastAsia"/>
          <w:lang w:eastAsia="zh-CN"/>
        </w:rPr>
        <w:t>县</w:t>
      </w:r>
      <w:r>
        <w:t>、市、</w:t>
      </w:r>
      <w:r>
        <w:rPr>
          <w:rFonts w:hint="eastAsia"/>
          <w:lang w:eastAsia="zh-CN"/>
        </w:rPr>
        <w:t>县委县政府</w:t>
      </w:r>
      <w:r>
        <w:t>重要工作部署、工作要点等，制定部门整体绩效目标。</w:t>
      </w:r>
    </w:p>
    <w:p>
      <w:pPr>
        <w:pStyle w:val="20"/>
      </w:pPr>
      <w:r>
        <w:t>1.团结、教育全县妇女及各类妇女组织同党中央在思想上、政治上、行动上保持高度一致，团结、动员、组织妇女群众投身改革开放和社会主义物质文明、精神文明建设，全面提高妇女素质。把广大妇女紧密团结在党中央周围，围绕中央、县委县政府中心工作。</w:t>
      </w:r>
    </w:p>
    <w:p>
      <w:pPr>
        <w:pStyle w:val="20"/>
      </w:pPr>
      <w:r>
        <w:t>2.关注并加强研究涉及妇女切身利益的热点、难点问题，及时向县委和县政府反映社情民意，提出对策建议。妇女综合素质和发展能力有较大提升。妇女儿童合法权益得到有效维护，男女平等基本国策宣传进一步深入人心。</w:t>
      </w:r>
    </w:p>
    <w:p>
      <w:pPr>
        <w:pStyle w:val="20"/>
      </w:pPr>
      <w:r>
        <w:t>3.以党建带妇建，密切联系妇女群众，进一步加强基层妇联组织建设。指导乡镇（街道）妇联、县直妇委会和“四新”妇女组织依据《中华全国妇女联合会章程》和妇女代表大会的任务，联系各级妇女组织利用妇女之家、“妇女微家”等阵地开展家庭教育讲座、巾帼家政、手工业等创业就业培训、法律知识宣传普及、美丽庭院评比，农村妇女“双学双比”、城镇妇女“巾帼建功”等妇女儿童工作，并给予工作指导。</w:t>
      </w:r>
    </w:p>
    <w:p>
      <w:pPr>
        <w:pStyle w:val="20"/>
      </w:pPr>
      <w:r>
        <w:t>4、夯实妇联组织基础，提升基层妇女干部能力，创新工作机制方法。协助县委组织部做好妇女干部的选拔推荐工作，协调相关部门共同推动落实妇女儿童发展规划。同时，加强同各界妇女的联谊，巩固和扩大各族各界妇女的大团结，积极促进我县经济发展和社会进步，为维护改革、发展、稳定的大局服务，注入“半边天”力量。</w:t>
      </w:r>
    </w:p>
    <w:p>
      <w:pPr>
        <w:pStyle w:val="20"/>
      </w:pPr>
      <w:r>
        <w:t>5.负责妇联综合业务管理，年度工作任务圆满完成，促进妇联事业发展。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1"/>
      </w:pPr>
      <w:r>
        <w:t>1.完成县委县政府交办的工作任务，全县妇女精神面貌有较大提升，创业就业能力逐步增强，素质得到全面提升。</w:t>
      </w:r>
    </w:p>
    <w:p>
      <w:pPr>
        <w:pStyle w:val="21"/>
      </w:pPr>
      <w:r>
        <w:t>2.帮助权益受到侵害的妇女儿童解决困难和问题，提高广大妇女儿童的维权意识和维权能力，维护妇女儿童合法权益；规范妇女信访秩序，促进社会和谐稳定。</w:t>
      </w:r>
    </w:p>
    <w:p>
      <w:pPr>
        <w:pStyle w:val="21"/>
      </w:pPr>
      <w:r>
        <w:t>3.提升妇女综合素质，提高妇女法律意识、依法维权能力、科技致富能力和经营管理能力，引导全社会关心关爱关注妇女事业。</w:t>
      </w:r>
    </w:p>
    <w:p>
      <w:pPr>
        <w:pStyle w:val="21"/>
      </w:pPr>
      <w:r>
        <w:t>4.在县委、县政府的高度重视和大力支持下，在上级妇联的正确指导下，主动协调、积极运作，乘势而上，坚持工作重心下移，扎根基层，贴近妇女群众，为妇女群众办好事办实事。</w:t>
      </w:r>
    </w:p>
    <w:p>
      <w:pPr>
        <w:pStyle w:val="21"/>
      </w:pPr>
      <w:r>
        <w:t>5.高质量完成妇联工作，圆满完成县委、县政府和市妇联交办的各项任务。</w:t>
      </w:r>
    </w:p>
    <w:p>
      <w:pPr>
        <w:pStyle w:val="21"/>
      </w:pPr>
      <w:r>
        <w:t>（一）落实两纲，“两癌”筛查，预防化解婚姻家庭纠纷工作</w:t>
      </w:r>
    </w:p>
    <w:p>
      <w:pPr>
        <w:pStyle w:val="21"/>
      </w:pPr>
      <w:r>
        <w:t>绩效目标：</w:t>
      </w:r>
    </w:p>
    <w:p>
      <w:pPr>
        <w:pStyle w:val="21"/>
      </w:pPr>
      <w:r>
        <w:t>1、制定2021-2030年乐亭县妇女儿童发展规划；</w:t>
      </w:r>
    </w:p>
    <w:p>
      <w:pPr>
        <w:pStyle w:val="21"/>
      </w:pPr>
      <w:r>
        <w:t>2、做好两癌筛查宣传工作；</w:t>
      </w:r>
    </w:p>
    <w:p>
      <w:pPr>
        <w:pStyle w:val="21"/>
      </w:pPr>
      <w:r>
        <w:t>3、预防化解婚姻家庭纠纷工作。</w:t>
      </w:r>
    </w:p>
    <w:p>
      <w:pPr>
        <w:pStyle w:val="21"/>
      </w:pPr>
      <w:r>
        <w:t>（二）党建带妇建，巾帼建新功</w:t>
      </w:r>
    </w:p>
    <w:p>
      <w:pPr>
        <w:pStyle w:val="21"/>
      </w:pPr>
      <w:r>
        <w:t>绩效目标：</w:t>
      </w:r>
    </w:p>
    <w:p>
      <w:pPr>
        <w:pStyle w:val="21"/>
      </w:pPr>
      <w:r>
        <w:t>1、提高妇女就业创业能力</w:t>
      </w:r>
    </w:p>
    <w:p>
      <w:pPr>
        <w:pStyle w:val="21"/>
      </w:pPr>
      <w:r>
        <w:t>2、拓展妇女工作阵地，发挥好妇联联系妇女群众的作用</w:t>
      </w:r>
    </w:p>
    <w:p>
      <w:pPr>
        <w:pStyle w:val="21"/>
      </w:pPr>
      <w:r>
        <w:t>3、拓展妇女组织建设，发挥好妇联服务妇女群众的作用</w:t>
      </w:r>
    </w:p>
    <w:p>
      <w:pPr>
        <w:pStyle w:val="21"/>
      </w:pPr>
      <w:r>
        <w:t>4、深入实施“基层妇联领头雁培训计划”</w:t>
      </w:r>
    </w:p>
    <w:p>
      <w:pPr>
        <w:pStyle w:val="21"/>
      </w:pPr>
      <w:r>
        <w:t>（三）家庭教育公益大讲堂</w:t>
      </w:r>
    </w:p>
    <w:p>
      <w:pPr>
        <w:pStyle w:val="21"/>
      </w:pPr>
      <w:r>
        <w:t>绩效目标：</w:t>
      </w:r>
    </w:p>
    <w:p>
      <w:pPr>
        <w:pStyle w:val="21"/>
      </w:pPr>
      <w:r>
        <w:t>1、构建和谐家庭关系，提高家庭教育工作水平；</w:t>
      </w:r>
    </w:p>
    <w:p>
      <w:pPr>
        <w:pStyle w:val="21"/>
      </w:pPr>
      <w:r>
        <w:t>2、弘扬优良家风，提升未成年人思想道德建设水平；</w:t>
      </w:r>
    </w:p>
    <w:p>
      <w:pPr>
        <w:pStyle w:val="21"/>
      </w:pPr>
      <w:r>
        <w:t>3、开展家庭教育讲座及心理咨询服务，构建家校社协同育人机制</w:t>
      </w:r>
    </w:p>
    <w:p>
      <w:pPr>
        <w:pStyle w:val="21"/>
      </w:pPr>
      <w:r>
        <w:t>4、创建示范家长学校、儿童之家，促进文明城市建设。</w:t>
      </w:r>
    </w:p>
    <w:p>
      <w:pPr>
        <w:pStyle w:val="21"/>
      </w:pPr>
      <w:r>
        <w:t>（四）开展“美丽庭院”创建工作</w:t>
      </w:r>
    </w:p>
    <w:p>
      <w:pPr>
        <w:pStyle w:val="21"/>
      </w:pPr>
      <w:r>
        <w:t>绩效目标：</w:t>
      </w:r>
    </w:p>
    <w:p>
      <w:pPr>
        <w:pStyle w:val="21"/>
      </w:pPr>
      <w:r>
        <w:t>1、带领妇女和家庭改变生活陋习，建立科学文明生活方式；</w:t>
      </w:r>
    </w:p>
    <w:p>
      <w:pPr>
        <w:pStyle w:val="21"/>
      </w:pPr>
      <w:r>
        <w:t>2、建设“人美、院美、室美、厨厕美、村庄美”的美丽庭院，实现由洁净庭院-美丽庭院-精品庭院的梯次推进。</w:t>
      </w:r>
    </w:p>
    <w:p>
      <w:pPr>
        <w:pStyle w:val="21"/>
      </w:pPr>
      <w:r>
        <w:t>3、建设示范街，打造示范村，形成示范带</w:t>
      </w:r>
    </w:p>
    <w:p>
      <w:pPr>
        <w:pStyle w:val="21"/>
      </w:pPr>
      <w:r>
        <w:t>4、以“人美”为核心，建设“人美、院美、室美、厨厕美、村庄美”的宜居美丽庭院、美丽乡村。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2"/>
      </w:pPr>
      <w:r>
        <w:t>（一）完善制度建设。</w:t>
      </w:r>
      <w:r>
        <w:rPr>
          <w:rFonts w:hint="eastAsia"/>
          <w:lang w:eastAsia="zh-CN"/>
        </w:rPr>
        <w:t>乐亭县妇女联合会</w:t>
      </w:r>
      <w:r>
        <w:t>根据妇联各项工作职能制定工作方案，制定预算绩效管理制度、资金管理办法、工作保障制度等，从各项目运作到实施，由一把手把关、分管副职层层负责，积极争取</w:t>
      </w:r>
      <w:r>
        <w:rPr>
          <w:rFonts w:hint="eastAsia"/>
          <w:lang w:eastAsia="zh-CN"/>
        </w:rPr>
        <w:t>县</w:t>
      </w:r>
      <w:r>
        <w:t>市县各级资金保障各项工作稳步开展，为全年预算绩效目标的实现奠定制度基础。</w:t>
      </w:r>
    </w:p>
    <w:p>
      <w:pPr>
        <w:pStyle w:val="22"/>
      </w:pPr>
      <w:r>
        <w:t>（二）加强支出管理。</w:t>
      </w:r>
      <w:r>
        <w:rPr>
          <w:rFonts w:hint="eastAsia"/>
          <w:lang w:eastAsia="zh-CN"/>
        </w:rPr>
        <w:t>乐亭县妇女联合会</w:t>
      </w:r>
      <w:r>
        <w:t>制定预算月进度效率，逐季度、逐月制定工作任务，优化支出结构，编细编实预算，确保支出进度达标。</w:t>
      </w:r>
    </w:p>
    <w:p>
      <w:pPr>
        <w:pStyle w:val="22"/>
      </w:pPr>
      <w:r>
        <w:t>（三）加强绩效运行监控。县妇联时时开展绩效运行监控，对手工业带动促进妇女创业情况，美丽庭院创建工作、家庭教育工作开展情况、落实妇女儿童规划纲要实施，落实农村妇女“两癌筛查”等工作，发现问题及时采取措施，确保绩效目标如期保质实现。</w:t>
      </w:r>
    </w:p>
    <w:p>
      <w:pPr>
        <w:pStyle w:val="22"/>
      </w:pPr>
      <w:r>
        <w:t>（四）做好绩效自评。</w:t>
      </w:r>
      <w:r>
        <w:rPr>
          <w:rFonts w:hint="eastAsia"/>
          <w:lang w:eastAsia="zh-CN"/>
        </w:rPr>
        <w:t>乐亭县妇女联合会</w:t>
      </w:r>
      <w:r>
        <w:t>针对上年度部门预算开展绩效自评和重点评价工作，对评价中发现的问题及时整改，调整下年度预算，优化支出结构，提高财政资金使用效益。</w:t>
      </w:r>
    </w:p>
    <w:p>
      <w:pPr>
        <w:pStyle w:val="22"/>
      </w:pPr>
      <w:r>
        <w:t>（五）规范财务资产管理。</w:t>
      </w:r>
      <w:r>
        <w:rPr>
          <w:rFonts w:hint="eastAsia"/>
          <w:lang w:eastAsia="zh-CN"/>
        </w:rPr>
        <w:t>乐亭县妇女联合会</w:t>
      </w:r>
      <w:r>
        <w:t>完善财务管理制度，严格审批程序，加强固定资产登记、使用和报废处置管理，做到支出合理，物尽其用。</w:t>
      </w:r>
    </w:p>
    <w:p>
      <w:pPr>
        <w:pStyle w:val="22"/>
      </w:pPr>
      <w:r>
        <w:t>（六）加强内部监督。</w:t>
      </w:r>
      <w:r>
        <w:rPr>
          <w:rFonts w:hint="eastAsia"/>
          <w:lang w:eastAsia="zh-CN"/>
        </w:rPr>
        <w:t>乐亭县妇女联合会</w:t>
      </w:r>
      <w:r>
        <w:t>加强内部监督制度建设，对绩效运行情况、重大支出决策、资产处置及其他重要工作业务事项的决策和执行进行督导，对会计资料进行内部审计，并配合做好审计、财政监督等外部监督工作，确保财政资金安全有效。</w:t>
      </w:r>
    </w:p>
    <w:p>
      <w:pPr>
        <w:pStyle w:val="22"/>
      </w:pPr>
      <w:r>
        <w:t>（七）加强宣传培训调研等。</w:t>
      </w:r>
      <w:r>
        <w:rPr>
          <w:rFonts w:hint="eastAsia"/>
          <w:lang w:eastAsia="zh-CN"/>
        </w:rPr>
        <w:t>乐亭县妇女联合会</w:t>
      </w:r>
      <w:r>
        <w:t>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hint="default" w:ascii="Times New Roman" w:hAnsi="Times New Roman" w:eastAsia="方正仿宋_GBK" w:cs="Times New Roman"/>
          <w:sz w:val="28"/>
          <w:szCs w:val="24"/>
          <w:lang w:val="en-US" w:eastAsia="zh-CN" w:bidi="ar-SA"/>
        </w:rPr>
        <w:sectPr>
          <w:pgSz w:w="11900" w:h="16840"/>
          <w:pgMar w:top="1134" w:right="1361" w:bottom="1134" w:left="1531" w:header="720" w:footer="720" w:gutter="0"/>
          <w:cols w:space="425" w:num="1"/>
          <w:rtlGutter w:val="0"/>
          <w:docGrid w:linePitch="0" w:charSpace="0"/>
        </w:sect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专项资金</w:t>
      </w:r>
    </w:p>
    <w:p>
      <w:pPr>
        <w:spacing w:before="0" w:after="0" w:line="240" w:lineRule="auto"/>
        <w:ind w:firstLine="640"/>
        <w:jc w:val="left"/>
        <w:outlineLvl w:val="9"/>
        <w:sectPr>
          <w:pgSz w:w="11900" w:h="16840"/>
          <w:pgMar w:top="1134" w:right="1361" w:bottom="1134" w:left="1531" w:header="720" w:footer="720" w:gutter="0"/>
          <w:cols w:space="425" w:num="1"/>
          <w:rtlGutter w:val="0"/>
          <w:docGrid w:linePitch="0" w:charSpace="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1、党建带妇建，巾帼建新功绩效目标表</w:t>
      </w:r>
    </w:p>
    <w:tbl>
      <w:tblPr>
        <w:tblStyle w:val="6"/>
        <w:tblW w:w="1257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103"/>
        <w:gridCol w:w="647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103" w:type="dxa"/>
            <w:tcBorders>
              <w:bottom w:val="single" w:color="FFFFFF" w:sz="6" w:space="0"/>
            </w:tcBorders>
            <w:vAlign w:val="center"/>
          </w:tcPr>
          <w:p>
            <w:pPr>
              <w:pStyle w:val="12"/>
            </w:pPr>
            <w:r>
              <w:t>绩效目标</w:t>
            </w:r>
          </w:p>
        </w:tc>
        <w:tc>
          <w:tcPr>
            <w:tcW w:w="6472" w:type="dxa"/>
            <w:tcBorders>
              <w:bottom w:val="single" w:color="FFFFFF" w:sz="6" w:space="0"/>
            </w:tcBorders>
            <w:vAlign w:val="center"/>
          </w:tcPr>
          <w:p>
            <w:pPr>
              <w:pStyle w:val="14"/>
            </w:pPr>
            <w:r>
              <w:t>1.提高妇女就业创业能力</w:t>
            </w:r>
          </w:p>
          <w:p>
            <w:pPr>
              <w:pStyle w:val="14"/>
            </w:pPr>
            <w:r>
              <w:t>2.拓展妇女组织建设，发挥好妇联服务妇女群众的作用</w:t>
            </w:r>
          </w:p>
          <w:p>
            <w:pPr>
              <w:pStyle w:val="14"/>
            </w:pPr>
            <w:r>
              <w:t>3.拓展妇女工作阵地，发挥好妇联联系妇女群众的作用</w:t>
            </w:r>
          </w:p>
          <w:p>
            <w:pPr>
              <w:pStyle w:val="14"/>
            </w:pPr>
            <w:r>
              <w:t>4.深入实施“基层妇联领头雁培训计划”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25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1095"/>
        <w:gridCol w:w="2430"/>
        <w:gridCol w:w="2325"/>
        <w:gridCol w:w="1905"/>
        <w:gridCol w:w="3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1167"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一级指标</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二级指标</w:t>
            </w:r>
          </w:p>
        </w:tc>
        <w:tc>
          <w:tcPr>
            <w:tcW w:w="2430"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三级指标</w:t>
            </w:r>
          </w:p>
        </w:tc>
        <w:tc>
          <w:tcPr>
            <w:tcW w:w="2325"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绩效指标描述</w:t>
            </w:r>
          </w:p>
        </w:tc>
        <w:tc>
          <w:tcPr>
            <w:tcW w:w="1905"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指标值</w:t>
            </w:r>
          </w:p>
        </w:tc>
        <w:tc>
          <w:tcPr>
            <w:tcW w:w="3624"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restart"/>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产出指标</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开展技能培训</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开展线上线下手工业、农业、家政、电子商务等技能培训</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25场</w:t>
            </w:r>
          </w:p>
        </w:tc>
        <w:tc>
          <w:tcPr>
            <w:tcW w:w="362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《关于实施“县级妇联改革破难争星行动”进一步深化妇联组织建设改革的意见》（唐妇字[2020]14号）</w:t>
            </w:r>
          </w:p>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加强妇女组织建设</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新建妇女组织</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5个</w:t>
            </w:r>
          </w:p>
        </w:tc>
        <w:tc>
          <w:tcPr>
            <w:tcW w:w="3624" w:type="dxa"/>
            <w:vMerge w:val="continue"/>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开展“五亮双评”活动</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评选优秀典型</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4个</w:t>
            </w:r>
          </w:p>
        </w:tc>
        <w:tc>
          <w:tcPr>
            <w:tcW w:w="3624" w:type="dxa"/>
            <w:vMerge w:val="continue"/>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加强妇女阵地建设</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县级妇女之家、妇女微家</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34个</w:t>
            </w:r>
          </w:p>
        </w:tc>
        <w:tc>
          <w:tcPr>
            <w:tcW w:w="362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时效指标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项目完成时间</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项目完成时间</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2022年12月底前</w:t>
            </w:r>
          </w:p>
        </w:tc>
        <w:tc>
          <w:tcPr>
            <w:tcW w:w="362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restart"/>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效益指标</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经济效益指标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促进就业创业</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促进就业创业</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有效促进</w:t>
            </w:r>
          </w:p>
        </w:tc>
        <w:tc>
          <w:tcPr>
            <w:tcW w:w="362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社会效益指标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推动“妇女之家”拓展</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发挥好“妇女微家”联系和服务妇女群众的作用</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有效提高</w:t>
            </w:r>
          </w:p>
        </w:tc>
        <w:tc>
          <w:tcPr>
            <w:tcW w:w="362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可持续影响指标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示范带动作用</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示范带动作用</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有效带动</w:t>
            </w:r>
          </w:p>
        </w:tc>
        <w:tc>
          <w:tcPr>
            <w:tcW w:w="362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67" w:type="dxa"/>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满意度指标</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服务对象满意度指标</w:t>
            </w:r>
          </w:p>
        </w:tc>
        <w:tc>
          <w:tcPr>
            <w:tcW w:w="24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服务对象满意度</w:t>
            </w:r>
          </w:p>
        </w:tc>
        <w:tc>
          <w:tcPr>
            <w:tcW w:w="232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服务对象满意度</w:t>
            </w:r>
          </w:p>
        </w:tc>
        <w:tc>
          <w:tcPr>
            <w:tcW w:w="190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≥90%</w:t>
            </w:r>
          </w:p>
        </w:tc>
        <w:tc>
          <w:tcPr>
            <w:tcW w:w="3624"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2、家庭教育公益大讲堂绩效目标表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1.提升我县未成年人思想道德建设</w:t>
            </w:r>
          </w:p>
          <w:p>
            <w:pPr>
              <w:pStyle w:val="14"/>
            </w:pPr>
            <w:r>
              <w:t>2.提高家庭教育工作水平</w:t>
            </w:r>
          </w:p>
          <w:p>
            <w:pPr>
              <w:pStyle w:val="14"/>
            </w:pPr>
            <w:r>
              <w:t>3.促进文明城市建设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开展亲子实践活动</w:t>
            </w:r>
          </w:p>
        </w:tc>
        <w:tc>
          <w:tcPr>
            <w:tcW w:w="2466" w:type="dxa"/>
            <w:vAlign w:val="center"/>
          </w:tcPr>
          <w:p>
            <w:pPr>
              <w:pStyle w:val="14"/>
            </w:pPr>
            <w:r>
              <w:t>开展线上线下亲子朗读、亲子厨房、六一活动</w:t>
            </w:r>
          </w:p>
        </w:tc>
        <w:tc>
          <w:tcPr>
            <w:tcW w:w="2466" w:type="dxa"/>
            <w:vAlign w:val="center"/>
          </w:tcPr>
          <w:p>
            <w:pPr>
              <w:pStyle w:val="14"/>
            </w:pPr>
            <w:r>
              <w:t>3</w:t>
            </w:r>
          </w:p>
        </w:tc>
        <w:tc>
          <w:tcPr>
            <w:tcW w:w="2466" w:type="dxa"/>
            <w:vAlign w:val="center"/>
          </w:tcPr>
          <w:p>
            <w:pPr>
              <w:pStyle w:val="14"/>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开展家庭教育讲座</w:t>
            </w:r>
          </w:p>
        </w:tc>
        <w:tc>
          <w:tcPr>
            <w:tcW w:w="2466" w:type="dxa"/>
            <w:vAlign w:val="center"/>
          </w:tcPr>
          <w:p>
            <w:pPr>
              <w:pStyle w:val="14"/>
            </w:pPr>
            <w:r>
              <w:t>开展线上线下家庭教育讲座及心理咨询服务</w:t>
            </w:r>
          </w:p>
        </w:tc>
        <w:tc>
          <w:tcPr>
            <w:tcW w:w="2466" w:type="dxa"/>
            <w:vAlign w:val="center"/>
          </w:tcPr>
          <w:p>
            <w:pPr>
              <w:pStyle w:val="14"/>
            </w:pPr>
            <w:r>
              <w:t>20</w:t>
            </w:r>
          </w:p>
        </w:tc>
        <w:tc>
          <w:tcPr>
            <w:tcW w:w="2466" w:type="dxa"/>
            <w:vAlign w:val="center"/>
          </w:tcPr>
          <w:p>
            <w:pPr>
              <w:pStyle w:val="14"/>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家校共建工作</w:t>
            </w:r>
          </w:p>
        </w:tc>
        <w:tc>
          <w:tcPr>
            <w:tcW w:w="2466" w:type="dxa"/>
            <w:vAlign w:val="center"/>
          </w:tcPr>
          <w:p>
            <w:pPr>
              <w:pStyle w:val="14"/>
            </w:pPr>
            <w:r>
              <w:t>示范家长学校、儿童之家建设、拉练、评选等活动</w:t>
            </w:r>
          </w:p>
        </w:tc>
        <w:tc>
          <w:tcPr>
            <w:tcW w:w="2466" w:type="dxa"/>
            <w:vAlign w:val="center"/>
          </w:tcPr>
          <w:p>
            <w:pPr>
              <w:pStyle w:val="14"/>
            </w:pPr>
            <w:r>
              <w:t>2</w:t>
            </w:r>
          </w:p>
        </w:tc>
        <w:tc>
          <w:tcPr>
            <w:tcW w:w="2466" w:type="dxa"/>
            <w:vAlign w:val="center"/>
          </w:tcPr>
          <w:p>
            <w:pPr>
              <w:pStyle w:val="14"/>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弘扬优良家风</w:t>
            </w:r>
          </w:p>
        </w:tc>
        <w:tc>
          <w:tcPr>
            <w:tcW w:w="2466" w:type="dxa"/>
            <w:vAlign w:val="center"/>
          </w:tcPr>
          <w:p>
            <w:pPr>
              <w:pStyle w:val="14"/>
            </w:pPr>
            <w:r>
              <w:t>家风故事征集、线上线下宣讲</w:t>
            </w:r>
          </w:p>
        </w:tc>
        <w:tc>
          <w:tcPr>
            <w:tcW w:w="2466" w:type="dxa"/>
            <w:vAlign w:val="center"/>
          </w:tcPr>
          <w:p>
            <w:pPr>
              <w:pStyle w:val="14"/>
            </w:pPr>
            <w:r>
              <w:t>4</w:t>
            </w:r>
          </w:p>
        </w:tc>
        <w:tc>
          <w:tcPr>
            <w:tcW w:w="2466" w:type="dxa"/>
            <w:vAlign w:val="center"/>
          </w:tcPr>
          <w:p>
            <w:pPr>
              <w:pStyle w:val="14"/>
            </w:pPr>
            <w:r>
              <w:t>《“乐亭县家庭教育公益大讲堂”活动的实施方案》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2022年12月底前</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家庭教育工作水平</w:t>
            </w:r>
          </w:p>
        </w:tc>
        <w:tc>
          <w:tcPr>
            <w:tcW w:w="2466" w:type="dxa"/>
            <w:vAlign w:val="center"/>
          </w:tcPr>
          <w:p>
            <w:pPr>
              <w:pStyle w:val="14"/>
            </w:pPr>
            <w:r>
              <w:t>提高家庭教育工作水平</w:t>
            </w:r>
          </w:p>
        </w:tc>
        <w:tc>
          <w:tcPr>
            <w:tcW w:w="2466" w:type="dxa"/>
            <w:vAlign w:val="center"/>
          </w:tcPr>
          <w:p>
            <w:pPr>
              <w:pStyle w:val="14"/>
            </w:pPr>
            <w:r>
              <w:t>有效提高</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持续影响</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3、落实两纲，“两癌”筛查，预防化解婚姻家庭纠纷工作绩效目标表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1.制定2021-2030年乐亭县妇女儿童发展规划</w:t>
            </w:r>
          </w:p>
          <w:p>
            <w:pPr>
              <w:pStyle w:val="14"/>
            </w:pPr>
            <w:r>
              <w:t>2.做好两癌筛查宣传工作</w:t>
            </w:r>
          </w:p>
          <w:p>
            <w:pPr>
              <w:pStyle w:val="14"/>
            </w:pPr>
            <w:r>
              <w:t>3.预防化解婚姻家庭纠纷工作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开展维权宣传</w:t>
            </w:r>
          </w:p>
        </w:tc>
        <w:tc>
          <w:tcPr>
            <w:tcW w:w="2466" w:type="dxa"/>
            <w:vAlign w:val="center"/>
          </w:tcPr>
          <w:p>
            <w:pPr>
              <w:pStyle w:val="14"/>
            </w:pPr>
            <w:r>
              <w:t>开展“木兰有约”、法律宣传、组织慰问活动</w:t>
            </w:r>
          </w:p>
        </w:tc>
        <w:tc>
          <w:tcPr>
            <w:tcW w:w="2466" w:type="dxa"/>
            <w:vAlign w:val="center"/>
          </w:tcPr>
          <w:p>
            <w:pPr>
              <w:pStyle w:val="14"/>
            </w:pPr>
            <w:r>
              <w:t>10次</w:t>
            </w:r>
          </w:p>
        </w:tc>
        <w:tc>
          <w:tcPr>
            <w:tcW w:w="2466" w:type="dxa"/>
            <w:vAlign w:val="center"/>
          </w:tcPr>
          <w:p>
            <w:pPr>
              <w:pStyle w:val="14"/>
            </w:pPr>
            <w:r>
              <w:t>《乐亭县妇女发展规划》 《乐亭县儿童发展规划》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开展两癌筛查宣传工作</w:t>
            </w:r>
          </w:p>
        </w:tc>
        <w:tc>
          <w:tcPr>
            <w:tcW w:w="2466" w:type="dxa"/>
            <w:vAlign w:val="center"/>
          </w:tcPr>
          <w:p>
            <w:pPr>
              <w:pStyle w:val="14"/>
            </w:pPr>
            <w:r>
              <w:t>开展两癌及妇女保健知识会议、培训、讲座或宣传</w:t>
            </w:r>
          </w:p>
        </w:tc>
        <w:tc>
          <w:tcPr>
            <w:tcW w:w="2466" w:type="dxa"/>
            <w:vAlign w:val="center"/>
          </w:tcPr>
          <w:p>
            <w:pPr>
              <w:pStyle w:val="14"/>
            </w:pPr>
            <w:r>
              <w:t>14次</w:t>
            </w:r>
          </w:p>
        </w:tc>
        <w:tc>
          <w:tcPr>
            <w:tcW w:w="2466" w:type="dxa"/>
            <w:vAlign w:val="center"/>
          </w:tcPr>
          <w:p>
            <w:pPr>
              <w:pStyle w:val="14"/>
            </w:pPr>
            <w:r>
              <w:t>《乐亭县妇女发展规划》 《乐亭县儿童发展规划》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化解婚姻纠纷工作</w:t>
            </w:r>
          </w:p>
        </w:tc>
        <w:tc>
          <w:tcPr>
            <w:tcW w:w="2466" w:type="dxa"/>
            <w:vAlign w:val="center"/>
          </w:tcPr>
          <w:p>
            <w:pPr>
              <w:pStyle w:val="14"/>
            </w:pPr>
            <w:r>
              <w:t>开展维权骨干、婚调员培训</w:t>
            </w:r>
          </w:p>
        </w:tc>
        <w:tc>
          <w:tcPr>
            <w:tcW w:w="2466" w:type="dxa"/>
            <w:vAlign w:val="center"/>
          </w:tcPr>
          <w:p>
            <w:pPr>
              <w:pStyle w:val="14"/>
            </w:pPr>
            <w:r>
              <w:t>10场</w:t>
            </w:r>
          </w:p>
        </w:tc>
        <w:tc>
          <w:tcPr>
            <w:tcW w:w="2466" w:type="dxa"/>
            <w:vAlign w:val="center"/>
          </w:tcPr>
          <w:p>
            <w:pPr>
              <w:pStyle w:val="14"/>
            </w:pPr>
            <w:r>
              <w:t>《乐亭县妇女发展规划》 《乐亭县儿童发展规划》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2022年12月底前</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提高妇女儿童发展环境</w:t>
            </w:r>
          </w:p>
        </w:tc>
        <w:tc>
          <w:tcPr>
            <w:tcW w:w="2466" w:type="dxa"/>
            <w:vAlign w:val="center"/>
          </w:tcPr>
          <w:p>
            <w:pPr>
              <w:pStyle w:val="14"/>
            </w:pPr>
            <w:r>
              <w:t>妇女儿童发展环境优化</w:t>
            </w:r>
          </w:p>
        </w:tc>
        <w:tc>
          <w:tcPr>
            <w:tcW w:w="2466" w:type="dxa"/>
            <w:vAlign w:val="center"/>
          </w:tcPr>
          <w:p>
            <w:pPr>
              <w:pStyle w:val="14"/>
            </w:pPr>
            <w:r>
              <w:t>有效落实</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助力平安家庭建设</w:t>
            </w:r>
          </w:p>
        </w:tc>
        <w:tc>
          <w:tcPr>
            <w:tcW w:w="2466" w:type="dxa"/>
            <w:vAlign w:val="center"/>
          </w:tcPr>
          <w:p>
            <w:pPr>
              <w:pStyle w:val="14"/>
            </w:pPr>
            <w:r>
              <w:t>有效落实</w:t>
            </w:r>
          </w:p>
        </w:tc>
        <w:tc>
          <w:tcPr>
            <w:tcW w:w="2466" w:type="dxa"/>
            <w:vAlign w:val="center"/>
          </w:tcPr>
          <w:p>
            <w:pPr>
              <w:pStyle w:val="14"/>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服务对象的满意度</w:t>
            </w:r>
          </w:p>
        </w:tc>
        <w:tc>
          <w:tcPr>
            <w:tcW w:w="2466" w:type="dxa"/>
            <w:vAlign w:val="center"/>
          </w:tcPr>
          <w:p>
            <w:pPr>
              <w:pStyle w:val="14"/>
            </w:pPr>
            <w:r>
              <w:t>服务对象的满意度</w:t>
            </w:r>
          </w:p>
        </w:tc>
        <w:tc>
          <w:tcPr>
            <w:tcW w:w="2466" w:type="dxa"/>
            <w:vAlign w:val="center"/>
          </w:tcPr>
          <w:p>
            <w:pPr>
              <w:pStyle w:val="14"/>
            </w:pPr>
            <w:r>
              <w:t>≥90%</w:t>
            </w:r>
          </w:p>
        </w:tc>
        <w:tc>
          <w:tcPr>
            <w:tcW w:w="2466" w:type="dxa"/>
            <w:vAlign w:val="center"/>
          </w:tcPr>
          <w:p>
            <w:pPr>
              <w:pStyle w:val="14"/>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4、美丽庭院创建经费绩效目标表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1.常态化开展美丽庭院家居清洁活动</w:t>
            </w:r>
          </w:p>
          <w:p>
            <w:pPr>
              <w:pStyle w:val="14"/>
            </w:pPr>
            <w:r>
              <w:t>2.每季度开展美丽庭院、精品庭院以及示范户评选活动</w:t>
            </w:r>
          </w:p>
          <w:p>
            <w:pPr>
              <w:pStyle w:val="14"/>
            </w:pPr>
            <w:r>
              <w:t>3.开展美丽庭院督导、拉练、回头看工</w:t>
            </w:r>
          </w:p>
          <w:p>
            <w:pPr>
              <w:pStyle w:val="14"/>
            </w:pPr>
            <w:r>
              <w:t>4.开展最美家庭评选活动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绩效指标描述</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指标值</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常态化家居清洁活动</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开展美丽庭院家居清洁活动、开展垃圾分类活动</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300次</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乐亭县妇女联合会关于美丽庭院创建的实施方案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开展基层美丽庭院创建活动</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美丽庭院、精品庭院以及示范户评选活动（户）</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rPr>
                <w:rFonts w:hint="eastAsia"/>
                <w:lang w:val="en-US" w:eastAsia="zh-CN"/>
              </w:rPr>
              <w:t>60</w:t>
            </w:r>
            <w:r>
              <w:t>00户</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乐亭县妇女联合会关于美丽庭院创建的实施方案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交流学习活动</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美丽庭院督导、拉练、回头看</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4次</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提升家庭文明</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开展村、镇、县级最美家庭评选</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50次</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项目完成时限</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项目完成时限</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2022年12月底前</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建设美丽庭院，助力乡村振兴</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建设“人美、院美、室美、厨厕美、村庄美”的美丽庭院，助力乡村振兴</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≥95%</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生态效益指标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生态效益提高</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建设绿色庭院，推动绿色发展和绿色生活方式，促进生态文明建设</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有效提升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示范带动作用</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示范带动作用</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有效引领</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服务对象满意度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服务对象满意度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≥90%</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根据年初工作计划安排</w:t>
            </w:r>
          </w:p>
        </w:tc>
      </w:tr>
    </w:tbl>
    <w:p>
      <w:pPr>
        <w:sectPr>
          <w:pgSz w:w="16840" w:h="11900" w:orient="landscape"/>
          <w:pgMar w:top="1531" w:right="1134" w:bottom="1361" w:left="1134" w:header="720" w:footer="720" w:gutter="0"/>
          <w:cols w:space="0" w:num="1"/>
          <w:rtlGutter w:val="0"/>
          <w:docGrid w:linePitch="0" w:charSpace="0"/>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2022年，妇联安排政府采购预算</w:t>
      </w:r>
      <w:r>
        <w:rPr>
          <w:rFonts w:hint="eastAsia" w:eastAsia="方正仿宋_GBK" w:cs="Times New Roman"/>
          <w:b w:val="0"/>
          <w:color w:val="000000"/>
          <w:sz w:val="28"/>
          <w:lang w:val="en-US" w:eastAsia="zh-CN"/>
        </w:rPr>
        <w:t>5.80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pPr w:leftFromText="180" w:rightFromText="180" w:vertAnchor="text" w:horzAnchor="page" w:tblpX="1741" w:tblpY="691"/>
        <w:tblOverlap w:val="never"/>
        <w:tblW w:w="1423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883"/>
        <w:gridCol w:w="2143"/>
        <w:gridCol w:w="1300"/>
        <w:gridCol w:w="827"/>
        <w:gridCol w:w="679"/>
        <w:gridCol w:w="680"/>
        <w:gridCol w:w="960"/>
        <w:gridCol w:w="768"/>
        <w:gridCol w:w="813"/>
        <w:gridCol w:w="768"/>
        <w:gridCol w:w="753"/>
        <w:gridCol w:w="635"/>
        <w:gridCol w:w="675"/>
        <w:gridCol w:w="666"/>
        <w:gridCol w:w="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8" w:hRule="atLeast"/>
          <w:tblHeader/>
        </w:trPr>
        <w:tc>
          <w:tcPr>
            <w:tcW w:w="7393" w:type="dxa"/>
            <w:gridSpan w:val="7"/>
            <w:tcBorders>
              <w:top w:val="single" w:color="FFFFFF" w:sz="6" w:space="0"/>
              <w:left w:val="single" w:color="FFFFFF" w:sz="6" w:space="0"/>
              <w:right w:val="single" w:color="FFFFFF" w:sz="6" w:space="0"/>
            </w:tcBorders>
            <w:vAlign w:val="center"/>
          </w:tcPr>
          <w:p>
            <w:pPr>
              <w:pStyle w:val="11"/>
            </w:pPr>
            <w:r>
              <w:t>713妇联</w:t>
            </w:r>
          </w:p>
        </w:tc>
        <w:tc>
          <w:tcPr>
            <w:tcW w:w="6843"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blHeader/>
        </w:trPr>
        <w:tc>
          <w:tcPr>
            <w:tcW w:w="1764" w:type="dxa"/>
            <w:gridSpan w:val="2"/>
            <w:vAlign w:val="center"/>
          </w:tcPr>
          <w:p>
            <w:pPr>
              <w:pStyle w:val="12"/>
            </w:pPr>
            <w:r>
              <w:t>政府采购项目来源</w:t>
            </w:r>
          </w:p>
        </w:tc>
        <w:tc>
          <w:tcPr>
            <w:tcW w:w="2143" w:type="dxa"/>
            <w:vMerge w:val="restart"/>
            <w:vAlign w:val="center"/>
          </w:tcPr>
          <w:p>
            <w:pPr>
              <w:pStyle w:val="12"/>
            </w:pPr>
            <w:r>
              <w:t>采购物品名称</w:t>
            </w:r>
          </w:p>
        </w:tc>
        <w:tc>
          <w:tcPr>
            <w:tcW w:w="1300" w:type="dxa"/>
            <w:vMerge w:val="restart"/>
            <w:vAlign w:val="center"/>
          </w:tcPr>
          <w:p>
            <w:pPr>
              <w:pStyle w:val="12"/>
            </w:pPr>
            <w:r>
              <w:t>政府采购目录序号</w:t>
            </w:r>
          </w:p>
        </w:tc>
        <w:tc>
          <w:tcPr>
            <w:tcW w:w="827" w:type="dxa"/>
            <w:vMerge w:val="restart"/>
            <w:vAlign w:val="center"/>
          </w:tcPr>
          <w:p>
            <w:pPr>
              <w:pStyle w:val="12"/>
            </w:pPr>
            <w:r>
              <w:t>计量  单位</w:t>
            </w:r>
          </w:p>
        </w:tc>
        <w:tc>
          <w:tcPr>
            <w:tcW w:w="679" w:type="dxa"/>
            <w:vMerge w:val="restart"/>
            <w:vAlign w:val="center"/>
          </w:tcPr>
          <w:p>
            <w:pPr>
              <w:pStyle w:val="12"/>
            </w:pPr>
            <w:r>
              <w:t>数量</w:t>
            </w:r>
          </w:p>
        </w:tc>
        <w:tc>
          <w:tcPr>
            <w:tcW w:w="680" w:type="dxa"/>
            <w:vMerge w:val="restart"/>
            <w:vAlign w:val="center"/>
          </w:tcPr>
          <w:p>
            <w:pPr>
              <w:pStyle w:val="12"/>
            </w:pPr>
            <w:r>
              <w:t>单价</w:t>
            </w:r>
          </w:p>
        </w:tc>
        <w:tc>
          <w:tcPr>
            <w:tcW w:w="6038" w:type="dxa"/>
            <w:gridSpan w:val="8"/>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政府采购金额（当年部门预算安排资金）</w:t>
            </w:r>
          </w:p>
        </w:tc>
        <w:tc>
          <w:tcPr>
            <w:tcW w:w="805"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2022年 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1" w:hRule="atLeast"/>
          <w:tblHeader/>
        </w:trPr>
        <w:tc>
          <w:tcPr>
            <w:tcW w:w="881" w:type="dxa"/>
            <w:vAlign w:val="center"/>
          </w:tcPr>
          <w:p>
            <w:pPr>
              <w:pStyle w:val="12"/>
            </w:pPr>
            <w:r>
              <w:t>项目名称</w:t>
            </w:r>
          </w:p>
        </w:tc>
        <w:tc>
          <w:tcPr>
            <w:tcW w:w="883" w:type="dxa"/>
            <w:vAlign w:val="center"/>
          </w:tcPr>
          <w:p>
            <w:pPr>
              <w:pStyle w:val="12"/>
            </w:pPr>
            <w:r>
              <w:t>预算    资金</w:t>
            </w:r>
          </w:p>
        </w:tc>
        <w:tc>
          <w:tcPr>
            <w:tcW w:w="2143" w:type="dxa"/>
            <w:vMerge w:val="continue"/>
          </w:tcPr>
          <w:p/>
        </w:tc>
        <w:tc>
          <w:tcPr>
            <w:tcW w:w="1300" w:type="dxa"/>
            <w:vMerge w:val="continue"/>
          </w:tcPr>
          <w:p/>
        </w:tc>
        <w:tc>
          <w:tcPr>
            <w:tcW w:w="827" w:type="dxa"/>
            <w:vMerge w:val="continue"/>
          </w:tcPr>
          <w:p/>
        </w:tc>
        <w:tc>
          <w:tcPr>
            <w:tcW w:w="679" w:type="dxa"/>
            <w:vMerge w:val="continue"/>
          </w:tcPr>
          <w:p/>
        </w:tc>
        <w:tc>
          <w:tcPr>
            <w:tcW w:w="680" w:type="dxa"/>
            <w:vMerge w:val="continue"/>
          </w:tcPr>
          <w:p/>
        </w:tc>
        <w:tc>
          <w:tcPr>
            <w:tcW w:w="960"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768"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一般公共预算拨款</w:t>
            </w:r>
          </w:p>
        </w:tc>
        <w:tc>
          <w:tcPr>
            <w:tcW w:w="813"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基金预算拨款</w:t>
            </w:r>
          </w:p>
        </w:tc>
        <w:tc>
          <w:tcPr>
            <w:tcW w:w="768"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国有资本经营预算拨款</w:t>
            </w:r>
          </w:p>
        </w:tc>
        <w:tc>
          <w:tcPr>
            <w:tcW w:w="753"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财政专户核拨</w:t>
            </w:r>
          </w:p>
        </w:tc>
        <w:tc>
          <w:tcPr>
            <w:tcW w:w="635"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单位    资金</w:t>
            </w:r>
          </w:p>
        </w:tc>
        <w:tc>
          <w:tcPr>
            <w:tcW w:w="675"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财政拨款结转</w:t>
            </w:r>
          </w:p>
        </w:tc>
        <w:tc>
          <w:tcPr>
            <w:tcW w:w="666" w:type="dxa"/>
            <w:vAlign w:val="center"/>
          </w:tcPr>
          <w:p>
            <w:pPr>
              <w:pStyle w:val="12"/>
              <w:keepNext w:val="0"/>
              <w:keepLines w:val="0"/>
              <w:pageBreakBefore w:val="0"/>
              <w:widowControl/>
              <w:kinsoku/>
              <w:wordWrap/>
              <w:overflowPunct/>
              <w:topLinePunct w:val="0"/>
              <w:autoSpaceDE/>
              <w:autoSpaceDN/>
              <w:bidi w:val="0"/>
              <w:adjustRightInd/>
              <w:snapToGrid/>
              <w:spacing w:line="300" w:lineRule="exact"/>
              <w:textAlignment w:val="auto"/>
            </w:pPr>
            <w:r>
              <w:t>非财政拨款结    转结余</w:t>
            </w:r>
          </w:p>
        </w:tc>
        <w:tc>
          <w:tcPr>
            <w:tcW w:w="805"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trPr>
        <w:tc>
          <w:tcPr>
            <w:tcW w:w="881" w:type="dxa"/>
            <w:vMerge w:val="restart"/>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美丽庭院创建经费</w:t>
            </w:r>
          </w:p>
        </w:tc>
        <w:tc>
          <w:tcPr>
            <w:tcW w:w="883"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1.6</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台式机</w:t>
            </w:r>
          </w:p>
        </w:tc>
        <w:tc>
          <w:tcPr>
            <w:tcW w:w="1300" w:type="dxa"/>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[2010104]</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679"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4</w:t>
            </w:r>
          </w:p>
        </w:tc>
        <w:tc>
          <w:tcPr>
            <w:tcW w:w="68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0.4</w:t>
            </w:r>
          </w:p>
        </w:tc>
        <w:tc>
          <w:tcPr>
            <w:tcW w:w="96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1.6</w:t>
            </w:r>
          </w:p>
        </w:tc>
        <w:tc>
          <w:tcPr>
            <w:tcW w:w="768"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1.6</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6" w:hRule="atLeast"/>
        </w:trPr>
        <w:tc>
          <w:tcPr>
            <w:tcW w:w="881" w:type="dxa"/>
            <w:vMerge w:val="continue"/>
            <w:vAlign w:val="center"/>
          </w:tcPr>
          <w:p>
            <w:pPr>
              <w:pStyle w:val="14"/>
            </w:pPr>
          </w:p>
        </w:tc>
        <w:tc>
          <w:tcPr>
            <w:tcW w:w="883"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0.2</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碎纸机</w:t>
            </w:r>
          </w:p>
        </w:tc>
        <w:tc>
          <w:tcPr>
            <w:tcW w:w="1300" w:type="dxa"/>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[2021000]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679"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2</w:t>
            </w:r>
          </w:p>
        </w:tc>
        <w:tc>
          <w:tcPr>
            <w:tcW w:w="68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0.1</w:t>
            </w:r>
          </w:p>
        </w:tc>
        <w:tc>
          <w:tcPr>
            <w:tcW w:w="96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0.2</w:t>
            </w:r>
          </w:p>
        </w:tc>
        <w:tc>
          <w:tcPr>
            <w:tcW w:w="768"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0.2</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atLeast"/>
        </w:trPr>
        <w:tc>
          <w:tcPr>
            <w:tcW w:w="881" w:type="dxa"/>
            <w:vMerge w:val="continue"/>
            <w:vAlign w:val="center"/>
          </w:tcPr>
          <w:p>
            <w:pPr>
              <w:pStyle w:val="14"/>
            </w:pPr>
          </w:p>
        </w:tc>
        <w:tc>
          <w:tcPr>
            <w:tcW w:w="883"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1.0</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照相机及器材</w:t>
            </w:r>
          </w:p>
        </w:tc>
        <w:tc>
          <w:tcPr>
            <w:tcW w:w="1300" w:type="dxa"/>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[2020400]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679"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w:t>
            </w:r>
          </w:p>
        </w:tc>
        <w:tc>
          <w:tcPr>
            <w:tcW w:w="68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1.0</w:t>
            </w:r>
          </w:p>
        </w:tc>
        <w:tc>
          <w:tcPr>
            <w:tcW w:w="96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1.0</w:t>
            </w:r>
          </w:p>
        </w:tc>
        <w:tc>
          <w:tcPr>
            <w:tcW w:w="768"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1.0</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1" w:hRule="atLeast"/>
        </w:trPr>
        <w:tc>
          <w:tcPr>
            <w:tcW w:w="881" w:type="dxa"/>
            <w:vMerge w:val="continue"/>
            <w:vAlign w:val="center"/>
          </w:tcPr>
          <w:p>
            <w:pPr>
              <w:pStyle w:val="14"/>
            </w:pPr>
          </w:p>
        </w:tc>
        <w:tc>
          <w:tcPr>
            <w:tcW w:w="883" w:type="dxa"/>
            <w:vAlign w:val="top"/>
          </w:tcPr>
          <w:p>
            <w:pPr>
              <w:keepNext w:val="0"/>
              <w:keepLines w:val="0"/>
              <w:widowControl/>
              <w:suppressLineNumbers w:val="0"/>
              <w:jc w:val="right"/>
              <w:textAlignment w:val="top"/>
              <w:rPr>
                <w:rFonts w:hint="default"/>
                <w:lang w:val="en-US"/>
              </w:rPr>
            </w:pPr>
            <w:r>
              <w:rPr>
                <w:rFonts w:hint="eastAsia" w:ascii="宋体" w:hAnsi="宋体" w:eastAsia="宋体" w:cs="宋体"/>
                <w:i w:val="0"/>
                <w:color w:val="000000"/>
                <w:kern w:val="0"/>
                <w:sz w:val="22"/>
                <w:szCs w:val="22"/>
                <w:u w:val="none"/>
                <w:lang w:val="en-US" w:eastAsia="zh-CN" w:bidi="ar"/>
              </w:rPr>
              <w:t>1.2</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多功能一体机</w:t>
            </w:r>
          </w:p>
        </w:tc>
        <w:tc>
          <w:tcPr>
            <w:tcW w:w="1300" w:type="dxa"/>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[2020300]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679"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2</w:t>
            </w:r>
          </w:p>
        </w:tc>
        <w:tc>
          <w:tcPr>
            <w:tcW w:w="68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0.6</w:t>
            </w:r>
          </w:p>
        </w:tc>
        <w:tc>
          <w:tcPr>
            <w:tcW w:w="960" w:type="dxa"/>
            <w:vAlign w:val="top"/>
          </w:tcPr>
          <w:p>
            <w:pPr>
              <w:keepNext w:val="0"/>
              <w:keepLines w:val="0"/>
              <w:widowControl/>
              <w:suppressLineNumbers w:val="0"/>
              <w:jc w:val="right"/>
              <w:textAlignment w:val="top"/>
              <w:rPr>
                <w:rFonts w:hint="default"/>
                <w:lang w:val="en-US"/>
              </w:rPr>
            </w:pPr>
            <w:r>
              <w:rPr>
                <w:rFonts w:hint="eastAsia" w:ascii="宋体" w:hAnsi="宋体" w:eastAsia="宋体" w:cs="宋体"/>
                <w:i w:val="0"/>
                <w:color w:val="000000"/>
                <w:kern w:val="0"/>
                <w:sz w:val="22"/>
                <w:szCs w:val="22"/>
                <w:u w:val="none"/>
                <w:lang w:val="en-US" w:eastAsia="zh-CN" w:bidi="ar"/>
              </w:rPr>
              <w:t>1.2</w:t>
            </w:r>
          </w:p>
        </w:tc>
        <w:tc>
          <w:tcPr>
            <w:tcW w:w="768" w:type="dxa"/>
            <w:vAlign w:val="top"/>
          </w:tcPr>
          <w:p>
            <w:pPr>
              <w:keepNext w:val="0"/>
              <w:keepLines w:val="0"/>
              <w:widowControl/>
              <w:suppressLineNumbers w:val="0"/>
              <w:jc w:val="right"/>
              <w:textAlignment w:val="top"/>
              <w:rPr>
                <w:rFonts w:hint="default"/>
                <w:lang w:val="en-US"/>
              </w:rPr>
            </w:pPr>
            <w:r>
              <w:rPr>
                <w:rFonts w:hint="eastAsia" w:ascii="宋体" w:hAnsi="宋体" w:eastAsia="宋体" w:cs="宋体"/>
                <w:i w:val="0"/>
                <w:color w:val="000000"/>
                <w:kern w:val="0"/>
                <w:sz w:val="22"/>
                <w:szCs w:val="22"/>
                <w:u w:val="none"/>
                <w:lang w:val="en-US" w:eastAsia="zh-CN" w:bidi="ar"/>
              </w:rPr>
              <w:t>1.2</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eastAsia="宋体" w:cs="宋体"/>
                <w:i w:val="0"/>
                <w:color w:val="000000"/>
                <w:kern w:val="0"/>
                <w:sz w:val="22"/>
                <w:szCs w:val="22"/>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trPr>
        <w:tc>
          <w:tcPr>
            <w:tcW w:w="881" w:type="dxa"/>
            <w:vMerge w:val="continue"/>
            <w:vAlign w:val="center"/>
          </w:tcPr>
          <w:p>
            <w:pPr>
              <w:pStyle w:val="14"/>
            </w:pPr>
          </w:p>
        </w:tc>
        <w:tc>
          <w:tcPr>
            <w:tcW w:w="883"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0.5</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台、桌类</w:t>
            </w:r>
          </w:p>
        </w:tc>
        <w:tc>
          <w:tcPr>
            <w:tcW w:w="1300" w:type="dxa"/>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[6010200]</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个</w:t>
            </w:r>
          </w:p>
        </w:tc>
        <w:tc>
          <w:tcPr>
            <w:tcW w:w="679" w:type="dxa"/>
            <w:vAlign w:val="top"/>
          </w:tcPr>
          <w:p>
            <w:pPr>
              <w:keepNext w:val="0"/>
              <w:keepLines w:val="0"/>
              <w:widowControl/>
              <w:suppressLineNumbers w:val="0"/>
              <w:jc w:val="right"/>
              <w:textAlignment w:val="top"/>
            </w:pPr>
            <w:r>
              <w:rPr>
                <w:rFonts w:hint="eastAsia" w:ascii="宋体" w:hAnsi="宋体" w:cs="宋体"/>
                <w:i w:val="0"/>
                <w:color w:val="000000"/>
                <w:kern w:val="0"/>
                <w:sz w:val="22"/>
                <w:szCs w:val="22"/>
                <w:u w:val="none"/>
                <w:lang w:val="en-US" w:eastAsia="zh-CN" w:bidi="ar"/>
              </w:rPr>
              <w:t>5</w:t>
            </w:r>
          </w:p>
        </w:tc>
        <w:tc>
          <w:tcPr>
            <w:tcW w:w="68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0.1</w:t>
            </w:r>
          </w:p>
        </w:tc>
        <w:tc>
          <w:tcPr>
            <w:tcW w:w="960"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0.5</w:t>
            </w:r>
          </w:p>
        </w:tc>
        <w:tc>
          <w:tcPr>
            <w:tcW w:w="768" w:type="dxa"/>
            <w:vAlign w:val="top"/>
          </w:tcPr>
          <w:p>
            <w:pPr>
              <w:keepNext w:val="0"/>
              <w:keepLines w:val="0"/>
              <w:widowControl/>
              <w:suppressLineNumbers w:val="0"/>
              <w:jc w:val="right"/>
              <w:textAlignment w:val="top"/>
              <w:rPr>
                <w:rFonts w:hint="default"/>
                <w:lang w:val="en-US"/>
              </w:rPr>
            </w:pPr>
            <w:r>
              <w:rPr>
                <w:rFonts w:hint="eastAsia" w:ascii="宋体" w:hAnsi="宋体" w:cs="宋体"/>
                <w:i w:val="0"/>
                <w:color w:val="000000"/>
                <w:kern w:val="0"/>
                <w:sz w:val="22"/>
                <w:szCs w:val="22"/>
                <w:u w:val="none"/>
                <w:lang w:val="en-US" w:eastAsia="zh-CN" w:bidi="ar"/>
              </w:rPr>
              <w:t>0.5</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widowControl/>
              <w:suppressLineNumbers w:val="0"/>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trPr>
        <w:tc>
          <w:tcPr>
            <w:tcW w:w="881" w:type="dxa"/>
            <w:vMerge w:val="restart"/>
            <w:vAlign w:val="center"/>
          </w:tcPr>
          <w:p>
            <w:pPr>
              <w:pStyle w:val="14"/>
            </w:pPr>
            <w:r>
              <w:rPr>
                <w:rFonts w:hint="eastAsia" w:ascii="方正仿宋简体" w:hAnsi="方正仿宋简体" w:eastAsia="方正仿宋简体" w:cs="方正仿宋简体"/>
                <w:i w:val="0"/>
                <w:color w:val="000000"/>
                <w:sz w:val="21"/>
                <w:szCs w:val="21"/>
                <w:u w:val="none"/>
                <w:lang w:val="en-US" w:eastAsia="zh-CN"/>
              </w:rPr>
              <w:t>家庭教育公益大讲堂</w:t>
            </w:r>
          </w:p>
        </w:tc>
        <w:tc>
          <w:tcPr>
            <w:tcW w:w="883"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lang w:val="en-US"/>
              </w:rPr>
            </w:pPr>
            <w:r>
              <w:rPr>
                <w:rFonts w:hint="eastAsia" w:ascii="宋体" w:hAnsi="宋体" w:cs="宋体"/>
                <w:i w:val="0"/>
                <w:color w:val="000000"/>
                <w:kern w:val="0"/>
                <w:sz w:val="22"/>
                <w:szCs w:val="22"/>
                <w:u w:val="none"/>
                <w:lang w:val="en-US" w:eastAsia="zh-CN" w:bidi="ar"/>
              </w:rPr>
              <w:t>0.5</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台式机</w:t>
            </w:r>
          </w:p>
        </w:tc>
        <w:tc>
          <w:tcPr>
            <w:tcW w:w="1300" w:type="dxa"/>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[2010104]</w:t>
            </w:r>
          </w:p>
        </w:tc>
        <w:tc>
          <w:tcPr>
            <w:tcW w:w="827" w:type="dxa"/>
            <w:vAlign w:val="top"/>
          </w:tcPr>
          <w:p>
            <w:pPr>
              <w:keepNext w:val="0"/>
              <w:keepLines w:val="0"/>
              <w:widowControl/>
              <w:suppressLineNumbers w:val="0"/>
              <w:jc w:val="center"/>
              <w:textAlignment w:val="top"/>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679" w:type="dxa"/>
            <w:vAlign w:val="top"/>
          </w:tcPr>
          <w:p>
            <w:pPr>
              <w:keepNext w:val="0"/>
              <w:keepLines w:val="0"/>
              <w:pageBreakBefore w:val="0"/>
              <w:widowControl/>
              <w:kinsoku/>
              <w:wordWrap/>
              <w:overflowPunct/>
              <w:topLinePunct w:val="0"/>
              <w:autoSpaceDE/>
              <w:autoSpaceDN/>
              <w:bidi w:val="0"/>
              <w:adjustRightInd/>
              <w:snapToGrid/>
              <w:spacing w:line="300" w:lineRule="exact"/>
              <w:jc w:val="right"/>
            </w:pPr>
            <w:r>
              <w:rPr>
                <w:rFonts w:hint="eastAsia" w:ascii="宋体" w:hAnsi="宋体" w:cs="宋体"/>
                <w:i w:val="0"/>
                <w:color w:val="000000"/>
                <w:sz w:val="22"/>
                <w:szCs w:val="22"/>
                <w:u w:val="none"/>
                <w:lang w:val="en-US" w:eastAsia="zh-CN"/>
              </w:rPr>
              <w:t>1</w:t>
            </w:r>
          </w:p>
        </w:tc>
        <w:tc>
          <w:tcPr>
            <w:tcW w:w="680" w:type="dxa"/>
            <w:vAlign w:val="top"/>
          </w:tcPr>
          <w:p>
            <w:pPr>
              <w:keepNext w:val="0"/>
              <w:keepLines w:val="0"/>
              <w:pageBreakBefore w:val="0"/>
              <w:widowControl/>
              <w:kinsoku/>
              <w:wordWrap/>
              <w:overflowPunct/>
              <w:topLinePunct w:val="0"/>
              <w:autoSpaceDE/>
              <w:autoSpaceDN/>
              <w:bidi w:val="0"/>
              <w:adjustRightInd/>
              <w:snapToGrid/>
              <w:spacing w:line="300" w:lineRule="exact"/>
              <w:jc w:val="right"/>
              <w:rPr>
                <w:rFonts w:hint="default"/>
                <w:lang w:val="en-US"/>
              </w:rPr>
            </w:pPr>
            <w:r>
              <w:rPr>
                <w:rFonts w:hint="eastAsia" w:ascii="宋体" w:hAnsi="宋体" w:cs="宋体"/>
                <w:i w:val="0"/>
                <w:color w:val="000000"/>
                <w:sz w:val="22"/>
                <w:szCs w:val="22"/>
                <w:u w:val="none"/>
                <w:lang w:val="en-US" w:eastAsia="zh-CN"/>
              </w:rPr>
              <w:t>0.5</w:t>
            </w:r>
          </w:p>
        </w:tc>
        <w:tc>
          <w:tcPr>
            <w:tcW w:w="96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lang w:val="en-US"/>
              </w:rPr>
            </w:pPr>
            <w:r>
              <w:rPr>
                <w:rFonts w:hint="eastAsia" w:ascii="宋体" w:hAnsi="宋体" w:cs="宋体"/>
                <w:i w:val="0"/>
                <w:color w:val="000000"/>
                <w:kern w:val="0"/>
                <w:sz w:val="22"/>
                <w:szCs w:val="22"/>
                <w:u w:val="none"/>
                <w:lang w:val="en-US" w:eastAsia="zh-CN" w:bidi="ar"/>
              </w:rPr>
              <w:t>0.5</w:t>
            </w:r>
          </w:p>
        </w:tc>
        <w:tc>
          <w:tcPr>
            <w:tcW w:w="768"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lang w:val="en-US"/>
              </w:rPr>
            </w:pPr>
            <w:r>
              <w:rPr>
                <w:rFonts w:hint="eastAsia" w:ascii="宋体" w:hAnsi="宋体" w:cs="宋体"/>
                <w:i w:val="0"/>
                <w:color w:val="000000"/>
                <w:kern w:val="0"/>
                <w:sz w:val="22"/>
                <w:szCs w:val="22"/>
                <w:u w:val="none"/>
                <w:lang w:val="en-US" w:eastAsia="zh-CN" w:bidi="ar"/>
              </w:rPr>
              <w:t>0.5</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rPr>
        <w:tc>
          <w:tcPr>
            <w:tcW w:w="881" w:type="dxa"/>
            <w:vMerge w:val="continue"/>
            <w:vAlign w:val="center"/>
          </w:tcPr>
          <w:p>
            <w:pPr>
              <w:pStyle w:val="14"/>
            </w:pPr>
          </w:p>
        </w:tc>
        <w:tc>
          <w:tcPr>
            <w:tcW w:w="883"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lang w:val="en-US"/>
              </w:rPr>
            </w:pPr>
            <w:r>
              <w:rPr>
                <w:rFonts w:hint="eastAsia" w:ascii="宋体" w:hAnsi="宋体" w:cs="宋体"/>
                <w:i w:val="0"/>
                <w:color w:val="000000"/>
                <w:kern w:val="0"/>
                <w:sz w:val="22"/>
                <w:szCs w:val="22"/>
                <w:u w:val="none"/>
                <w:lang w:val="en-US" w:eastAsia="zh-CN" w:bidi="ar"/>
              </w:rPr>
              <w:t>0.8</w:t>
            </w:r>
          </w:p>
        </w:tc>
        <w:tc>
          <w:tcPr>
            <w:tcW w:w="2143" w:type="dxa"/>
            <w:vAlign w:val="center"/>
          </w:tcPr>
          <w:p>
            <w:pPr>
              <w:keepNext w:val="0"/>
              <w:keepLines w:val="0"/>
              <w:widowControl/>
              <w:suppressLineNumbers w:val="0"/>
              <w:jc w:val="both"/>
              <w:textAlignment w:val="top"/>
            </w:pPr>
            <w:r>
              <w:rPr>
                <w:rFonts w:hint="eastAsia" w:ascii="方正仿宋简体" w:hAnsi="方正仿宋简体" w:eastAsia="方正仿宋简体" w:cs="方正仿宋简体"/>
                <w:i w:val="0"/>
                <w:color w:val="000000"/>
                <w:kern w:val="0"/>
                <w:sz w:val="21"/>
                <w:szCs w:val="21"/>
                <w:u w:val="none"/>
                <w:lang w:val="en-US" w:eastAsia="zh-CN" w:bidi="ar"/>
              </w:rPr>
              <w:t>笔记本电脑</w:t>
            </w:r>
          </w:p>
        </w:tc>
        <w:tc>
          <w:tcPr>
            <w:tcW w:w="1300" w:type="dxa"/>
            <w:vAlign w:val="center"/>
          </w:tcPr>
          <w:p>
            <w:pPr>
              <w:pStyle w:val="14"/>
            </w:pPr>
            <w:r>
              <w:rPr>
                <w:rFonts w:hint="eastAsia" w:ascii="方正仿宋简体" w:hAnsi="方正仿宋简体" w:eastAsia="方正仿宋简体" w:cs="方正仿宋简体"/>
                <w:i w:val="0"/>
                <w:color w:val="000000"/>
                <w:kern w:val="0"/>
                <w:sz w:val="21"/>
                <w:szCs w:val="21"/>
                <w:u w:val="none"/>
                <w:lang w:val="en-US" w:eastAsia="zh-CN" w:bidi="ar"/>
              </w:rPr>
              <w:t>[2010104]</w:t>
            </w:r>
          </w:p>
        </w:tc>
        <w:tc>
          <w:tcPr>
            <w:tcW w:w="827" w:type="dxa"/>
            <w:vAlign w:val="top"/>
          </w:tcPr>
          <w:p>
            <w:pPr>
              <w:keepNext w:val="0"/>
              <w:keepLines w:val="0"/>
              <w:pageBreakBefore w:val="0"/>
              <w:widowControl/>
              <w:kinsoku/>
              <w:wordWrap/>
              <w:overflowPunct/>
              <w:topLinePunct w:val="0"/>
              <w:autoSpaceDE/>
              <w:autoSpaceDN/>
              <w:bidi w:val="0"/>
              <w:adjustRightInd/>
              <w:snapToGrid/>
              <w:spacing w:line="300" w:lineRule="exact"/>
              <w:jc w:val="center"/>
            </w:pPr>
            <w:r>
              <w:rPr>
                <w:rFonts w:hint="eastAsia" w:ascii="方正仿宋简体" w:hAnsi="方正仿宋简体" w:eastAsia="方正仿宋简体" w:cs="方正仿宋简体"/>
                <w:i w:val="0"/>
                <w:color w:val="000000"/>
                <w:kern w:val="0"/>
                <w:sz w:val="22"/>
                <w:szCs w:val="22"/>
                <w:u w:val="none"/>
                <w:lang w:val="en-US" w:eastAsia="zh-CN" w:bidi="ar"/>
              </w:rPr>
              <w:t>台</w:t>
            </w:r>
          </w:p>
        </w:tc>
        <w:tc>
          <w:tcPr>
            <w:tcW w:w="679" w:type="dxa"/>
            <w:vAlign w:val="top"/>
          </w:tcPr>
          <w:p>
            <w:pPr>
              <w:keepNext w:val="0"/>
              <w:keepLines w:val="0"/>
              <w:pageBreakBefore w:val="0"/>
              <w:widowControl/>
              <w:kinsoku/>
              <w:wordWrap/>
              <w:overflowPunct/>
              <w:topLinePunct w:val="0"/>
              <w:autoSpaceDE/>
              <w:autoSpaceDN/>
              <w:bidi w:val="0"/>
              <w:adjustRightInd/>
              <w:snapToGrid/>
              <w:spacing w:line="300" w:lineRule="exact"/>
              <w:jc w:val="right"/>
            </w:pPr>
            <w:r>
              <w:rPr>
                <w:rFonts w:hint="eastAsia" w:ascii="宋体" w:hAnsi="宋体" w:cs="宋体"/>
                <w:i w:val="0"/>
                <w:color w:val="000000"/>
                <w:sz w:val="22"/>
                <w:szCs w:val="22"/>
                <w:u w:val="none"/>
                <w:lang w:val="en-US" w:eastAsia="zh-CN"/>
              </w:rPr>
              <w:t>1</w:t>
            </w:r>
          </w:p>
        </w:tc>
        <w:tc>
          <w:tcPr>
            <w:tcW w:w="680" w:type="dxa"/>
            <w:vAlign w:val="top"/>
          </w:tcPr>
          <w:p>
            <w:pPr>
              <w:keepNext w:val="0"/>
              <w:keepLines w:val="0"/>
              <w:pageBreakBefore w:val="0"/>
              <w:widowControl/>
              <w:kinsoku/>
              <w:wordWrap/>
              <w:overflowPunct/>
              <w:topLinePunct w:val="0"/>
              <w:autoSpaceDE/>
              <w:autoSpaceDN/>
              <w:bidi w:val="0"/>
              <w:adjustRightInd/>
              <w:snapToGrid/>
              <w:spacing w:line="300" w:lineRule="exact"/>
              <w:jc w:val="right"/>
              <w:rPr>
                <w:rFonts w:hint="default"/>
                <w:lang w:val="en-US"/>
              </w:rPr>
            </w:pPr>
            <w:r>
              <w:rPr>
                <w:rFonts w:hint="eastAsia" w:ascii="宋体" w:hAnsi="宋体" w:cs="宋体"/>
                <w:i w:val="0"/>
                <w:color w:val="000000"/>
                <w:sz w:val="22"/>
                <w:szCs w:val="22"/>
                <w:u w:val="none"/>
                <w:lang w:val="en-US" w:eastAsia="zh-CN"/>
              </w:rPr>
              <w:t>0.8</w:t>
            </w:r>
          </w:p>
        </w:tc>
        <w:tc>
          <w:tcPr>
            <w:tcW w:w="96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lang w:val="en-US"/>
              </w:rPr>
            </w:pPr>
            <w:r>
              <w:rPr>
                <w:rFonts w:hint="eastAsia" w:ascii="宋体" w:hAnsi="宋体" w:cs="宋体"/>
                <w:i w:val="0"/>
                <w:color w:val="000000"/>
                <w:kern w:val="0"/>
                <w:sz w:val="22"/>
                <w:szCs w:val="22"/>
                <w:u w:val="none"/>
                <w:lang w:val="en-US" w:eastAsia="zh-CN" w:bidi="ar"/>
              </w:rPr>
              <w:t>0.8</w:t>
            </w:r>
          </w:p>
        </w:tc>
        <w:tc>
          <w:tcPr>
            <w:tcW w:w="768"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lang w:val="en-US"/>
              </w:rPr>
            </w:pPr>
            <w:r>
              <w:rPr>
                <w:rFonts w:hint="eastAsia" w:ascii="宋体" w:hAnsi="宋体" w:cs="宋体"/>
                <w:i w:val="0"/>
                <w:color w:val="000000"/>
                <w:kern w:val="0"/>
                <w:sz w:val="22"/>
                <w:szCs w:val="22"/>
                <w:u w:val="none"/>
                <w:lang w:val="en-US" w:eastAsia="zh-CN" w:bidi="ar"/>
              </w:rPr>
              <w:t>0.8</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eastAsia="方正书宋_GBK"/>
                <w:lang w:val="en-US" w:eastAsia="zh-CN"/>
              </w:rPr>
            </w:pPr>
            <w:r>
              <w:rPr>
                <w:rFonts w:hint="eastAsia" w:ascii="宋体" w:hAnsi="宋体" w:cs="宋体"/>
                <w:i w:val="0"/>
                <w:color w:val="000000"/>
                <w:kern w:val="0"/>
                <w:sz w:val="22"/>
                <w:szCs w:val="22"/>
                <w:u w:val="none"/>
                <w:lang w:val="en-US" w:eastAsia="zh-CN" w:bidi="ar"/>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5" w:hRule="atLeast"/>
        </w:trPr>
        <w:tc>
          <w:tcPr>
            <w:tcW w:w="881" w:type="dxa"/>
            <w:vAlign w:val="center"/>
          </w:tcPr>
          <w:p>
            <w:pPr>
              <w:pStyle w:val="14"/>
              <w:rPr>
                <w:rFonts w:hint="eastAsia" w:eastAsia="方正书宋_GBK"/>
                <w:lang w:val="en-US" w:eastAsia="zh-CN"/>
              </w:rPr>
            </w:pPr>
            <w:r>
              <w:rPr>
                <w:rFonts w:hint="eastAsia"/>
                <w:lang w:val="en-US" w:eastAsia="zh-CN"/>
              </w:rPr>
              <w:t>合计</w:t>
            </w:r>
          </w:p>
        </w:tc>
        <w:tc>
          <w:tcPr>
            <w:tcW w:w="883"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143" w:type="dxa"/>
            <w:vAlign w:val="center"/>
          </w:tcPr>
          <w:p>
            <w:pPr>
              <w:keepNext w:val="0"/>
              <w:keepLines w:val="0"/>
              <w:widowControl/>
              <w:suppressLineNumbers w:val="0"/>
              <w:jc w:val="both"/>
              <w:textAlignment w:val="top"/>
              <w:rPr>
                <w:rFonts w:hint="eastAsia" w:ascii="方正仿宋简体" w:hAnsi="方正仿宋简体" w:eastAsia="方正仿宋简体" w:cs="方正仿宋简体"/>
                <w:i w:val="0"/>
                <w:color w:val="000000"/>
                <w:kern w:val="0"/>
                <w:sz w:val="21"/>
                <w:szCs w:val="21"/>
                <w:u w:val="none"/>
                <w:lang w:val="en-US" w:eastAsia="zh-CN" w:bidi="ar"/>
              </w:rPr>
            </w:pPr>
          </w:p>
        </w:tc>
        <w:tc>
          <w:tcPr>
            <w:tcW w:w="1300" w:type="dxa"/>
            <w:vAlign w:val="center"/>
          </w:tcPr>
          <w:p>
            <w:pPr>
              <w:pStyle w:val="14"/>
              <w:rPr>
                <w:rFonts w:hint="eastAsia" w:ascii="方正仿宋简体" w:hAnsi="方正仿宋简体" w:eastAsia="方正仿宋简体" w:cs="方正仿宋简体"/>
                <w:i w:val="0"/>
                <w:color w:val="000000"/>
                <w:kern w:val="0"/>
                <w:sz w:val="21"/>
                <w:szCs w:val="21"/>
                <w:u w:val="none"/>
                <w:lang w:val="en-US" w:eastAsia="zh-CN" w:bidi="ar"/>
              </w:rPr>
            </w:pPr>
          </w:p>
        </w:tc>
        <w:tc>
          <w:tcPr>
            <w:tcW w:w="827" w:type="dxa"/>
            <w:vAlign w:val="top"/>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i w:val="0"/>
                <w:color w:val="000000"/>
                <w:kern w:val="0"/>
                <w:sz w:val="22"/>
                <w:szCs w:val="22"/>
                <w:u w:val="none"/>
                <w:lang w:val="en-US" w:eastAsia="zh-CN" w:bidi="ar"/>
              </w:rPr>
            </w:pPr>
          </w:p>
        </w:tc>
        <w:tc>
          <w:tcPr>
            <w:tcW w:w="679" w:type="dxa"/>
            <w:vAlign w:val="top"/>
          </w:tcPr>
          <w:p>
            <w:pPr>
              <w:keepNext w:val="0"/>
              <w:keepLines w:val="0"/>
              <w:pageBreakBefore w:val="0"/>
              <w:widowControl/>
              <w:kinsoku/>
              <w:wordWrap/>
              <w:overflowPunct/>
              <w:topLinePunct w:val="0"/>
              <w:autoSpaceDE/>
              <w:autoSpaceDN/>
              <w:bidi w:val="0"/>
              <w:adjustRightInd/>
              <w:snapToGrid/>
              <w:spacing w:line="300" w:lineRule="exact"/>
              <w:jc w:val="right"/>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w:t>
            </w:r>
          </w:p>
        </w:tc>
        <w:tc>
          <w:tcPr>
            <w:tcW w:w="680" w:type="dxa"/>
            <w:vAlign w:val="top"/>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cs="宋体"/>
                <w:i w:val="0"/>
                <w:color w:val="000000"/>
                <w:sz w:val="22"/>
                <w:szCs w:val="22"/>
                <w:u w:val="none"/>
                <w:lang w:val="en-US" w:eastAsia="zh-CN"/>
              </w:rPr>
            </w:pPr>
          </w:p>
        </w:tc>
        <w:tc>
          <w:tcPr>
            <w:tcW w:w="960"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768"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813" w:type="dxa"/>
            <w:vAlign w:val="center"/>
          </w:tcPr>
          <w:p>
            <w:pPr>
              <w:pStyle w:val="13"/>
            </w:pPr>
          </w:p>
        </w:tc>
        <w:tc>
          <w:tcPr>
            <w:tcW w:w="768" w:type="dxa"/>
            <w:vAlign w:val="center"/>
          </w:tcPr>
          <w:p>
            <w:pPr>
              <w:pStyle w:val="13"/>
            </w:pPr>
          </w:p>
        </w:tc>
        <w:tc>
          <w:tcPr>
            <w:tcW w:w="753" w:type="dxa"/>
            <w:vAlign w:val="center"/>
          </w:tcPr>
          <w:p>
            <w:pPr>
              <w:pStyle w:val="13"/>
            </w:pPr>
          </w:p>
        </w:tc>
        <w:tc>
          <w:tcPr>
            <w:tcW w:w="635" w:type="dxa"/>
            <w:vAlign w:val="center"/>
          </w:tcPr>
          <w:p>
            <w:pPr>
              <w:pStyle w:val="13"/>
            </w:pPr>
          </w:p>
        </w:tc>
        <w:tc>
          <w:tcPr>
            <w:tcW w:w="675" w:type="dxa"/>
            <w:vAlign w:val="center"/>
          </w:tcPr>
          <w:p>
            <w:pPr>
              <w:pStyle w:val="13"/>
            </w:pPr>
          </w:p>
        </w:tc>
        <w:tc>
          <w:tcPr>
            <w:tcW w:w="666" w:type="dxa"/>
            <w:vAlign w:val="center"/>
          </w:tcPr>
          <w:p>
            <w:pPr>
              <w:pStyle w:val="13"/>
            </w:pPr>
          </w:p>
        </w:tc>
        <w:tc>
          <w:tcPr>
            <w:tcW w:w="805" w:type="dxa"/>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top"/>
              <w:rPr>
                <w:rFonts w:hint="eastAsia"/>
                <w:lang w:val="en-US" w:eastAsia="zh-CN"/>
              </w:rPr>
            </w:pPr>
            <w:r>
              <w:rPr>
                <w:rFonts w:hint="eastAsia" w:ascii="宋体" w:hAnsi="宋体" w:cs="宋体"/>
                <w:i w:val="0"/>
                <w:color w:val="000000"/>
                <w:kern w:val="0"/>
                <w:sz w:val="22"/>
                <w:szCs w:val="22"/>
                <w:u w:val="none"/>
                <w:lang w:val="en-US" w:eastAsia="zh-CN" w:bidi="ar"/>
              </w:rPr>
              <w:t>5.8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rPr>
          <w:rFonts w:ascii="黑体" w:hAnsi="黑体" w:eastAsia="黑体" w:cs="黑体"/>
          <w:color w:val="000000"/>
          <w:sz w:val="32"/>
        </w:rPr>
        <w:sectPr>
          <w:pgSz w:w="16840" w:h="11900" w:orient="landscape"/>
          <w:pgMar w:top="1531" w:right="1134" w:bottom="1361" w:left="1134" w:header="720" w:footer="720" w:gutter="0"/>
          <w:cols w:space="0" w:num="1"/>
          <w:rtlGutter w:val="0"/>
          <w:docGrid w:linePitch="0" w:charSpace="0"/>
        </w:sectPr>
      </w:pPr>
      <w:bookmarkStart w:id="14" w:name="_Toc_3_3_0000000016"/>
    </w:p>
    <w:p>
      <w:pPr>
        <w:spacing w:before="10" w:after="10" w:line="240" w:lineRule="auto"/>
        <w:ind w:firstLine="640"/>
        <w:jc w:val="left"/>
        <w:outlineLvl w:val="2"/>
      </w:pPr>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妇联（含所属单位）上年末固定资产金额为</w:t>
      </w:r>
      <w:r>
        <w:rPr>
          <w:rFonts w:hint="eastAsia" w:eastAsia="方正仿宋_GBK" w:cs="Times New Roman"/>
          <w:b w:val="0"/>
          <w:color w:val="000000"/>
          <w:sz w:val="28"/>
          <w:lang w:val="en-US" w:eastAsia="zh-CN"/>
        </w:rPr>
        <w:t>31.12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05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0"/>
        <w:gridCol w:w="3520"/>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3520" w:type="dxa"/>
            <w:tcBorders>
              <w:top w:val="single" w:color="FFFFFF" w:sz="6" w:space="0"/>
              <w:left w:val="single" w:color="FFFFFF" w:sz="6" w:space="0"/>
              <w:right w:val="single" w:color="FFFFFF" w:sz="6" w:space="0"/>
            </w:tcBorders>
            <w:vAlign w:val="center"/>
          </w:tcPr>
          <w:p>
            <w:pPr>
              <w:pStyle w:val="11"/>
            </w:pPr>
            <w:r>
              <w:t>713妇联</w:t>
            </w:r>
          </w:p>
        </w:tc>
        <w:tc>
          <w:tcPr>
            <w:tcW w:w="7040" w:type="dxa"/>
            <w:gridSpan w:val="2"/>
            <w:tcBorders>
              <w:top w:val="single" w:color="FFFFFF" w:sz="6" w:space="0"/>
              <w:left w:val="single" w:color="FFFFFF" w:sz="6" w:space="0"/>
              <w:right w:val="single" w:color="FFFFFF" w:sz="6" w:space="0"/>
            </w:tcBorders>
            <w:vAlign w:val="center"/>
          </w:tcPr>
          <w:p>
            <w:pPr>
              <w:pStyle w:val="9"/>
              <w:rPr>
                <w:rFonts w:hint="default" w:eastAsia="方正小标宋_GBK"/>
                <w:lang w:val="en-US" w:eastAsia="zh-CN"/>
              </w:rPr>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3520" w:type="dxa"/>
            <w:vAlign w:val="center"/>
          </w:tcPr>
          <w:p>
            <w:pPr>
              <w:pStyle w:val="12"/>
              <w:ind w:firstLine="0" w:firstLineChars="0"/>
              <w:rPr>
                <w:rFonts w:ascii="方正书宋_GBK" w:hAnsi="方正书宋_GBK" w:eastAsia="方正书宋_GBK" w:cs="方正书宋_GBK"/>
                <w:b/>
                <w:sz w:val="21"/>
                <w:szCs w:val="24"/>
                <w:lang w:val="en-US" w:eastAsia="uk-UA" w:bidi="ar-SA"/>
              </w:rPr>
            </w:pPr>
            <w:r>
              <w:t>项   目</w:t>
            </w:r>
          </w:p>
        </w:tc>
        <w:tc>
          <w:tcPr>
            <w:tcW w:w="3520" w:type="dxa"/>
            <w:vAlign w:val="center"/>
          </w:tcPr>
          <w:p>
            <w:pPr>
              <w:pStyle w:val="12"/>
              <w:ind w:firstLine="0" w:firstLineChars="0"/>
              <w:rPr>
                <w:rFonts w:ascii="方正书宋_GBK" w:hAnsi="方正书宋_GBK" w:eastAsia="方正书宋_GBK" w:cs="方正书宋_GBK"/>
                <w:b/>
                <w:sz w:val="21"/>
                <w:szCs w:val="24"/>
                <w:lang w:val="en-US" w:eastAsia="uk-UA" w:bidi="ar-SA"/>
              </w:rPr>
            </w:pPr>
            <w:r>
              <w:t>数量</w:t>
            </w:r>
          </w:p>
        </w:tc>
        <w:tc>
          <w:tcPr>
            <w:tcW w:w="3520" w:type="dxa"/>
            <w:vAlign w:val="center"/>
          </w:tcPr>
          <w:p>
            <w:pPr>
              <w:pStyle w:val="12"/>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3520" w:type="dxa"/>
            <w:vAlign w:val="center"/>
          </w:tcPr>
          <w:p>
            <w:pPr>
              <w:keepNext w:val="0"/>
              <w:keepLines w:val="0"/>
              <w:pageBreakBefore w:val="0"/>
              <w:widowControl/>
              <w:kinsoku/>
              <w:wordWrap/>
              <w:overflowPunct/>
              <w:topLinePunct w:val="0"/>
              <w:bidi w:val="0"/>
              <w:snapToGrid/>
              <w:spacing w:beforeAutospacing="0" w:afterAutospacing="0" w:line="560" w:lineRule="exact"/>
              <w:jc w:val="center"/>
              <w:textAlignment w:val="auto"/>
              <w:rPr>
                <w:rFonts w:ascii="Times New Roman" w:hAnsi="Times New Roman" w:eastAsia="Times New Roman" w:cs="Times New Roman"/>
                <w:sz w:val="24"/>
                <w:szCs w:val="24"/>
                <w:lang w:val="en-US" w:eastAsia="uk-UA" w:bidi="ar-SA"/>
              </w:rPr>
            </w:pPr>
            <w:r>
              <w:rPr>
                <w:rFonts w:hint="eastAsia" w:ascii="宋体" w:hAnsi="宋体" w:eastAsia="方正仿宋简体" w:cs="宋体"/>
                <w:b w:val="0"/>
                <w:kern w:val="0"/>
                <w:sz w:val="24"/>
                <w:szCs w:val="24"/>
              </w:rPr>
              <w:t>资产总额</w:t>
            </w:r>
          </w:p>
        </w:tc>
        <w:tc>
          <w:tcPr>
            <w:tcW w:w="3520" w:type="dxa"/>
            <w:vAlign w:val="center"/>
          </w:tcPr>
          <w:p>
            <w:pPr>
              <w:keepNext w:val="0"/>
              <w:keepLines w:val="0"/>
              <w:pageBreakBefore w:val="0"/>
              <w:widowControl/>
              <w:kinsoku/>
              <w:wordWrap/>
              <w:overflowPunct/>
              <w:topLinePunct w:val="0"/>
              <w:bidi w:val="0"/>
              <w:snapToGrid/>
              <w:spacing w:beforeAutospacing="0" w:afterAutospacing="0" w:line="560" w:lineRule="exact"/>
              <w:jc w:val="center"/>
              <w:textAlignment w:val="auto"/>
              <w:rPr>
                <w:rFonts w:hint="default" w:ascii="Times New Roman" w:hAnsi="Times New Roman" w:eastAsia="宋体" w:cs="Times New Roman"/>
                <w:sz w:val="24"/>
                <w:szCs w:val="24"/>
                <w:lang w:val="en-US" w:eastAsia="zh-CN" w:bidi="ar-SA"/>
              </w:rPr>
            </w:pPr>
            <w:r>
              <w:rPr>
                <w:rFonts w:hint="eastAsia" w:ascii="宋体" w:hAnsi="宋体" w:eastAsia="方正仿宋简体" w:cs="宋体"/>
                <w:b w:val="0"/>
                <w:kern w:val="0"/>
                <w:sz w:val="24"/>
                <w:szCs w:val="24"/>
                <w:lang w:val="en-US" w:eastAsia="zh-CN"/>
              </w:rPr>
              <w:t>200</w:t>
            </w:r>
          </w:p>
        </w:tc>
        <w:tc>
          <w:tcPr>
            <w:tcW w:w="3520" w:type="dxa"/>
            <w:vAlign w:val="center"/>
          </w:tcPr>
          <w:p>
            <w:pPr>
              <w:keepNext w:val="0"/>
              <w:keepLines w:val="0"/>
              <w:pageBreakBefore w:val="0"/>
              <w:widowControl/>
              <w:kinsoku/>
              <w:wordWrap/>
              <w:overflowPunct/>
              <w:topLinePunct w:val="0"/>
              <w:bidi w:val="0"/>
              <w:snapToGrid/>
              <w:spacing w:beforeAutospacing="0" w:afterAutospacing="0" w:line="560" w:lineRule="exact"/>
              <w:jc w:val="center"/>
              <w:textAlignment w:val="auto"/>
              <w:rPr>
                <w:rFonts w:hint="default" w:ascii="Times New Roman" w:hAnsi="Times New Roman" w:eastAsia="Times New Roman" w:cs="Times New Roman"/>
                <w:sz w:val="24"/>
                <w:szCs w:val="24"/>
                <w:lang w:val="en-US" w:eastAsia="uk-UA" w:bidi="ar-SA"/>
              </w:rPr>
            </w:pPr>
            <w:r>
              <w:rPr>
                <w:rFonts w:hint="eastAsia" w:ascii="宋体" w:hAnsi="宋体" w:eastAsia="方正仿宋简体" w:cs="宋体"/>
                <w:b w:val="0"/>
                <w:kern w:val="0"/>
                <w:sz w:val="24"/>
                <w:szCs w:val="24"/>
                <w:lang w:val="en-US" w:eastAsia="zh-CN"/>
              </w:rPr>
              <w:t>31.12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3520" w:type="dxa"/>
            <w:vAlign w:val="center"/>
          </w:tcPr>
          <w:p>
            <w:pPr>
              <w:pStyle w:val="12"/>
              <w:jc w:val="left"/>
              <w:rPr>
                <w:rFonts w:hint="default" w:eastAsia="方正书宋_GBK"/>
                <w:b w:val="0"/>
                <w:bCs/>
                <w:lang w:val="en-US" w:eastAsia="zh-CN"/>
              </w:rPr>
            </w:pPr>
            <w:r>
              <w:rPr>
                <w:rFonts w:hint="eastAsia"/>
                <w:b w:val="0"/>
                <w:bCs/>
                <w:lang w:val="en-US" w:eastAsia="zh-CN"/>
              </w:rPr>
              <w:t>1.房屋（平方米）</w:t>
            </w:r>
          </w:p>
        </w:tc>
        <w:tc>
          <w:tcPr>
            <w:tcW w:w="3520" w:type="dxa"/>
            <w:vAlign w:val="center"/>
          </w:tcPr>
          <w:p>
            <w:pPr>
              <w:pStyle w:val="12"/>
              <w:rPr>
                <w:rFonts w:hint="eastAsia" w:eastAsia="方正书宋_GBK"/>
                <w:b w:val="0"/>
                <w:bCs/>
                <w:lang w:val="en-US" w:eastAsia="zh-CN"/>
              </w:rPr>
            </w:pPr>
            <w:r>
              <w:rPr>
                <w:rFonts w:hint="eastAsia"/>
                <w:b w:val="0"/>
                <w:bCs/>
                <w:lang w:val="en-US" w:eastAsia="zh-CN"/>
              </w:rPr>
              <w:t>0</w:t>
            </w:r>
          </w:p>
        </w:tc>
        <w:tc>
          <w:tcPr>
            <w:tcW w:w="3520" w:type="dxa"/>
            <w:vAlign w:val="center"/>
          </w:tcPr>
          <w:p>
            <w:pPr>
              <w:pStyle w:val="12"/>
              <w:rPr>
                <w:rFonts w:hint="eastAsia" w:eastAsia="方正书宋_GBK"/>
                <w:b w:val="0"/>
                <w:bCs/>
                <w:lang w:val="en-US" w:eastAsia="zh-CN"/>
              </w:rPr>
            </w:pPr>
            <w:r>
              <w:rPr>
                <w:rFonts w:hint="eastAsia"/>
                <w:b w:val="0"/>
                <w:bCs/>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3520" w:type="dxa"/>
            <w:vAlign w:val="center"/>
          </w:tcPr>
          <w:p>
            <w:pPr>
              <w:pStyle w:val="12"/>
              <w:jc w:val="left"/>
              <w:rPr>
                <w:rFonts w:hint="default" w:eastAsia="方正书宋_GBK"/>
                <w:b w:val="0"/>
                <w:bCs/>
                <w:lang w:val="en-US" w:eastAsia="zh-CN"/>
              </w:rPr>
            </w:pPr>
            <w:r>
              <w:rPr>
                <w:rFonts w:hint="eastAsia"/>
                <w:b w:val="0"/>
                <w:bCs/>
                <w:lang w:val="en-US" w:eastAsia="zh-CN"/>
              </w:rPr>
              <w:t>其中：办公用房（平方米）</w:t>
            </w:r>
          </w:p>
        </w:tc>
        <w:tc>
          <w:tcPr>
            <w:tcW w:w="3520" w:type="dxa"/>
            <w:vAlign w:val="center"/>
          </w:tcPr>
          <w:p>
            <w:pPr>
              <w:pStyle w:val="12"/>
              <w:rPr>
                <w:rFonts w:hint="eastAsia" w:eastAsia="方正书宋_GBK"/>
                <w:b w:val="0"/>
                <w:bCs/>
                <w:lang w:val="en-US" w:eastAsia="zh-CN"/>
              </w:rPr>
            </w:pPr>
            <w:r>
              <w:rPr>
                <w:rFonts w:hint="eastAsia"/>
                <w:b w:val="0"/>
                <w:bCs/>
                <w:lang w:val="en-US" w:eastAsia="zh-CN"/>
              </w:rPr>
              <w:t>0</w:t>
            </w:r>
          </w:p>
        </w:tc>
        <w:tc>
          <w:tcPr>
            <w:tcW w:w="3520" w:type="dxa"/>
            <w:vAlign w:val="center"/>
          </w:tcPr>
          <w:p>
            <w:pPr>
              <w:pStyle w:val="12"/>
              <w:rPr>
                <w:rFonts w:hint="eastAsia" w:eastAsia="方正书宋_GBK"/>
                <w:b w:val="0"/>
                <w:bCs/>
                <w:lang w:val="en-US" w:eastAsia="zh-CN"/>
              </w:rPr>
            </w:pPr>
            <w:r>
              <w:rPr>
                <w:rFonts w:hint="eastAsia"/>
                <w:b w:val="0"/>
                <w:bCs/>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3520" w:type="dxa"/>
            <w:vAlign w:val="center"/>
          </w:tcPr>
          <w:p>
            <w:pPr>
              <w:pStyle w:val="12"/>
              <w:jc w:val="left"/>
              <w:rPr>
                <w:rFonts w:hint="default" w:eastAsia="方正书宋_GBK"/>
                <w:b w:val="0"/>
                <w:bCs/>
                <w:lang w:val="en-US" w:eastAsia="zh-CN"/>
              </w:rPr>
            </w:pPr>
            <w:r>
              <w:rPr>
                <w:rFonts w:hint="eastAsia"/>
                <w:b w:val="0"/>
                <w:bCs/>
                <w:lang w:val="en-US" w:eastAsia="zh-CN"/>
              </w:rPr>
              <w:t>2.车辆（台、辆）</w:t>
            </w:r>
          </w:p>
        </w:tc>
        <w:tc>
          <w:tcPr>
            <w:tcW w:w="3520" w:type="dxa"/>
            <w:vAlign w:val="center"/>
          </w:tcPr>
          <w:p>
            <w:pPr>
              <w:pStyle w:val="12"/>
              <w:rPr>
                <w:rFonts w:hint="eastAsia" w:eastAsia="方正书宋_GBK"/>
                <w:b w:val="0"/>
                <w:bCs/>
                <w:lang w:val="en-US" w:eastAsia="zh-CN"/>
              </w:rPr>
            </w:pPr>
            <w:r>
              <w:rPr>
                <w:rFonts w:hint="eastAsia"/>
                <w:b w:val="0"/>
                <w:bCs/>
                <w:lang w:val="en-US" w:eastAsia="zh-CN"/>
              </w:rPr>
              <w:t>1</w:t>
            </w:r>
          </w:p>
        </w:tc>
        <w:tc>
          <w:tcPr>
            <w:tcW w:w="3520" w:type="dxa"/>
            <w:vAlign w:val="center"/>
          </w:tcPr>
          <w:p>
            <w:pPr>
              <w:pStyle w:val="12"/>
              <w:rPr>
                <w:rFonts w:hint="default" w:eastAsia="方正书宋_GBK"/>
                <w:b w:val="0"/>
                <w:bCs/>
                <w:lang w:val="en-US" w:eastAsia="zh-CN"/>
              </w:rPr>
            </w:pPr>
            <w:r>
              <w:rPr>
                <w:rFonts w:hint="eastAsia"/>
                <w:b w:val="0"/>
                <w:bCs/>
                <w:lang w:val="en-US" w:eastAsia="zh-CN"/>
              </w:rP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3520" w:type="dxa"/>
            <w:vAlign w:val="center"/>
          </w:tcPr>
          <w:p>
            <w:pPr>
              <w:pStyle w:val="12"/>
              <w:jc w:val="left"/>
              <w:rPr>
                <w:rFonts w:hint="default" w:eastAsia="方正书宋_GBK"/>
                <w:b w:val="0"/>
                <w:bCs/>
                <w:lang w:val="en-US" w:eastAsia="zh-CN"/>
              </w:rPr>
            </w:pPr>
            <w:r>
              <w:rPr>
                <w:rFonts w:hint="eastAsia"/>
                <w:b w:val="0"/>
                <w:bCs/>
                <w:lang w:val="en-US" w:eastAsia="zh-CN"/>
              </w:rPr>
              <w:t>3.单价在20万元以上的设备</w:t>
            </w:r>
          </w:p>
        </w:tc>
        <w:tc>
          <w:tcPr>
            <w:tcW w:w="3520" w:type="dxa"/>
            <w:vAlign w:val="center"/>
          </w:tcPr>
          <w:p>
            <w:pPr>
              <w:pStyle w:val="12"/>
              <w:rPr>
                <w:rFonts w:hint="eastAsia" w:eastAsia="方正书宋_GBK"/>
                <w:b w:val="0"/>
                <w:bCs/>
                <w:lang w:val="en-US" w:eastAsia="zh-CN"/>
              </w:rPr>
            </w:pPr>
            <w:r>
              <w:rPr>
                <w:rFonts w:hint="eastAsia"/>
                <w:b w:val="0"/>
                <w:bCs/>
                <w:lang w:val="en-US" w:eastAsia="zh-CN"/>
              </w:rPr>
              <w:t>0</w:t>
            </w:r>
          </w:p>
        </w:tc>
        <w:tc>
          <w:tcPr>
            <w:tcW w:w="3520" w:type="dxa"/>
            <w:vAlign w:val="center"/>
          </w:tcPr>
          <w:p>
            <w:pPr>
              <w:pStyle w:val="12"/>
              <w:rPr>
                <w:rFonts w:hint="eastAsia" w:eastAsia="方正书宋_GBK"/>
                <w:b w:val="0"/>
                <w:bCs/>
                <w:lang w:val="en-US" w:eastAsia="zh-CN"/>
              </w:rPr>
            </w:pPr>
            <w:r>
              <w:rPr>
                <w:rFonts w:hint="eastAsia"/>
                <w:b w:val="0"/>
                <w:bCs/>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3520" w:type="dxa"/>
            <w:vAlign w:val="center"/>
          </w:tcPr>
          <w:p>
            <w:pPr>
              <w:pStyle w:val="12"/>
              <w:jc w:val="left"/>
              <w:rPr>
                <w:rFonts w:hint="default" w:eastAsia="方正书宋_GBK"/>
                <w:b w:val="0"/>
                <w:bCs/>
                <w:lang w:val="en-US" w:eastAsia="zh-CN"/>
              </w:rPr>
            </w:pPr>
            <w:r>
              <w:rPr>
                <w:rFonts w:hint="eastAsia"/>
                <w:b w:val="0"/>
                <w:bCs/>
                <w:lang w:val="en-US" w:eastAsia="zh-CN"/>
              </w:rPr>
              <w:t>4.其他固定资产</w:t>
            </w:r>
          </w:p>
        </w:tc>
        <w:tc>
          <w:tcPr>
            <w:tcW w:w="3520" w:type="dxa"/>
            <w:vAlign w:val="center"/>
          </w:tcPr>
          <w:p>
            <w:pPr>
              <w:pStyle w:val="12"/>
              <w:rPr>
                <w:rFonts w:hint="default" w:eastAsia="方正书宋_GBK"/>
                <w:b w:val="0"/>
                <w:bCs/>
                <w:lang w:val="en-US" w:eastAsia="zh-CN"/>
              </w:rPr>
            </w:pPr>
            <w:r>
              <w:rPr>
                <w:rFonts w:hint="eastAsia"/>
                <w:b w:val="0"/>
                <w:bCs/>
                <w:lang w:val="en-US" w:eastAsia="zh-CN"/>
              </w:rPr>
              <w:t>199</w:t>
            </w:r>
          </w:p>
        </w:tc>
        <w:tc>
          <w:tcPr>
            <w:tcW w:w="3520" w:type="dxa"/>
            <w:vAlign w:val="center"/>
          </w:tcPr>
          <w:p>
            <w:pPr>
              <w:pStyle w:val="12"/>
              <w:rPr>
                <w:rFonts w:hint="default" w:eastAsia="方正书宋_GBK"/>
                <w:b w:val="0"/>
                <w:bCs/>
                <w:lang w:val="en-US" w:eastAsia="zh-CN"/>
              </w:rPr>
            </w:pPr>
            <w:r>
              <w:rPr>
                <w:rFonts w:hint="eastAsia"/>
                <w:b w:val="0"/>
                <w:bCs/>
                <w:lang w:val="en-US" w:eastAsia="zh-CN"/>
              </w:rPr>
              <w:t>20.64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1900" w:h="16840"/>
      <w:pgMar w:top="1134" w:right="1361" w:bottom="1134" w:left="1531"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DBhMzk4NTI3MzQ5YzJjYWQ1NDdmY2NjMDY0MTQifQ=="/>
  </w:docVars>
  <w:rsids>
    <w:rsidRoot w:val="00000000"/>
    <w:rsid w:val="02681BC6"/>
    <w:rsid w:val="05322876"/>
    <w:rsid w:val="098B06E6"/>
    <w:rsid w:val="198E16FB"/>
    <w:rsid w:val="1C4D727A"/>
    <w:rsid w:val="1FEC28FD"/>
    <w:rsid w:val="257D4C7B"/>
    <w:rsid w:val="3DB04791"/>
    <w:rsid w:val="58D47037"/>
    <w:rsid w:val="5CC9632C"/>
    <w:rsid w:val="5DEB636A"/>
    <w:rsid w:val="637E6FCD"/>
    <w:rsid w:val="683F7F79"/>
    <w:rsid w:val="6945109C"/>
    <w:rsid w:val="7CD65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8">
    <w:name w:val="font01"/>
    <w:basedOn w:val="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2022-03-02T11:23:41Z</dcterms:created>
  <dcterms:modified xsi:type="dcterms:W3CDTF">2022-03-02T03:23:41Z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2022-03-02T11:23:42Z</dcterms:created>
  <dcterms:modified xsi:type="dcterms:W3CDTF">2022-03-02T03:23:42Z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2022-03-02T11:23:38Z</dcterms:created>
  <dcterms:modified xsi:type="dcterms:W3CDTF">2022-03-02T03:23:38Z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2022-03-02T11:23:39Z</dcterms:created>
  <dcterms:modified xsi:type="dcterms:W3CDTF">2022-03-02T03:23:39Z</dcterms:modified>
</cp:coreProperties>
</file>

<file path=customXml/itemProps1.xml><?xml version="1.0" encoding="utf-8"?>
<ds:datastoreItem xmlns:ds="http://schemas.openxmlformats.org/officeDocument/2006/customXml" ds:itemID="{2368e927-c102-47dc-84be-241617123f64}">
  <ds:schemaRefs/>
</ds:datastoreItem>
</file>

<file path=customXml/itemProps10.xml><?xml version="1.0" encoding="utf-8"?>
<ds:datastoreItem xmlns:ds="http://schemas.openxmlformats.org/officeDocument/2006/customXml" ds:itemID="{531718dd-526a-4166-b49a-8dd56b92f51c}">
  <ds:schemaRefs/>
</ds:datastoreItem>
</file>

<file path=customXml/itemProps11.xml><?xml version="1.0" encoding="utf-8"?>
<ds:datastoreItem xmlns:ds="http://schemas.openxmlformats.org/officeDocument/2006/customXml" ds:itemID="{0ef5773d-5e7f-4e23-a8e7-0d26eccde08a}">
  <ds:schemaRefs/>
</ds:datastoreItem>
</file>

<file path=customXml/itemProps12.xml><?xml version="1.0" encoding="utf-8"?>
<ds:datastoreItem xmlns:ds="http://schemas.openxmlformats.org/officeDocument/2006/customXml" ds:itemID="{04db0a28-2bb6-4b7d-9fdd-66434e7b9628}">
  <ds:schemaRefs/>
</ds:datastoreItem>
</file>

<file path=customXml/itemProps13.xml><?xml version="1.0" encoding="utf-8"?>
<ds:datastoreItem xmlns:ds="http://schemas.openxmlformats.org/officeDocument/2006/customXml" ds:itemID="{9f88b58d-f25c-4f17-97a0-acded15a8d2d}">
  <ds:schemaRefs/>
</ds:datastoreItem>
</file>

<file path=customXml/itemProps14.xml><?xml version="1.0" encoding="utf-8"?>
<ds:datastoreItem xmlns:ds="http://schemas.openxmlformats.org/officeDocument/2006/customXml" ds:itemID="{7a8a366a-c625-439c-9989-0e6a50a3c601}">
  <ds:schemaRefs/>
</ds:datastoreItem>
</file>

<file path=customXml/itemProps15.xml><?xml version="1.0" encoding="utf-8"?>
<ds:datastoreItem xmlns:ds="http://schemas.openxmlformats.org/officeDocument/2006/customXml" ds:itemID="{b9d4a6ae-ff4f-407c-a82c-9fb4cbdf7e5e}">
  <ds:schemaRefs/>
</ds:datastoreItem>
</file>

<file path=customXml/itemProps16.xml><?xml version="1.0" encoding="utf-8"?>
<ds:datastoreItem xmlns:ds="http://schemas.openxmlformats.org/officeDocument/2006/customXml" ds:itemID="{4f978426-7f3e-47ca-b6ab-0489ab52bd70}">
  <ds:schemaRefs/>
</ds:datastoreItem>
</file>

<file path=customXml/itemProps17.xml><?xml version="1.0" encoding="utf-8"?>
<ds:datastoreItem xmlns:ds="http://schemas.openxmlformats.org/officeDocument/2006/customXml" ds:itemID="{ce61afb5-eba7-4375-82b2-47c80e0a5b48}">
  <ds:schemaRefs/>
</ds:datastoreItem>
</file>

<file path=customXml/itemProps18.xml><?xml version="1.0" encoding="utf-8"?>
<ds:datastoreItem xmlns:ds="http://schemas.openxmlformats.org/officeDocument/2006/customXml" ds:itemID="{366086ba-266f-4628-87f3-7e915149aee1}">
  <ds:schemaRefs/>
</ds:datastoreItem>
</file>

<file path=customXml/itemProps19.xml><?xml version="1.0" encoding="utf-8"?>
<ds:datastoreItem xmlns:ds="http://schemas.openxmlformats.org/officeDocument/2006/customXml" ds:itemID="{0e32a7df-f900-48ca-9b09-77e88f55010b}">
  <ds:schemaRefs/>
</ds:datastoreItem>
</file>

<file path=customXml/itemProps2.xml><?xml version="1.0" encoding="utf-8"?>
<ds:datastoreItem xmlns:ds="http://schemas.openxmlformats.org/officeDocument/2006/customXml" ds:itemID="{f7987124-b290-496a-b29e-927aaf6b359f}">
  <ds:schemaRefs/>
</ds:datastoreItem>
</file>

<file path=customXml/itemProps20.xml><?xml version="1.0" encoding="utf-8"?>
<ds:datastoreItem xmlns:ds="http://schemas.openxmlformats.org/officeDocument/2006/customXml" ds:itemID="{15e91230-8f8a-47d9-b744-91bb80de59a9}">
  <ds:schemaRefs/>
</ds:datastoreItem>
</file>

<file path=customXml/itemProps21.xml><?xml version="1.0" encoding="utf-8"?>
<ds:datastoreItem xmlns:ds="http://schemas.openxmlformats.org/officeDocument/2006/customXml" ds:itemID="{80a6350d-0cb8-4e03-abaf-8c01eee19580}">
  <ds:schemaRefs/>
</ds:datastoreItem>
</file>

<file path=customXml/itemProps22.xml><?xml version="1.0" encoding="utf-8"?>
<ds:datastoreItem xmlns:ds="http://schemas.openxmlformats.org/officeDocument/2006/customXml" ds:itemID="{8efe741f-ca47-4693-b881-29ecbafcdc27}">
  <ds:schemaRefs/>
</ds:datastoreItem>
</file>

<file path=customXml/itemProps23.xml><?xml version="1.0" encoding="utf-8"?>
<ds:datastoreItem xmlns:ds="http://schemas.openxmlformats.org/officeDocument/2006/customXml" ds:itemID="{82a36605-3e89-43d4-ba4f-ec4bf53b05bc}">
  <ds:schemaRefs/>
</ds:datastoreItem>
</file>

<file path=customXml/itemProps24.xml><?xml version="1.0" encoding="utf-8"?>
<ds:datastoreItem xmlns:ds="http://schemas.openxmlformats.org/officeDocument/2006/customXml" ds:itemID="{ee12560a-c217-4756-8caa-b7d97c04468a}">
  <ds:schemaRefs/>
</ds:datastoreItem>
</file>

<file path=customXml/itemProps25.xml><?xml version="1.0" encoding="utf-8"?>
<ds:datastoreItem xmlns:ds="http://schemas.openxmlformats.org/officeDocument/2006/customXml" ds:itemID="{fd7bca74-964d-4845-85d4-6504f02fd7a7}">
  <ds:schemaRefs/>
</ds:datastoreItem>
</file>

<file path=customXml/itemProps26.xml><?xml version="1.0" encoding="utf-8"?>
<ds:datastoreItem xmlns:ds="http://schemas.openxmlformats.org/officeDocument/2006/customXml" ds:itemID="{52218796-223f-4ace-9a10-169c3c84c08c}">
  <ds:schemaRefs/>
</ds:datastoreItem>
</file>

<file path=customXml/itemProps3.xml><?xml version="1.0" encoding="utf-8"?>
<ds:datastoreItem xmlns:ds="http://schemas.openxmlformats.org/officeDocument/2006/customXml" ds:itemID="{018d2dac-2f71-4ce1-bee9-7944856c87f4}">
  <ds:schemaRefs/>
</ds:datastoreItem>
</file>

<file path=customXml/itemProps4.xml><?xml version="1.0" encoding="utf-8"?>
<ds:datastoreItem xmlns:ds="http://schemas.openxmlformats.org/officeDocument/2006/customXml" ds:itemID="{821c1b38-c6fa-4032-be5f-1be900184c0b}">
  <ds:schemaRefs/>
</ds:datastoreItem>
</file>

<file path=customXml/itemProps5.xml><?xml version="1.0" encoding="utf-8"?>
<ds:datastoreItem xmlns:ds="http://schemas.openxmlformats.org/officeDocument/2006/customXml" ds:itemID="{c1d6f37d-f20e-4097-b9cd-aba4bfed1096}">
  <ds:schemaRefs/>
</ds:datastoreItem>
</file>

<file path=customXml/itemProps6.xml><?xml version="1.0" encoding="utf-8"?>
<ds:datastoreItem xmlns:ds="http://schemas.openxmlformats.org/officeDocument/2006/customXml" ds:itemID="{cef68907-434f-4c0a-a250-bbdd17de2d82}">
  <ds:schemaRefs/>
</ds:datastoreItem>
</file>

<file path=customXml/itemProps7.xml><?xml version="1.0" encoding="utf-8"?>
<ds:datastoreItem xmlns:ds="http://schemas.openxmlformats.org/officeDocument/2006/customXml" ds:itemID="{c1cf0ec4-ab40-4356-ae4e-483755999456}">
  <ds:schemaRefs/>
</ds:datastoreItem>
</file>

<file path=customXml/itemProps8.xml><?xml version="1.0" encoding="utf-8"?>
<ds:datastoreItem xmlns:ds="http://schemas.openxmlformats.org/officeDocument/2006/customXml" ds:itemID="{70a3c233-1e3f-4c9f-8eb6-1bbcec74ddc6}">
  <ds:schemaRefs/>
</ds:datastoreItem>
</file>

<file path=customXml/itemProps9.xml><?xml version="1.0" encoding="utf-8"?>
<ds:datastoreItem xmlns:ds="http://schemas.openxmlformats.org/officeDocument/2006/customXml" ds:itemID="{595d29f7-5069-4cc8-905d-ddc320add2d1}">
  <ds:schemaRefs/>
</ds:datastoreItem>
</file>

<file path=docProps/app.xml><?xml version="1.0" encoding="utf-8"?>
<Properties xmlns="http://schemas.openxmlformats.org/officeDocument/2006/extended-properties" xmlns:vt="http://schemas.openxmlformats.org/officeDocument/2006/docPropsVTypes">
  <Pages>27</Pages>
  <Words>9417</Words>
  <Characters>12052</Characters>
  <TotalTime>1</TotalTime>
  <ScaleCrop>false</ScaleCrop>
  <LinksUpToDate>false</LinksUpToDate>
  <CharactersWithSpaces>12170</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2022-03-02T11:23:00Z</dcterms:created>
  <dc:creator>admin</dc:creator>
  <cp:lastModifiedBy>admin</cp:lastModifiedBy>
  <cp:lastPrinted>2022-03-03T06:25:00Z</cp:lastPrinted>
  <dcterms:modified xsi:type="dcterms:W3CDTF">2024-03-18T01:06:26Z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2C86A7A88B43477CA2D80CB3AA232BF0_13</vt:lpwstr>
  </property>
</Properties>
</file>