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imes New Roman" w:hAnsi="Times New Roman" w:eastAsia="Times New Roman" w:cs="Times New Roman"/>
          <w:kern w:val="0"/>
          <w:sz w:val="24"/>
          <w:szCs w:val="24"/>
          <w:lang w:val="en-US" w:eastAsia="uk-UA" w:bidi="ar-SA"/>
        </w:rPr>
      </w:pPr>
    </w:p>
    <w:p>
      <w:pPr>
        <w:bidi w:val="0"/>
        <w:rPr>
          <w:lang w:val="en-US" w:eastAsia="uk-UA"/>
        </w:rP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部门所属单位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17"/>
        <w:tabs>
          <w:tab w:val="right" w:leader="dot" w:pos="14562"/>
        </w:tabs>
        <w:rPr>
          <w:rFonts w:hint="eastAsia" w:eastAsia="方正仿宋_GBK"/>
          <w:lang w:val="en-US" w:eastAsia="zh-CN"/>
        </w:rPr>
      </w:pPr>
      <w:r>
        <w:rPr>
          <w:rFonts w:hint="eastAsia"/>
          <w:lang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fldChar w:fldCharType="end"/>
      </w:r>
      <w:r>
        <w:rPr>
          <w:rFonts w:hint="eastAsia"/>
          <w:lang w:val="en-US" w:eastAsia="zh-CN"/>
        </w:rPr>
        <w:t>3</w:t>
      </w:r>
    </w:p>
    <w:p>
      <w:pPr>
        <w:pStyle w:val="17"/>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"_Toc_2_2_0000000002" </w:instrText>
      </w:r>
      <w:r>
        <w:fldChar w:fldCharType="separate"/>
      </w:r>
      <w:r>
        <w:t>预算收入总表</w:t>
      </w:r>
      <w:r>
        <w:tab/>
      </w:r>
      <w:r>
        <w:fldChar w:fldCharType="end"/>
      </w:r>
      <w:r>
        <w:rPr>
          <w:rFonts w:hint="eastAsia"/>
          <w:lang w:val="en-US" w:eastAsia="zh-CN"/>
        </w:rPr>
        <w:t>5</w:t>
      </w:r>
    </w:p>
    <w:p>
      <w:pPr>
        <w:pStyle w:val="1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1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1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1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1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1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1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1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1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1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1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1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1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w:t>
      </w:r>
    </w:p>
    <w:p>
      <w:pPr>
        <w:pStyle w:val="1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4</w:t>
      </w:r>
    </w:p>
    <w:p>
      <w:pPr>
        <w:pStyle w:val="1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5</w:t>
      </w:r>
    </w:p>
    <w:p>
      <w:pPr>
        <w:pStyle w:val="1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6</w:t>
      </w:r>
    </w:p>
    <w:p>
      <w:r>
        <w:fldChar w:fldCharType="end"/>
      </w:r>
    </w:p>
    <w:p>
      <w:pPr>
        <w:bidi w:val="0"/>
        <w:rPr>
          <w:lang w:val="en-US" w:eastAsia="uk-UA"/>
        </w:rPr>
      </w:pPr>
    </w:p>
    <w:p>
      <w:pPr>
        <w:tabs>
          <w:tab w:val="left" w:pos="2465"/>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p>
    <w:p>
      <w:pPr>
        <w:jc w:val="center"/>
        <w:outlineLvl w:val="3"/>
      </w:pPr>
      <w:bookmarkStart w:id="0" w:name="_Toc_4_4_0000000019"/>
      <w:r>
        <w:rPr>
          <w:rFonts w:ascii="方正小标宋_GBK" w:hAnsi="方正小标宋_GBK" w:eastAsia="方正小标宋_GBK" w:cs="方正小标宋_GBK"/>
          <w:color w:val="000000"/>
          <w:sz w:val="44"/>
        </w:rPr>
        <w:t>一、乐亭县审计局收支预算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319002乐亭县审计局</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350.24</w:t>
            </w:r>
          </w:p>
        </w:tc>
        <w:tc>
          <w:tcPr>
            <w:tcW w:w="4535" w:type="dxa"/>
            <w:vAlign w:val="center"/>
          </w:tcPr>
          <w:p>
            <w:pPr>
              <w:pStyle w:val="9"/>
            </w:pPr>
            <w:r>
              <w:t>一、一般公共服务支出</w:t>
            </w:r>
          </w:p>
        </w:tc>
        <w:tc>
          <w:tcPr>
            <w:tcW w:w="2126" w:type="dxa"/>
            <w:vAlign w:val="center"/>
          </w:tcPr>
          <w:p>
            <w:pPr>
              <w:pStyle w:val="10"/>
            </w:pPr>
            <w:r>
              <w:t>269.41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350.24</w:t>
            </w:r>
          </w:p>
        </w:tc>
        <w:tc>
          <w:tcPr>
            <w:tcW w:w="4535" w:type="dxa"/>
            <w:vAlign w:val="center"/>
          </w:tcPr>
          <w:p>
            <w:pPr>
              <w:pStyle w:val="11"/>
            </w:pPr>
            <w:r>
              <w:t>本年支出合计</w:t>
            </w:r>
          </w:p>
        </w:tc>
        <w:tc>
          <w:tcPr>
            <w:tcW w:w="2126" w:type="dxa"/>
            <w:vAlign w:val="center"/>
          </w:tcPr>
          <w:p>
            <w:pPr>
              <w:pStyle w:val="12"/>
            </w:pPr>
            <w:r>
              <w:t>350.24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350.24</w:t>
            </w:r>
          </w:p>
        </w:tc>
        <w:tc>
          <w:tcPr>
            <w:tcW w:w="4535" w:type="dxa"/>
            <w:vAlign w:val="center"/>
          </w:tcPr>
          <w:p>
            <w:pPr>
              <w:pStyle w:val="11"/>
            </w:pPr>
            <w:r>
              <w:t>支出总计</w:t>
            </w:r>
          </w:p>
        </w:tc>
        <w:tc>
          <w:tcPr>
            <w:tcW w:w="2126" w:type="dxa"/>
            <w:vAlign w:val="center"/>
          </w:tcPr>
          <w:p>
            <w:pPr>
              <w:pStyle w:val="12"/>
            </w:pPr>
            <w:r>
              <w:t>350.24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319002乐亭县审计局</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350.24</w:t>
            </w:r>
          </w:p>
        </w:tc>
        <w:tc>
          <w:tcPr>
            <w:tcW w:w="1134" w:type="dxa"/>
            <w:vAlign w:val="center"/>
          </w:tcPr>
          <w:p>
            <w:pPr>
              <w:pStyle w:val="12"/>
            </w:pPr>
            <w:r>
              <w:t>350.24</w:t>
            </w:r>
          </w:p>
        </w:tc>
        <w:tc>
          <w:tcPr>
            <w:tcW w:w="1134" w:type="dxa"/>
            <w:vAlign w:val="center"/>
          </w:tcPr>
          <w:p>
            <w:pPr>
              <w:pStyle w:val="12"/>
            </w:pPr>
            <w:r>
              <w:t>350.24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269.41</w:t>
            </w:r>
          </w:p>
        </w:tc>
        <w:tc>
          <w:tcPr>
            <w:tcW w:w="1134" w:type="dxa"/>
            <w:vAlign w:val="center"/>
          </w:tcPr>
          <w:p>
            <w:pPr>
              <w:pStyle w:val="10"/>
            </w:pPr>
            <w:r>
              <w:t>269.41</w:t>
            </w:r>
          </w:p>
        </w:tc>
        <w:tc>
          <w:tcPr>
            <w:tcW w:w="1134" w:type="dxa"/>
            <w:vAlign w:val="center"/>
          </w:tcPr>
          <w:p>
            <w:pPr>
              <w:pStyle w:val="10"/>
            </w:pPr>
            <w:r>
              <w:t>269.41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20108</w:t>
            </w:r>
          </w:p>
        </w:tc>
        <w:tc>
          <w:tcPr>
            <w:tcW w:w="1559" w:type="dxa"/>
            <w:vAlign w:val="center"/>
          </w:tcPr>
          <w:p>
            <w:pPr>
              <w:pStyle w:val="9"/>
            </w:pPr>
            <w:r>
              <w:t>审计事务</w:t>
            </w:r>
          </w:p>
        </w:tc>
        <w:tc>
          <w:tcPr>
            <w:tcW w:w="1134" w:type="dxa"/>
            <w:vAlign w:val="center"/>
          </w:tcPr>
          <w:p>
            <w:pPr>
              <w:pStyle w:val="10"/>
            </w:pPr>
            <w:r>
              <w:t>254.41</w:t>
            </w:r>
          </w:p>
        </w:tc>
        <w:tc>
          <w:tcPr>
            <w:tcW w:w="1134" w:type="dxa"/>
            <w:vAlign w:val="center"/>
          </w:tcPr>
          <w:p>
            <w:pPr>
              <w:pStyle w:val="10"/>
            </w:pPr>
            <w:r>
              <w:t>254.41</w:t>
            </w:r>
          </w:p>
        </w:tc>
        <w:tc>
          <w:tcPr>
            <w:tcW w:w="1134" w:type="dxa"/>
            <w:vAlign w:val="center"/>
          </w:tcPr>
          <w:p>
            <w:pPr>
              <w:pStyle w:val="10"/>
            </w:pPr>
            <w:r>
              <w:t>254.41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2010801</w:t>
            </w:r>
          </w:p>
        </w:tc>
        <w:tc>
          <w:tcPr>
            <w:tcW w:w="1559" w:type="dxa"/>
            <w:vAlign w:val="center"/>
          </w:tcPr>
          <w:p>
            <w:pPr>
              <w:pStyle w:val="9"/>
            </w:pPr>
            <w:r>
              <w:t>行政运行</w:t>
            </w:r>
          </w:p>
        </w:tc>
        <w:tc>
          <w:tcPr>
            <w:tcW w:w="1134" w:type="dxa"/>
            <w:vAlign w:val="center"/>
          </w:tcPr>
          <w:p>
            <w:pPr>
              <w:pStyle w:val="10"/>
            </w:pPr>
            <w:r>
              <w:t>203.41</w:t>
            </w:r>
          </w:p>
        </w:tc>
        <w:tc>
          <w:tcPr>
            <w:tcW w:w="1134" w:type="dxa"/>
            <w:vAlign w:val="center"/>
          </w:tcPr>
          <w:p>
            <w:pPr>
              <w:pStyle w:val="10"/>
            </w:pPr>
            <w:r>
              <w:t>203.41</w:t>
            </w:r>
          </w:p>
        </w:tc>
        <w:tc>
          <w:tcPr>
            <w:tcW w:w="1134" w:type="dxa"/>
            <w:vAlign w:val="center"/>
          </w:tcPr>
          <w:p>
            <w:pPr>
              <w:pStyle w:val="10"/>
            </w:pPr>
            <w:r>
              <w:t>203.41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2010804</w:t>
            </w:r>
          </w:p>
        </w:tc>
        <w:tc>
          <w:tcPr>
            <w:tcW w:w="1559" w:type="dxa"/>
            <w:vAlign w:val="center"/>
          </w:tcPr>
          <w:p>
            <w:pPr>
              <w:pStyle w:val="9"/>
            </w:pPr>
            <w:r>
              <w:t>审计业务</w:t>
            </w:r>
          </w:p>
        </w:tc>
        <w:tc>
          <w:tcPr>
            <w:tcW w:w="1134" w:type="dxa"/>
            <w:vAlign w:val="center"/>
          </w:tcPr>
          <w:p>
            <w:pPr>
              <w:pStyle w:val="10"/>
            </w:pPr>
            <w:r>
              <w:t>51.00</w:t>
            </w:r>
          </w:p>
        </w:tc>
        <w:tc>
          <w:tcPr>
            <w:tcW w:w="1134" w:type="dxa"/>
            <w:vAlign w:val="center"/>
          </w:tcPr>
          <w:p>
            <w:pPr>
              <w:pStyle w:val="10"/>
            </w:pPr>
            <w:r>
              <w:t>51.00</w:t>
            </w:r>
          </w:p>
        </w:tc>
        <w:tc>
          <w:tcPr>
            <w:tcW w:w="1134" w:type="dxa"/>
            <w:vAlign w:val="center"/>
          </w:tcPr>
          <w:p>
            <w:pPr>
              <w:pStyle w:val="10"/>
            </w:pPr>
            <w:r>
              <w:t>51.00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20199</w:t>
            </w:r>
          </w:p>
        </w:tc>
        <w:tc>
          <w:tcPr>
            <w:tcW w:w="1559" w:type="dxa"/>
            <w:vAlign w:val="center"/>
          </w:tcPr>
          <w:p>
            <w:pPr>
              <w:pStyle w:val="9"/>
            </w:pPr>
            <w:r>
              <w:t>其他一般公共服务支出</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2019999</w:t>
            </w:r>
          </w:p>
        </w:tc>
        <w:tc>
          <w:tcPr>
            <w:tcW w:w="1559" w:type="dxa"/>
            <w:vAlign w:val="center"/>
          </w:tcPr>
          <w:p>
            <w:pPr>
              <w:pStyle w:val="9"/>
            </w:pPr>
            <w:r>
              <w:t>其他一般公共服务支出</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r>
              <w:t>29.29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29.57</w:t>
            </w:r>
          </w:p>
        </w:tc>
        <w:tc>
          <w:tcPr>
            <w:tcW w:w="1134" w:type="dxa"/>
            <w:vAlign w:val="center"/>
          </w:tcPr>
          <w:p>
            <w:pPr>
              <w:pStyle w:val="10"/>
            </w:pPr>
            <w:r>
              <w:t>29.57</w:t>
            </w:r>
          </w:p>
        </w:tc>
        <w:tc>
          <w:tcPr>
            <w:tcW w:w="1134" w:type="dxa"/>
            <w:vAlign w:val="center"/>
          </w:tcPr>
          <w:p>
            <w:pPr>
              <w:pStyle w:val="10"/>
            </w:pPr>
            <w:r>
              <w:t>29.57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29.57</w:t>
            </w:r>
          </w:p>
        </w:tc>
        <w:tc>
          <w:tcPr>
            <w:tcW w:w="1134" w:type="dxa"/>
            <w:vAlign w:val="center"/>
          </w:tcPr>
          <w:p>
            <w:pPr>
              <w:pStyle w:val="10"/>
            </w:pPr>
            <w:r>
              <w:t>29.57</w:t>
            </w:r>
          </w:p>
        </w:tc>
        <w:tc>
          <w:tcPr>
            <w:tcW w:w="1134" w:type="dxa"/>
            <w:vAlign w:val="center"/>
          </w:tcPr>
          <w:p>
            <w:pPr>
              <w:pStyle w:val="10"/>
            </w:pPr>
            <w:r>
              <w:t>29.57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13.82</w:t>
            </w:r>
          </w:p>
        </w:tc>
        <w:tc>
          <w:tcPr>
            <w:tcW w:w="1134" w:type="dxa"/>
            <w:vAlign w:val="center"/>
          </w:tcPr>
          <w:p>
            <w:pPr>
              <w:pStyle w:val="10"/>
            </w:pPr>
            <w:r>
              <w:t>13.82</w:t>
            </w:r>
          </w:p>
        </w:tc>
        <w:tc>
          <w:tcPr>
            <w:tcW w:w="1134" w:type="dxa"/>
            <w:vAlign w:val="center"/>
          </w:tcPr>
          <w:p>
            <w:pPr>
              <w:pStyle w:val="10"/>
            </w:pPr>
            <w:r>
              <w:t>13.82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15.75</w:t>
            </w:r>
          </w:p>
        </w:tc>
        <w:tc>
          <w:tcPr>
            <w:tcW w:w="1134" w:type="dxa"/>
            <w:vAlign w:val="center"/>
          </w:tcPr>
          <w:p>
            <w:pPr>
              <w:pStyle w:val="10"/>
            </w:pPr>
            <w:r>
              <w:t>15.75</w:t>
            </w:r>
          </w:p>
        </w:tc>
        <w:tc>
          <w:tcPr>
            <w:tcW w:w="1134" w:type="dxa"/>
            <w:vAlign w:val="center"/>
          </w:tcPr>
          <w:p>
            <w:pPr>
              <w:pStyle w:val="10"/>
            </w:pPr>
            <w:r>
              <w:t>15.75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r>
              <w:t>21.97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350.24</w:t>
            </w:r>
          </w:p>
        </w:tc>
        <w:tc>
          <w:tcPr>
            <w:tcW w:w="1361" w:type="dxa"/>
            <w:vAlign w:val="center"/>
          </w:tcPr>
          <w:p>
            <w:pPr>
              <w:pStyle w:val="12"/>
            </w:pPr>
            <w:r>
              <w:t>284.24</w:t>
            </w:r>
          </w:p>
        </w:tc>
        <w:tc>
          <w:tcPr>
            <w:tcW w:w="1361" w:type="dxa"/>
            <w:vAlign w:val="center"/>
          </w:tcPr>
          <w:p>
            <w:pPr>
              <w:pStyle w:val="12"/>
            </w:pPr>
            <w:r>
              <w:t>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269.41</w:t>
            </w:r>
          </w:p>
        </w:tc>
        <w:tc>
          <w:tcPr>
            <w:tcW w:w="1361" w:type="dxa"/>
            <w:vAlign w:val="center"/>
          </w:tcPr>
          <w:p>
            <w:pPr>
              <w:pStyle w:val="10"/>
            </w:pPr>
            <w:r>
              <w:t>203.41</w:t>
            </w:r>
          </w:p>
        </w:tc>
        <w:tc>
          <w:tcPr>
            <w:tcW w:w="1361" w:type="dxa"/>
            <w:vAlign w:val="center"/>
          </w:tcPr>
          <w:p>
            <w:pPr>
              <w:pStyle w:val="10"/>
            </w:pPr>
            <w:r>
              <w:t>66.00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20108</w:t>
            </w:r>
          </w:p>
        </w:tc>
        <w:tc>
          <w:tcPr>
            <w:tcW w:w="4535" w:type="dxa"/>
            <w:vAlign w:val="center"/>
          </w:tcPr>
          <w:p>
            <w:pPr>
              <w:pStyle w:val="9"/>
            </w:pPr>
            <w:r>
              <w:t>审计事务</w:t>
            </w:r>
          </w:p>
        </w:tc>
        <w:tc>
          <w:tcPr>
            <w:tcW w:w="1361" w:type="dxa"/>
            <w:vAlign w:val="center"/>
          </w:tcPr>
          <w:p>
            <w:pPr>
              <w:pStyle w:val="10"/>
            </w:pPr>
            <w:r>
              <w:t>254.41</w:t>
            </w:r>
          </w:p>
        </w:tc>
        <w:tc>
          <w:tcPr>
            <w:tcW w:w="1361" w:type="dxa"/>
            <w:vAlign w:val="center"/>
          </w:tcPr>
          <w:p>
            <w:pPr>
              <w:pStyle w:val="10"/>
            </w:pPr>
            <w:r>
              <w:t>203.41</w:t>
            </w:r>
          </w:p>
        </w:tc>
        <w:tc>
          <w:tcPr>
            <w:tcW w:w="1361" w:type="dxa"/>
            <w:vAlign w:val="center"/>
          </w:tcPr>
          <w:p>
            <w:pPr>
              <w:pStyle w:val="10"/>
            </w:pPr>
            <w:r>
              <w:t>51.00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2010801</w:t>
            </w:r>
          </w:p>
        </w:tc>
        <w:tc>
          <w:tcPr>
            <w:tcW w:w="4535" w:type="dxa"/>
            <w:vAlign w:val="center"/>
          </w:tcPr>
          <w:p>
            <w:pPr>
              <w:pStyle w:val="9"/>
            </w:pPr>
            <w:r>
              <w:t>行政运行</w:t>
            </w:r>
          </w:p>
        </w:tc>
        <w:tc>
          <w:tcPr>
            <w:tcW w:w="1361" w:type="dxa"/>
            <w:vAlign w:val="center"/>
          </w:tcPr>
          <w:p>
            <w:pPr>
              <w:pStyle w:val="10"/>
            </w:pPr>
            <w:r>
              <w:t>203.41</w:t>
            </w:r>
          </w:p>
        </w:tc>
        <w:tc>
          <w:tcPr>
            <w:tcW w:w="1361" w:type="dxa"/>
            <w:vAlign w:val="center"/>
          </w:tcPr>
          <w:p>
            <w:pPr>
              <w:pStyle w:val="10"/>
            </w:pPr>
            <w:r>
              <w:t>203.41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2010804</w:t>
            </w:r>
          </w:p>
        </w:tc>
        <w:tc>
          <w:tcPr>
            <w:tcW w:w="4535" w:type="dxa"/>
            <w:vAlign w:val="center"/>
          </w:tcPr>
          <w:p>
            <w:pPr>
              <w:pStyle w:val="9"/>
            </w:pPr>
            <w:r>
              <w:t>审计业务</w:t>
            </w:r>
          </w:p>
        </w:tc>
        <w:tc>
          <w:tcPr>
            <w:tcW w:w="1361" w:type="dxa"/>
            <w:vAlign w:val="center"/>
          </w:tcPr>
          <w:p>
            <w:pPr>
              <w:pStyle w:val="10"/>
            </w:pPr>
            <w:r>
              <w:t>51.00</w:t>
            </w:r>
          </w:p>
        </w:tc>
        <w:tc>
          <w:tcPr>
            <w:tcW w:w="1361" w:type="dxa"/>
            <w:vAlign w:val="center"/>
          </w:tcPr>
          <w:p>
            <w:pPr>
              <w:pStyle w:val="10"/>
            </w:pPr>
          </w:p>
        </w:tc>
        <w:tc>
          <w:tcPr>
            <w:tcW w:w="1361" w:type="dxa"/>
            <w:vAlign w:val="center"/>
          </w:tcPr>
          <w:p>
            <w:pPr>
              <w:pStyle w:val="10"/>
            </w:pPr>
            <w:r>
              <w:t>51.00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20199</w:t>
            </w:r>
          </w:p>
        </w:tc>
        <w:tc>
          <w:tcPr>
            <w:tcW w:w="4535" w:type="dxa"/>
            <w:vAlign w:val="center"/>
          </w:tcPr>
          <w:p>
            <w:pPr>
              <w:pStyle w:val="9"/>
            </w:pPr>
            <w:r>
              <w:t>其他一般公共服务支出</w:t>
            </w: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2019999</w:t>
            </w:r>
          </w:p>
        </w:tc>
        <w:tc>
          <w:tcPr>
            <w:tcW w:w="4535" w:type="dxa"/>
            <w:vAlign w:val="center"/>
          </w:tcPr>
          <w:p>
            <w:pPr>
              <w:pStyle w:val="9"/>
            </w:pPr>
            <w:r>
              <w:t>其他一般公共服务支出</w:t>
            </w: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r>
              <w:t>15.00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29.29</w:t>
            </w:r>
          </w:p>
        </w:tc>
        <w:tc>
          <w:tcPr>
            <w:tcW w:w="1361" w:type="dxa"/>
            <w:vAlign w:val="center"/>
          </w:tcPr>
          <w:p>
            <w:pPr>
              <w:pStyle w:val="10"/>
            </w:pPr>
            <w:r>
              <w:t>29.29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29.29</w:t>
            </w:r>
          </w:p>
        </w:tc>
        <w:tc>
          <w:tcPr>
            <w:tcW w:w="1361" w:type="dxa"/>
            <w:vAlign w:val="center"/>
          </w:tcPr>
          <w:p>
            <w:pPr>
              <w:pStyle w:val="10"/>
            </w:pPr>
            <w:r>
              <w:t>29.29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29.29</w:t>
            </w:r>
          </w:p>
        </w:tc>
        <w:tc>
          <w:tcPr>
            <w:tcW w:w="1361" w:type="dxa"/>
            <w:vAlign w:val="center"/>
          </w:tcPr>
          <w:p>
            <w:pPr>
              <w:pStyle w:val="10"/>
            </w:pPr>
            <w:r>
              <w:t>29.29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29.57</w:t>
            </w:r>
          </w:p>
        </w:tc>
        <w:tc>
          <w:tcPr>
            <w:tcW w:w="1361" w:type="dxa"/>
            <w:vAlign w:val="center"/>
          </w:tcPr>
          <w:p>
            <w:pPr>
              <w:pStyle w:val="10"/>
            </w:pPr>
            <w:r>
              <w:t>29.57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29.57</w:t>
            </w:r>
          </w:p>
        </w:tc>
        <w:tc>
          <w:tcPr>
            <w:tcW w:w="1361" w:type="dxa"/>
            <w:vAlign w:val="center"/>
          </w:tcPr>
          <w:p>
            <w:pPr>
              <w:pStyle w:val="10"/>
            </w:pPr>
            <w:r>
              <w:t>29.57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13.82</w:t>
            </w:r>
          </w:p>
        </w:tc>
        <w:tc>
          <w:tcPr>
            <w:tcW w:w="1361" w:type="dxa"/>
            <w:vAlign w:val="center"/>
          </w:tcPr>
          <w:p>
            <w:pPr>
              <w:pStyle w:val="10"/>
            </w:pPr>
            <w:r>
              <w:t>13.82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15.75</w:t>
            </w:r>
          </w:p>
        </w:tc>
        <w:tc>
          <w:tcPr>
            <w:tcW w:w="1361" w:type="dxa"/>
            <w:vAlign w:val="center"/>
          </w:tcPr>
          <w:p>
            <w:pPr>
              <w:pStyle w:val="10"/>
            </w:pPr>
            <w:r>
              <w:t>15.75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21.97</w:t>
            </w:r>
          </w:p>
        </w:tc>
        <w:tc>
          <w:tcPr>
            <w:tcW w:w="1361" w:type="dxa"/>
            <w:vAlign w:val="center"/>
          </w:tcPr>
          <w:p>
            <w:pPr>
              <w:pStyle w:val="10"/>
            </w:pPr>
            <w:r>
              <w:t>21.97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21.97</w:t>
            </w:r>
          </w:p>
        </w:tc>
        <w:tc>
          <w:tcPr>
            <w:tcW w:w="1361" w:type="dxa"/>
            <w:vAlign w:val="center"/>
          </w:tcPr>
          <w:p>
            <w:pPr>
              <w:pStyle w:val="10"/>
            </w:pPr>
            <w:r>
              <w:t>21.97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21.97</w:t>
            </w:r>
          </w:p>
        </w:tc>
        <w:tc>
          <w:tcPr>
            <w:tcW w:w="1361" w:type="dxa"/>
            <w:vAlign w:val="center"/>
          </w:tcPr>
          <w:p>
            <w:pPr>
              <w:pStyle w:val="10"/>
            </w:pPr>
            <w:r>
              <w:t>21.97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350.24</w:t>
            </w:r>
          </w:p>
        </w:tc>
        <w:tc>
          <w:tcPr>
            <w:tcW w:w="3402" w:type="dxa"/>
            <w:vAlign w:val="center"/>
          </w:tcPr>
          <w:p>
            <w:pPr>
              <w:pStyle w:val="9"/>
            </w:pPr>
            <w:r>
              <w:t>一、一般公共服务支出</w:t>
            </w:r>
          </w:p>
        </w:tc>
        <w:tc>
          <w:tcPr>
            <w:tcW w:w="1474" w:type="dxa"/>
            <w:vAlign w:val="center"/>
          </w:tcPr>
          <w:p>
            <w:pPr>
              <w:pStyle w:val="10"/>
            </w:pPr>
            <w:r>
              <w:t>269.41</w:t>
            </w:r>
          </w:p>
        </w:tc>
        <w:tc>
          <w:tcPr>
            <w:tcW w:w="1474" w:type="dxa"/>
            <w:vAlign w:val="center"/>
          </w:tcPr>
          <w:p>
            <w:pPr>
              <w:pStyle w:val="10"/>
            </w:pPr>
            <w:r>
              <w:t>269.41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29.29</w:t>
            </w:r>
          </w:p>
        </w:tc>
        <w:tc>
          <w:tcPr>
            <w:tcW w:w="1474" w:type="dxa"/>
            <w:vAlign w:val="center"/>
          </w:tcPr>
          <w:p>
            <w:pPr>
              <w:pStyle w:val="10"/>
            </w:pPr>
            <w:r>
              <w:t>29.29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29.57</w:t>
            </w:r>
          </w:p>
        </w:tc>
        <w:tc>
          <w:tcPr>
            <w:tcW w:w="1474" w:type="dxa"/>
            <w:vAlign w:val="center"/>
          </w:tcPr>
          <w:p>
            <w:pPr>
              <w:pStyle w:val="10"/>
            </w:pPr>
            <w:r>
              <w:t>29.57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21.97</w:t>
            </w:r>
          </w:p>
        </w:tc>
        <w:tc>
          <w:tcPr>
            <w:tcW w:w="1474" w:type="dxa"/>
            <w:vAlign w:val="center"/>
          </w:tcPr>
          <w:p>
            <w:pPr>
              <w:pStyle w:val="10"/>
            </w:pPr>
            <w:r>
              <w:t>21.97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350.24</w:t>
            </w:r>
          </w:p>
        </w:tc>
        <w:tc>
          <w:tcPr>
            <w:tcW w:w="3402" w:type="dxa"/>
            <w:vAlign w:val="center"/>
          </w:tcPr>
          <w:p>
            <w:pPr>
              <w:pStyle w:val="11"/>
            </w:pPr>
            <w:r>
              <w:t>本年支出合计</w:t>
            </w:r>
          </w:p>
        </w:tc>
        <w:tc>
          <w:tcPr>
            <w:tcW w:w="1474" w:type="dxa"/>
            <w:vAlign w:val="center"/>
          </w:tcPr>
          <w:p>
            <w:pPr>
              <w:pStyle w:val="12"/>
            </w:pPr>
            <w:r>
              <w:t>350.24</w:t>
            </w:r>
          </w:p>
        </w:tc>
        <w:tc>
          <w:tcPr>
            <w:tcW w:w="1474" w:type="dxa"/>
            <w:vAlign w:val="center"/>
          </w:tcPr>
          <w:p>
            <w:pPr>
              <w:pStyle w:val="12"/>
            </w:pPr>
            <w:r>
              <w:t>350.24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350.24</w:t>
            </w:r>
          </w:p>
        </w:tc>
        <w:tc>
          <w:tcPr>
            <w:tcW w:w="3402" w:type="dxa"/>
            <w:vAlign w:val="center"/>
          </w:tcPr>
          <w:p>
            <w:pPr>
              <w:pStyle w:val="11"/>
            </w:pPr>
            <w:r>
              <w:t>支出总计</w:t>
            </w:r>
          </w:p>
        </w:tc>
        <w:tc>
          <w:tcPr>
            <w:tcW w:w="1474" w:type="dxa"/>
            <w:vAlign w:val="center"/>
          </w:tcPr>
          <w:p>
            <w:pPr>
              <w:pStyle w:val="12"/>
            </w:pPr>
            <w:r>
              <w:t>350.24</w:t>
            </w:r>
          </w:p>
        </w:tc>
        <w:tc>
          <w:tcPr>
            <w:tcW w:w="1474" w:type="dxa"/>
            <w:vAlign w:val="center"/>
          </w:tcPr>
          <w:p>
            <w:pPr>
              <w:pStyle w:val="12"/>
            </w:pPr>
            <w:r>
              <w:t>350.24</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350.24</w:t>
            </w:r>
          </w:p>
        </w:tc>
        <w:tc>
          <w:tcPr>
            <w:tcW w:w="2551" w:type="dxa"/>
            <w:vAlign w:val="center"/>
          </w:tcPr>
          <w:p>
            <w:pPr>
              <w:pStyle w:val="12"/>
            </w:pPr>
            <w:r>
              <w:t>284.24</w:t>
            </w:r>
          </w:p>
        </w:tc>
        <w:tc>
          <w:tcPr>
            <w:tcW w:w="2551"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269.41</w:t>
            </w:r>
          </w:p>
        </w:tc>
        <w:tc>
          <w:tcPr>
            <w:tcW w:w="2551" w:type="dxa"/>
            <w:vAlign w:val="center"/>
          </w:tcPr>
          <w:p>
            <w:pPr>
              <w:pStyle w:val="10"/>
            </w:pPr>
            <w:r>
              <w:t>203.41</w:t>
            </w:r>
          </w:p>
        </w:tc>
        <w:tc>
          <w:tcPr>
            <w:tcW w:w="2551" w:type="dxa"/>
            <w:vAlign w:val="center"/>
          </w:tcPr>
          <w:p>
            <w:pPr>
              <w:pStyle w:val="1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20108</w:t>
            </w:r>
          </w:p>
        </w:tc>
        <w:tc>
          <w:tcPr>
            <w:tcW w:w="4535" w:type="dxa"/>
            <w:vAlign w:val="center"/>
          </w:tcPr>
          <w:p>
            <w:pPr>
              <w:pStyle w:val="9"/>
            </w:pPr>
            <w:r>
              <w:t>审计事务</w:t>
            </w:r>
          </w:p>
        </w:tc>
        <w:tc>
          <w:tcPr>
            <w:tcW w:w="2551" w:type="dxa"/>
            <w:vAlign w:val="center"/>
          </w:tcPr>
          <w:p>
            <w:pPr>
              <w:pStyle w:val="10"/>
            </w:pPr>
            <w:r>
              <w:t>254.41</w:t>
            </w:r>
          </w:p>
        </w:tc>
        <w:tc>
          <w:tcPr>
            <w:tcW w:w="2551" w:type="dxa"/>
            <w:vAlign w:val="center"/>
          </w:tcPr>
          <w:p>
            <w:pPr>
              <w:pStyle w:val="10"/>
            </w:pPr>
            <w:r>
              <w:t>203.41</w:t>
            </w:r>
          </w:p>
        </w:tc>
        <w:tc>
          <w:tcPr>
            <w:tcW w:w="2551" w:type="dxa"/>
            <w:vAlign w:val="center"/>
          </w:tcPr>
          <w:p>
            <w:pPr>
              <w:pStyle w:val="10"/>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2010801</w:t>
            </w:r>
          </w:p>
        </w:tc>
        <w:tc>
          <w:tcPr>
            <w:tcW w:w="4535" w:type="dxa"/>
            <w:vAlign w:val="center"/>
          </w:tcPr>
          <w:p>
            <w:pPr>
              <w:pStyle w:val="9"/>
            </w:pPr>
            <w:r>
              <w:t>行政运行</w:t>
            </w:r>
          </w:p>
        </w:tc>
        <w:tc>
          <w:tcPr>
            <w:tcW w:w="2551" w:type="dxa"/>
            <w:vAlign w:val="center"/>
          </w:tcPr>
          <w:p>
            <w:pPr>
              <w:pStyle w:val="10"/>
            </w:pPr>
            <w:r>
              <w:t>203.41</w:t>
            </w:r>
          </w:p>
        </w:tc>
        <w:tc>
          <w:tcPr>
            <w:tcW w:w="2551" w:type="dxa"/>
            <w:vAlign w:val="center"/>
          </w:tcPr>
          <w:p>
            <w:pPr>
              <w:pStyle w:val="10"/>
            </w:pPr>
            <w:r>
              <w:t>203.41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2010804</w:t>
            </w:r>
          </w:p>
        </w:tc>
        <w:tc>
          <w:tcPr>
            <w:tcW w:w="4535" w:type="dxa"/>
            <w:vAlign w:val="center"/>
          </w:tcPr>
          <w:p>
            <w:pPr>
              <w:pStyle w:val="9"/>
            </w:pPr>
            <w:r>
              <w:t>审计业务</w:t>
            </w:r>
          </w:p>
        </w:tc>
        <w:tc>
          <w:tcPr>
            <w:tcW w:w="2551" w:type="dxa"/>
            <w:vAlign w:val="center"/>
          </w:tcPr>
          <w:p>
            <w:pPr>
              <w:pStyle w:val="10"/>
            </w:pPr>
            <w:r>
              <w:t>51.00</w:t>
            </w:r>
          </w:p>
        </w:tc>
        <w:tc>
          <w:tcPr>
            <w:tcW w:w="2551" w:type="dxa"/>
            <w:vAlign w:val="center"/>
          </w:tcPr>
          <w:p>
            <w:pPr>
              <w:pStyle w:val="10"/>
            </w:pPr>
          </w:p>
        </w:tc>
        <w:tc>
          <w:tcPr>
            <w:tcW w:w="2551" w:type="dxa"/>
            <w:vAlign w:val="center"/>
          </w:tcPr>
          <w:p>
            <w:pPr>
              <w:pStyle w:val="10"/>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20199</w:t>
            </w:r>
          </w:p>
        </w:tc>
        <w:tc>
          <w:tcPr>
            <w:tcW w:w="4535" w:type="dxa"/>
            <w:vAlign w:val="center"/>
          </w:tcPr>
          <w:p>
            <w:pPr>
              <w:pStyle w:val="9"/>
            </w:pPr>
            <w:r>
              <w:t>其他一般公共服务支出</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2019999</w:t>
            </w:r>
          </w:p>
        </w:tc>
        <w:tc>
          <w:tcPr>
            <w:tcW w:w="4535" w:type="dxa"/>
            <w:vAlign w:val="center"/>
          </w:tcPr>
          <w:p>
            <w:pPr>
              <w:pStyle w:val="9"/>
            </w:pPr>
            <w:r>
              <w:t>其他一般公共服务支出</w:t>
            </w:r>
          </w:p>
        </w:tc>
        <w:tc>
          <w:tcPr>
            <w:tcW w:w="2551" w:type="dxa"/>
            <w:vAlign w:val="center"/>
          </w:tcPr>
          <w:p>
            <w:pPr>
              <w:pStyle w:val="10"/>
            </w:pPr>
            <w:r>
              <w:t>15.00</w:t>
            </w:r>
          </w:p>
        </w:tc>
        <w:tc>
          <w:tcPr>
            <w:tcW w:w="2551" w:type="dxa"/>
            <w:vAlign w:val="center"/>
          </w:tcPr>
          <w:p>
            <w:pPr>
              <w:pStyle w:val="10"/>
            </w:pPr>
          </w:p>
        </w:tc>
        <w:tc>
          <w:tcPr>
            <w:tcW w:w="2551"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29.29</w:t>
            </w:r>
          </w:p>
        </w:tc>
        <w:tc>
          <w:tcPr>
            <w:tcW w:w="2551" w:type="dxa"/>
            <w:vAlign w:val="center"/>
          </w:tcPr>
          <w:p>
            <w:pPr>
              <w:pStyle w:val="10"/>
            </w:pPr>
            <w:r>
              <w:t>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29.29</w:t>
            </w:r>
          </w:p>
        </w:tc>
        <w:tc>
          <w:tcPr>
            <w:tcW w:w="2551" w:type="dxa"/>
            <w:vAlign w:val="center"/>
          </w:tcPr>
          <w:p>
            <w:pPr>
              <w:pStyle w:val="10"/>
            </w:pPr>
            <w:r>
              <w:t>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29.29</w:t>
            </w:r>
          </w:p>
        </w:tc>
        <w:tc>
          <w:tcPr>
            <w:tcW w:w="2551" w:type="dxa"/>
            <w:vAlign w:val="center"/>
          </w:tcPr>
          <w:p>
            <w:pPr>
              <w:pStyle w:val="10"/>
            </w:pPr>
            <w:r>
              <w:t>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29.57</w:t>
            </w:r>
          </w:p>
        </w:tc>
        <w:tc>
          <w:tcPr>
            <w:tcW w:w="2551" w:type="dxa"/>
            <w:vAlign w:val="center"/>
          </w:tcPr>
          <w:p>
            <w:pPr>
              <w:pStyle w:val="10"/>
            </w:pPr>
            <w:r>
              <w:t>29.57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29.57</w:t>
            </w:r>
          </w:p>
        </w:tc>
        <w:tc>
          <w:tcPr>
            <w:tcW w:w="2551" w:type="dxa"/>
            <w:vAlign w:val="center"/>
          </w:tcPr>
          <w:p>
            <w:pPr>
              <w:pStyle w:val="10"/>
            </w:pPr>
            <w:r>
              <w:t>29.57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13.82</w:t>
            </w:r>
          </w:p>
        </w:tc>
        <w:tc>
          <w:tcPr>
            <w:tcW w:w="2551" w:type="dxa"/>
            <w:vAlign w:val="center"/>
          </w:tcPr>
          <w:p>
            <w:pPr>
              <w:pStyle w:val="10"/>
            </w:pPr>
            <w:r>
              <w:t>13.82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15.75</w:t>
            </w:r>
          </w:p>
        </w:tc>
        <w:tc>
          <w:tcPr>
            <w:tcW w:w="2551" w:type="dxa"/>
            <w:vAlign w:val="center"/>
          </w:tcPr>
          <w:p>
            <w:pPr>
              <w:pStyle w:val="10"/>
            </w:pPr>
            <w:r>
              <w:t>15.75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21.97</w:t>
            </w:r>
          </w:p>
        </w:tc>
        <w:tc>
          <w:tcPr>
            <w:tcW w:w="2551" w:type="dxa"/>
            <w:vAlign w:val="center"/>
          </w:tcPr>
          <w:p>
            <w:pPr>
              <w:pStyle w:val="10"/>
            </w:pPr>
            <w:r>
              <w:t>21.97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21.97</w:t>
            </w:r>
          </w:p>
        </w:tc>
        <w:tc>
          <w:tcPr>
            <w:tcW w:w="2551" w:type="dxa"/>
            <w:vAlign w:val="center"/>
          </w:tcPr>
          <w:p>
            <w:pPr>
              <w:pStyle w:val="10"/>
            </w:pPr>
            <w:r>
              <w:t>21.97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21.97</w:t>
            </w:r>
          </w:p>
        </w:tc>
        <w:tc>
          <w:tcPr>
            <w:tcW w:w="2551" w:type="dxa"/>
            <w:vAlign w:val="center"/>
          </w:tcPr>
          <w:p>
            <w:pPr>
              <w:pStyle w:val="10"/>
            </w:pPr>
            <w:r>
              <w:t>21.97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284.24</w:t>
            </w:r>
          </w:p>
        </w:tc>
        <w:tc>
          <w:tcPr>
            <w:tcW w:w="2551" w:type="dxa"/>
            <w:vAlign w:val="center"/>
          </w:tcPr>
          <w:p>
            <w:pPr>
              <w:pStyle w:val="12"/>
            </w:pPr>
            <w:r>
              <w:t>266.99</w:t>
            </w:r>
          </w:p>
        </w:tc>
        <w:tc>
          <w:tcPr>
            <w:tcW w:w="2551" w:type="dxa"/>
            <w:vAlign w:val="center"/>
          </w:tcPr>
          <w:p>
            <w:pPr>
              <w:pStyle w:val="12"/>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266.99</w:t>
            </w:r>
          </w:p>
        </w:tc>
        <w:tc>
          <w:tcPr>
            <w:tcW w:w="2551" w:type="dxa"/>
            <w:vAlign w:val="center"/>
          </w:tcPr>
          <w:p>
            <w:pPr>
              <w:pStyle w:val="10"/>
            </w:pPr>
            <w:r>
              <w:t>266.99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93.67</w:t>
            </w:r>
          </w:p>
        </w:tc>
        <w:tc>
          <w:tcPr>
            <w:tcW w:w="2551" w:type="dxa"/>
            <w:vAlign w:val="center"/>
          </w:tcPr>
          <w:p>
            <w:pPr>
              <w:pStyle w:val="10"/>
            </w:pPr>
            <w:r>
              <w:t>93.67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56.00</w:t>
            </w:r>
          </w:p>
        </w:tc>
        <w:tc>
          <w:tcPr>
            <w:tcW w:w="2551" w:type="dxa"/>
            <w:vAlign w:val="center"/>
          </w:tcPr>
          <w:p>
            <w:pPr>
              <w:pStyle w:val="10"/>
            </w:pPr>
            <w:r>
              <w:t>56.00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8.00</w:t>
            </w:r>
          </w:p>
        </w:tc>
        <w:tc>
          <w:tcPr>
            <w:tcW w:w="2551" w:type="dxa"/>
            <w:vAlign w:val="center"/>
          </w:tcPr>
          <w:p>
            <w:pPr>
              <w:pStyle w:val="10"/>
            </w:pPr>
            <w:r>
              <w:t>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22.80</w:t>
            </w:r>
          </w:p>
        </w:tc>
        <w:tc>
          <w:tcPr>
            <w:tcW w:w="2551" w:type="dxa"/>
            <w:vAlign w:val="center"/>
          </w:tcPr>
          <w:p>
            <w:pPr>
              <w:pStyle w:val="10"/>
            </w:pPr>
            <w:r>
              <w:t>22.80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29.29</w:t>
            </w:r>
          </w:p>
        </w:tc>
        <w:tc>
          <w:tcPr>
            <w:tcW w:w="2551" w:type="dxa"/>
            <w:vAlign w:val="center"/>
          </w:tcPr>
          <w:p>
            <w:pPr>
              <w:pStyle w:val="10"/>
            </w:pPr>
            <w:r>
              <w:t>29.29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13.82</w:t>
            </w:r>
          </w:p>
        </w:tc>
        <w:tc>
          <w:tcPr>
            <w:tcW w:w="2551" w:type="dxa"/>
            <w:vAlign w:val="center"/>
          </w:tcPr>
          <w:p>
            <w:pPr>
              <w:pStyle w:val="10"/>
            </w:pPr>
            <w:r>
              <w:t>13.82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15.75</w:t>
            </w:r>
          </w:p>
        </w:tc>
        <w:tc>
          <w:tcPr>
            <w:tcW w:w="2551" w:type="dxa"/>
            <w:vAlign w:val="center"/>
          </w:tcPr>
          <w:p>
            <w:pPr>
              <w:pStyle w:val="10"/>
            </w:pPr>
            <w:r>
              <w:t>15.75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3.09</w:t>
            </w:r>
          </w:p>
        </w:tc>
        <w:tc>
          <w:tcPr>
            <w:tcW w:w="2551" w:type="dxa"/>
            <w:vAlign w:val="center"/>
          </w:tcPr>
          <w:p>
            <w:pPr>
              <w:pStyle w:val="10"/>
            </w:pPr>
            <w:r>
              <w:t>3.09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21.97</w:t>
            </w:r>
          </w:p>
        </w:tc>
        <w:tc>
          <w:tcPr>
            <w:tcW w:w="2551" w:type="dxa"/>
            <w:vAlign w:val="center"/>
          </w:tcPr>
          <w:p>
            <w:pPr>
              <w:pStyle w:val="10"/>
            </w:pPr>
            <w:r>
              <w:t>21.97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2.60</w:t>
            </w:r>
          </w:p>
        </w:tc>
        <w:tc>
          <w:tcPr>
            <w:tcW w:w="2551" w:type="dxa"/>
            <w:vAlign w:val="center"/>
          </w:tcPr>
          <w:p>
            <w:pPr>
              <w:pStyle w:val="10"/>
            </w:pPr>
            <w:r>
              <w:t>2.60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17.25</w:t>
            </w:r>
          </w:p>
        </w:tc>
        <w:tc>
          <w:tcPr>
            <w:tcW w:w="2551" w:type="dxa"/>
            <w:vAlign w:val="center"/>
          </w:tcPr>
          <w:p>
            <w:pPr>
              <w:pStyle w:val="10"/>
            </w:pPr>
          </w:p>
        </w:tc>
        <w:tc>
          <w:tcPr>
            <w:tcW w:w="2551" w:type="dxa"/>
            <w:vAlign w:val="center"/>
          </w:tcPr>
          <w:p>
            <w:pPr>
              <w:pStyle w:val="10"/>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1.01</w:t>
            </w:r>
          </w:p>
        </w:tc>
        <w:tc>
          <w:tcPr>
            <w:tcW w:w="2551" w:type="dxa"/>
            <w:vAlign w:val="center"/>
          </w:tcPr>
          <w:p>
            <w:pPr>
              <w:pStyle w:val="10"/>
            </w:pPr>
          </w:p>
        </w:tc>
        <w:tc>
          <w:tcPr>
            <w:tcW w:w="2551" w:type="dxa"/>
            <w:vAlign w:val="center"/>
          </w:tcPr>
          <w:p>
            <w:pPr>
              <w:pStyle w:val="10"/>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0.20</w:t>
            </w:r>
          </w:p>
        </w:tc>
        <w:tc>
          <w:tcPr>
            <w:tcW w:w="2551" w:type="dxa"/>
            <w:vAlign w:val="center"/>
          </w:tcPr>
          <w:p>
            <w:pPr>
              <w:pStyle w:val="10"/>
            </w:pPr>
          </w:p>
        </w:tc>
        <w:tc>
          <w:tcPr>
            <w:tcW w:w="2551" w:type="dxa"/>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1.82</w:t>
            </w:r>
          </w:p>
        </w:tc>
        <w:tc>
          <w:tcPr>
            <w:tcW w:w="2551" w:type="dxa"/>
            <w:vAlign w:val="center"/>
          </w:tcPr>
          <w:p>
            <w:pPr>
              <w:pStyle w:val="10"/>
            </w:pPr>
          </w:p>
        </w:tc>
        <w:tc>
          <w:tcPr>
            <w:tcW w:w="2551" w:type="dxa"/>
            <w:vAlign w:val="center"/>
          </w:tcPr>
          <w:p>
            <w:pPr>
              <w:pStyle w:val="10"/>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1.22</w:t>
            </w:r>
          </w:p>
        </w:tc>
        <w:tc>
          <w:tcPr>
            <w:tcW w:w="2551" w:type="dxa"/>
            <w:vAlign w:val="center"/>
          </w:tcPr>
          <w:p>
            <w:pPr>
              <w:pStyle w:val="10"/>
            </w:pPr>
          </w:p>
        </w:tc>
        <w:tc>
          <w:tcPr>
            <w:tcW w:w="2551" w:type="dxa"/>
            <w:vAlign w:val="center"/>
          </w:tcPr>
          <w:p>
            <w:pPr>
              <w:pStyle w:val="10"/>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30215</w:t>
            </w:r>
          </w:p>
        </w:tc>
        <w:tc>
          <w:tcPr>
            <w:tcW w:w="4535" w:type="dxa"/>
            <w:vAlign w:val="center"/>
          </w:tcPr>
          <w:p>
            <w:pPr>
              <w:pStyle w:val="9"/>
            </w:pPr>
            <w:r>
              <w:t>会议费</w:t>
            </w:r>
          </w:p>
        </w:tc>
        <w:tc>
          <w:tcPr>
            <w:tcW w:w="2551" w:type="dxa"/>
            <w:vAlign w:val="center"/>
          </w:tcPr>
          <w:p>
            <w:pPr>
              <w:pStyle w:val="10"/>
            </w:pPr>
            <w:r>
              <w:t>0.41</w:t>
            </w:r>
          </w:p>
        </w:tc>
        <w:tc>
          <w:tcPr>
            <w:tcW w:w="2551" w:type="dxa"/>
            <w:vAlign w:val="center"/>
          </w:tcPr>
          <w:p>
            <w:pPr>
              <w:pStyle w:val="10"/>
            </w:pPr>
          </w:p>
        </w:tc>
        <w:tc>
          <w:tcPr>
            <w:tcW w:w="2551" w:type="dxa"/>
            <w:vAlign w:val="center"/>
          </w:tcPr>
          <w:p>
            <w:pPr>
              <w:pStyle w:val="10"/>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0.81</w:t>
            </w:r>
          </w:p>
        </w:tc>
        <w:tc>
          <w:tcPr>
            <w:tcW w:w="2551" w:type="dxa"/>
            <w:vAlign w:val="center"/>
          </w:tcPr>
          <w:p>
            <w:pPr>
              <w:pStyle w:val="10"/>
            </w:pPr>
          </w:p>
        </w:tc>
        <w:tc>
          <w:tcPr>
            <w:tcW w:w="2551" w:type="dxa"/>
            <w:vAlign w:val="center"/>
          </w:tcPr>
          <w:p>
            <w:pPr>
              <w:pStyle w:val="10"/>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2.84</w:t>
            </w:r>
          </w:p>
        </w:tc>
        <w:tc>
          <w:tcPr>
            <w:tcW w:w="2551" w:type="dxa"/>
            <w:vAlign w:val="center"/>
          </w:tcPr>
          <w:p>
            <w:pPr>
              <w:pStyle w:val="10"/>
            </w:pPr>
          </w:p>
        </w:tc>
        <w:tc>
          <w:tcPr>
            <w:tcW w:w="2551" w:type="dxa"/>
            <w:vAlign w:val="center"/>
          </w:tcPr>
          <w:p>
            <w:pPr>
              <w:pStyle w:val="10"/>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8.94</w:t>
            </w:r>
          </w:p>
        </w:tc>
        <w:tc>
          <w:tcPr>
            <w:tcW w:w="2551" w:type="dxa"/>
            <w:vAlign w:val="center"/>
          </w:tcPr>
          <w:p>
            <w:pPr>
              <w:pStyle w:val="10"/>
            </w:pPr>
          </w:p>
        </w:tc>
        <w:tc>
          <w:tcPr>
            <w:tcW w:w="2551" w:type="dxa"/>
            <w:vAlign w:val="center"/>
          </w:tcPr>
          <w:p>
            <w:pPr>
              <w:pStyle w:val="10"/>
            </w:pPr>
            <w:r>
              <w:t>8.94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w:t>
      </w:r>
      <w:r>
        <w:rPr>
          <w:rFonts w:hint="eastAsia" w:ascii="方正小标宋_GBK" w:hAnsi="方正小标宋_GBK" w:eastAsia="方正小标宋_GBK" w:cs="方正小标宋_GBK"/>
          <w:color w:val="000000"/>
          <w:sz w:val="36"/>
          <w:lang w:eastAsia="zh-CN"/>
        </w:rPr>
        <w:t>预算</w:t>
      </w:r>
      <w:r>
        <w:rPr>
          <w:rFonts w:ascii="方正小标宋_GBK" w:hAnsi="方正小标宋_GBK" w:eastAsia="方正小标宋_GBK" w:cs="方正小标宋_GBK"/>
          <w:color w:val="000000"/>
          <w:sz w:val="36"/>
        </w:rPr>
        <w:t>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w:t>
      </w:r>
      <w:r>
        <w:rPr>
          <w:rFonts w:hint="eastAsia" w:ascii="方正小标宋_GBK" w:hAnsi="方正小标宋_GBK" w:eastAsia="方正小标宋_GBK" w:cs="方正小标宋_GBK"/>
          <w:color w:val="000000"/>
          <w:sz w:val="36"/>
          <w:lang w:eastAsia="zh-CN"/>
        </w:rPr>
        <w:t>预算</w:t>
      </w:r>
      <w:r>
        <w:rPr>
          <w:rFonts w:ascii="方正小标宋_GBK" w:hAnsi="方正小标宋_GBK" w:eastAsia="方正小标宋_GBK" w:cs="方正小标宋_GBK"/>
          <w:color w:val="000000"/>
          <w:sz w:val="36"/>
        </w:rPr>
        <w:t>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319002乐亭县审计局</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rPr>
                <w:rFonts w:hint="default" w:eastAsia="方正书宋_GBK"/>
                <w:lang w:val="en-US" w:eastAsia="zh-CN"/>
              </w:rPr>
            </w:pPr>
            <w:r>
              <w:rPr>
                <w:rFonts w:hint="eastAsia"/>
                <w:lang w:val="en-US" w:eastAsia="zh-CN"/>
              </w:rPr>
              <w:t>2.84</w:t>
            </w:r>
          </w:p>
        </w:tc>
        <w:tc>
          <w:tcPr>
            <w:tcW w:w="2381" w:type="dxa"/>
            <w:vAlign w:val="center"/>
          </w:tcPr>
          <w:p>
            <w:pPr>
              <w:pStyle w:val="12"/>
              <w:rPr>
                <w:rFonts w:hint="default" w:eastAsia="方正书宋_GBK"/>
                <w:lang w:val="en-US" w:eastAsia="zh-CN"/>
              </w:rPr>
            </w:pPr>
            <w:r>
              <w:rPr>
                <w:rFonts w:hint="eastAsia"/>
                <w:lang w:val="en-US" w:eastAsia="zh-CN"/>
              </w:rPr>
              <w:t>2.84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rPr>
                <w:rFonts w:hint="default" w:eastAsia="方正书宋_GBK"/>
                <w:lang w:val="en-US" w:eastAsia="zh-CN"/>
              </w:rPr>
            </w:pPr>
            <w:r>
              <w:rPr>
                <w:rFonts w:hint="eastAsia"/>
                <w:lang w:val="en-US" w:eastAsia="zh-CN"/>
              </w:rPr>
              <w:t>2.84</w:t>
            </w:r>
          </w:p>
        </w:tc>
        <w:tc>
          <w:tcPr>
            <w:tcW w:w="2381" w:type="dxa"/>
            <w:vAlign w:val="center"/>
          </w:tcPr>
          <w:p>
            <w:pPr>
              <w:pStyle w:val="10"/>
              <w:rPr>
                <w:rFonts w:hint="default" w:eastAsia="方正书宋_GBK"/>
                <w:lang w:val="en-US" w:eastAsia="zh-CN"/>
              </w:rPr>
            </w:pPr>
            <w:r>
              <w:rPr>
                <w:rFonts w:hint="eastAsia"/>
                <w:lang w:val="en-US" w:eastAsia="zh-CN"/>
              </w:rPr>
              <w:t>2.84</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rPr>
                <w:rFonts w:hint="default" w:eastAsia="方正书宋_GBK"/>
                <w:lang w:val="en-US" w:eastAsia="zh-CN"/>
              </w:rPr>
            </w:pPr>
            <w:r>
              <w:rPr>
                <w:rFonts w:hint="eastAsia"/>
                <w:lang w:val="en-US" w:eastAsia="zh-CN"/>
              </w:rPr>
              <w:t>2.84</w:t>
            </w:r>
          </w:p>
        </w:tc>
        <w:tc>
          <w:tcPr>
            <w:tcW w:w="2381" w:type="dxa"/>
            <w:vAlign w:val="center"/>
          </w:tcPr>
          <w:p>
            <w:pPr>
              <w:pStyle w:val="10"/>
              <w:rPr>
                <w:rFonts w:hint="default" w:eastAsia="方正书宋_GBK"/>
                <w:lang w:val="en-US" w:eastAsia="zh-CN"/>
              </w:rPr>
            </w:pPr>
            <w:r>
              <w:rPr>
                <w:rFonts w:hint="eastAsia"/>
                <w:lang w:val="en-US" w:eastAsia="zh-CN"/>
              </w:rPr>
              <w:t>2.84</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r>
              <w:t>2.84</w:t>
            </w:r>
          </w:p>
        </w:tc>
        <w:tc>
          <w:tcPr>
            <w:tcW w:w="2381" w:type="dxa"/>
            <w:vAlign w:val="center"/>
          </w:tcPr>
          <w:p>
            <w:pPr>
              <w:pStyle w:val="10"/>
            </w:pPr>
            <w:r>
              <w:t>2.84</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乐亭县审计局2022年单位预算信息公开情况说明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、《地方预决算公开操作规程》和《关于进一步推进预算公开工作的实施意见》规定，现将乐亭县审计局2022年单位预算公开如下：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（一）主要职责</w:t>
      </w:r>
    </w:p>
    <w:p>
      <w:pPr>
        <w:pStyle w:val="14"/>
      </w:pPr>
      <w:r>
        <w:t>1.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县委、县政府相关重大政策措施贯彻落实情况进行跟踪审计。对审计、专项审计调查和核查社会审计机构相关审计报告的结果承担责任，并负有督促被审计单位整改的责任。</w:t>
      </w:r>
    </w:p>
    <w:p>
      <w:pPr>
        <w:pStyle w:val="14"/>
      </w:pPr>
      <w:r>
        <w:t>2.贯彻执行审计法律、法规和方针、政策。制定审计规范性文件并监督执行；制定并组织实施全县审计工作发展规划和专业领域审计工作规划；制定并组织实施全县年度审计项目计划；制定审计内容的标准和规范；对直接审计、调查和核查的事项依法进行审计评价，作出审计决定或提出审计建议。</w:t>
      </w:r>
    </w:p>
    <w:p>
      <w:pPr>
        <w:pStyle w:val="14"/>
      </w:pPr>
      <w:r>
        <w:t>3.向中共乐亭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4"/>
      </w:pPr>
      <w:r>
        <w:t>4.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街道）、开发区、园区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国际组织和外国政府援助、贷款项目；法律法规规定的其他事项。</w:t>
      </w:r>
    </w:p>
    <w:p>
      <w:pPr>
        <w:pStyle w:val="14"/>
      </w:pPr>
      <w:r>
        <w:t>5.按规定对县管党政主要领导干部及其他单位主要负责人实施经济责任审计和自然资源资产离任审计。</w:t>
      </w:r>
    </w:p>
    <w:p>
      <w:pPr>
        <w:pStyle w:val="14"/>
      </w:pPr>
      <w:r>
        <w:t>6.组织实施对财经法律法规、规章、政策和宏观调控措施执行情况、财政预算管理及国有资产管理使用等与财政收支有关的特定事项进行专项审计调查。</w:t>
      </w:r>
    </w:p>
    <w:p>
      <w:pPr>
        <w:pStyle w:val="14"/>
      </w:pPr>
      <w:r>
        <w:t>7.依法检查审计决定执行情况，督促整改审计查出的问题，依法办理被审计单位对审计决定提请行政复议、行政诉讼或县政府裁决中的有关事项，协助配合有关部门查处相关重大案件。</w:t>
      </w:r>
    </w:p>
    <w:p>
      <w:pPr>
        <w:pStyle w:val="14"/>
      </w:pPr>
      <w:r>
        <w:t>8.指导和监督内部审计工作，核查社会审计机构对依法属于审计监督对象的单位出具的相关审计报告。</w:t>
      </w:r>
    </w:p>
    <w:p>
      <w:pPr>
        <w:pStyle w:val="14"/>
      </w:pPr>
      <w:r>
        <w:t>9.组织开展审计领域的交流与合作，指导和推广信息技术在审计领域的应用。</w:t>
      </w:r>
    </w:p>
    <w:p>
      <w:pPr>
        <w:pStyle w:val="14"/>
      </w:pPr>
      <w:r>
        <w:t>10.完成县委、县政府和市审计局交办的其他任务。</w:t>
      </w:r>
    </w:p>
    <w:p>
      <w:pPr>
        <w:pStyle w:val="14"/>
      </w:pPr>
      <w:r>
        <w:t>（二）预算单位构成</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乐亭县审计局</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pStyle w:val="14"/>
      </w:pPr>
    </w:p>
    <w:p>
      <w:pPr>
        <w:pStyle w:val="14"/>
      </w:pPr>
      <w:r>
        <w:t>1、机构及组成单位情况</w:t>
      </w:r>
    </w:p>
    <w:p>
      <w:pPr>
        <w:pStyle w:val="14"/>
      </w:pPr>
      <w:r>
        <w:t>乐亭县审计局是独立编制预算机构。下设办公室、外资经贸审计科、财政审计科、行政事业审计科、经济责任审计科、政府投资审计中心等职能科室。</w:t>
      </w:r>
    </w:p>
    <w:p>
      <w:pPr>
        <w:pStyle w:val="14"/>
      </w:pPr>
      <w:r>
        <w:t>2、人员构成情况</w:t>
      </w:r>
    </w:p>
    <w:p>
      <w:pPr>
        <w:pStyle w:val="14"/>
      </w:pPr>
      <w:r>
        <w:t>乐亭县审计局共有40人，其中：在职人员25 人，退休人员15人。</w:t>
      </w:r>
    </w:p>
    <w:p>
      <w:pPr>
        <w:pStyle w:val="14"/>
      </w:pPr>
      <w:r>
        <w:t>3、资产情况</w:t>
      </w:r>
    </w:p>
    <w:p>
      <w:pPr>
        <w:pStyle w:val="14"/>
      </w:pPr>
      <w:r>
        <w:t>我单位共有车辆一部、电话11部。</w:t>
      </w:r>
    </w:p>
    <w:p>
      <w:pPr>
        <w:pStyle w:val="14"/>
      </w:pPr>
      <w:r>
        <w:t>二、2022年度</w:t>
      </w:r>
      <w:r>
        <w:rPr>
          <w:rFonts w:hint="eastAsia"/>
          <w:lang w:eastAsia="zh-CN"/>
        </w:rPr>
        <w:t>单位</w:t>
      </w:r>
      <w:r>
        <w:t>预算总体情况</w:t>
      </w:r>
    </w:p>
    <w:p>
      <w:pPr>
        <w:pStyle w:val="14"/>
      </w:pPr>
      <w:r>
        <w:t>（一）</w:t>
      </w:r>
      <w:r>
        <w:rPr>
          <w:rFonts w:hint="eastAsia"/>
          <w:lang w:eastAsia="zh-CN"/>
        </w:rPr>
        <w:t>单位</w:t>
      </w:r>
      <w:r>
        <w:t>预算安排总体情况</w:t>
      </w:r>
    </w:p>
    <w:p>
      <w:pPr>
        <w:pStyle w:val="14"/>
      </w:pPr>
      <w:r>
        <w:t>本年收入350.24万元，其中：一般公共预算财政拨款收入350.24万元，其他收入 0万元。本年支出350.24万元，人员经费 266.99万元，正常公用17.25万元，项目支出66万元，其中审计业务费51万元，审计政务管理15万元。</w:t>
      </w:r>
    </w:p>
    <w:p>
      <w:pPr>
        <w:pStyle w:val="14"/>
      </w:pPr>
      <w:r>
        <w:t>（二）比上年增减情况：相较2021年预算，我</w:t>
      </w:r>
      <w:r>
        <w:rPr>
          <w:rFonts w:hint="eastAsia"/>
          <w:lang w:eastAsia="zh-CN"/>
        </w:rPr>
        <w:t>单位</w:t>
      </w:r>
      <w:r>
        <w:t>预算收支增加22.47万元，主要是人员经费增长7.23万元，日常公用经费比上年增加0.24万元，项目经费与上年比较增加15万元。</w:t>
      </w:r>
    </w:p>
    <w:p>
      <w:pPr>
        <w:pStyle w:val="14"/>
      </w:pPr>
      <w:r>
        <w:t>三、机关运行经费情况说明</w:t>
      </w:r>
    </w:p>
    <w:p>
      <w:pPr>
        <w:pStyle w:val="14"/>
      </w:pPr>
      <w:r>
        <w:t>2022安排机关运行经费17.25万元，其中办公费1.01万元、印刷费0.2万元、邮电费1.82万元、差旅费1.22万元、会议费0.41万元、公务用运行维护费2.84万元、培训费0.81万元、其他交通费用8.94万元。</w:t>
      </w:r>
    </w:p>
    <w:p>
      <w:pPr>
        <w:pStyle w:val="14"/>
      </w:pPr>
      <w:r>
        <w:t>四、财政拨款“三公”经费预算情况及增减变化原因</w:t>
      </w:r>
    </w:p>
    <w:p>
      <w:pPr>
        <w:pStyle w:val="14"/>
      </w:pPr>
      <w:r>
        <w:t>2022年，财政拨款“三公”经费预算安排2.84万元，</w:t>
      </w:r>
    </w:p>
    <w:p>
      <w:pPr>
        <w:pStyle w:val="14"/>
      </w:pPr>
      <w:r>
        <w:t>（一）公务用车购置及运行费。共计安排2.84万元，较上年预算持平。</w:t>
      </w:r>
    </w:p>
    <w:p>
      <w:pPr>
        <w:pStyle w:val="14"/>
      </w:pPr>
      <w:r>
        <w:t>①公务用车购置安排0万元。较上年预算持平。</w:t>
      </w:r>
    </w:p>
    <w:p>
      <w:pPr>
        <w:pStyle w:val="14"/>
      </w:pPr>
      <w:r>
        <w:t>②公车运行维护经费安排2.84万元，较上年持平。</w:t>
      </w:r>
    </w:p>
    <w:p>
      <w:pPr>
        <w:pStyle w:val="14"/>
      </w:pPr>
      <w:r>
        <w:t>（二）公务接待费安排0万元，较上年持平。</w:t>
      </w:r>
    </w:p>
    <w:p>
      <w:pPr>
        <w:pStyle w:val="14"/>
      </w:pPr>
      <w:r>
        <w:t>（三）因公出国（境）费安排0万元，与上年持平。</w:t>
      </w:r>
    </w:p>
    <w:p>
      <w:pPr>
        <w:pStyle w:val="14"/>
      </w:pPr>
      <w:r>
        <w:t>五、绩效预算信息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18"/>
      </w:pPr>
      <w:r>
        <w:t>2022年，负责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审计政务管理内容为信息保障安全有效，信息化建设稳步推进；加强宣传引导；提高人员业务水平；促进审计文化研究，推动审计事业发展。</w:t>
      </w:r>
    </w:p>
    <w:p>
      <w:pPr>
        <w:pStyle w:val="18"/>
      </w:pPr>
      <w:r>
        <w:t>总体绩效目标：严格高质量完成全年审计工作，审计要促改革、促发展。审计业务工作计划完成率达90%以上，审计结果落实情况达80%以上，专项审计调查工作计划完成率达90%以上，政策建议采纳率达85%以上，审计项目审理覆盖率达100%，审计报告合格率达100%。加快金审工程三期项目建设，提升审计信息化水平和大数据分析能力，实现审计全覆盖，建设数据分析室，推动实现“总体分析、发现疑点、分散核实、系统研究”。</w:t>
      </w:r>
    </w:p>
    <w:p>
      <w:pPr>
        <w:spacing w:line="500" w:lineRule="exact"/>
        <w:ind w:firstLine="560"/>
      </w:pPr>
      <w:r>
        <w:rPr>
          <w:rFonts w:eastAsia="方正仿宋_GBK"/>
          <w:color w:val="000000"/>
          <w:sz w:val="28"/>
        </w:rPr>
        <w:t>（二）分项绩效目标</w:t>
      </w:r>
    </w:p>
    <w:p>
      <w:pPr>
        <w:pStyle w:val="19"/>
      </w:pPr>
      <w:r>
        <w:rPr>
          <w:rFonts w:hint="eastAsia"/>
          <w:lang w:eastAsia="zh-CN"/>
        </w:rPr>
        <w:t>单位</w:t>
      </w:r>
      <w:r>
        <w:t>分项绩效目标</w:t>
      </w:r>
    </w:p>
    <w:p>
      <w:pPr>
        <w:pStyle w:val="19"/>
      </w:pPr>
      <w:r>
        <w:t>审计业务绩效指标：数量指标一般审计业务和专项审计调查监督次数完成59次；完成审计项目数量36个；形成整改建议书36个；问题回查数量占发现问题数量比90%；时效指标监督审计时间贯穿审计全过程；成本指标项目资金完成率达100%；社会效益指标审计整改完成率100%；生态效益指标实现绿色共生发展；满意度指标被审计对象满意度达100%。</w:t>
      </w:r>
    </w:p>
    <w:p>
      <w:pPr>
        <w:pStyle w:val="19"/>
      </w:pPr>
      <w:r>
        <w:t>审计政务管理绩效指标：数量指标年度培训25人次；培训合格率达95%以上；数据分析室建设综合业务保障率逐步提升，部门数据分析率达90%，项目完成率100%，资金完成率达100%，按时限完成项目建设；职工满意度达95%以上。</w:t>
      </w:r>
    </w:p>
    <w:p>
      <w:pPr>
        <w:spacing w:line="500" w:lineRule="exact"/>
        <w:ind w:firstLine="560"/>
      </w:pPr>
      <w:r>
        <w:rPr>
          <w:rFonts w:eastAsia="方正仿宋_GBK"/>
          <w:color w:val="000000"/>
          <w:sz w:val="28"/>
        </w:rPr>
        <w:t>（三）工作保障措施</w:t>
      </w:r>
    </w:p>
    <w:p>
      <w:pPr>
        <w:pStyle w:val="20"/>
      </w:pPr>
      <w:r>
        <w:t>根据年初工作计划，合理安排年度审计任务，具体落实到科室和责任人，明确时限，重点抓审计整改情况落实；建立部门内部分工合作机制，完善责任机制；按照年度学习计划及上级业务主管部门要求，通过多种方式开展业务培训。</w:t>
      </w:r>
    </w:p>
    <w:p>
      <w:pPr>
        <w:pStyle w:val="20"/>
      </w:pPr>
      <w:r>
        <w:t>1.完善制度建设：完善预算绩效管理制度、资金管理办法、工作保障制度等，为全年预算绩效目标的实现奠定制度基础。</w:t>
      </w:r>
    </w:p>
    <w:p>
      <w:pPr>
        <w:pStyle w:val="20"/>
      </w:pPr>
      <w:r>
        <w:t>2.加强支出管理:通过优化支出结构、编细编实预算、加快履行政府采购手续、加快项目实施、及时支付资金,确保支出进度达标。</w:t>
      </w:r>
    </w:p>
    <w:p>
      <w:pPr>
        <w:pStyle w:val="20"/>
      </w:pPr>
      <w:r>
        <w:t>3.加强绩效运行监控:将绩效管理工作作为一项日常性重要工作来抓，发现问题及时采取措施，确保绩效目标如期保质实现。</w:t>
      </w:r>
    </w:p>
    <w:p>
      <w:pPr>
        <w:pStyle w:val="20"/>
      </w:pPr>
      <w:r>
        <w:t>4.做好绩效自评:按要求开展上年度部门预算绩效自评和重点评价工作，对评价中发现的问题及时整改，调整优化支出结构，提高财政资金使用效益。</w:t>
      </w:r>
    </w:p>
    <w:p>
      <w:pPr>
        <w:pStyle w:val="20"/>
      </w:pPr>
      <w:r>
        <w:t>5.严格落实《</w:t>
      </w:r>
      <w:r>
        <w:rPr>
          <w:rFonts w:hint="eastAsia"/>
          <w:lang w:eastAsia="zh-CN"/>
        </w:rPr>
        <w:t>中华人民共和国</w:t>
      </w:r>
      <w:bookmarkStart w:id="1" w:name="_GoBack"/>
      <w:bookmarkEnd w:id="1"/>
      <w:r>
        <w:t>政府采购法》</w:t>
      </w:r>
      <w:r>
        <w:rPr>
          <w:rFonts w:hint="eastAsia"/>
          <w:lang w:eastAsia="zh-CN"/>
        </w:rPr>
        <w:t>《中华人民共和国预算法》</w:t>
      </w:r>
      <w:r>
        <w:t>《国家电子政务工程建设项目管理暂行办法》等法律法规要求，依法依规按程序办事，规范政府采购行为，严格预算管理规定，加强工程质量控制。</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1、审计政务管理绩效目标表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通过分析室建设，实现对全县所有预算单位业务数据、财务数据的分析监控，确保各部门经济运行规范合理，为政府决策提供充分依据。具体绩效目标为：对部门数据采集率达100%；数据分析率90%；数据反馈率100%；被审计对象满意度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部门数据采集率</w:t>
            </w:r>
          </w:p>
        </w:tc>
        <w:tc>
          <w:tcPr>
            <w:tcW w:w="2835" w:type="dxa"/>
            <w:vAlign w:val="center"/>
          </w:tcPr>
          <w:p>
            <w:pPr>
              <w:pStyle w:val="9"/>
            </w:pPr>
            <w:r>
              <w:t>部门数据采集率</w:t>
            </w:r>
          </w:p>
        </w:tc>
        <w:tc>
          <w:tcPr>
            <w:tcW w:w="2551" w:type="dxa"/>
            <w:vAlign w:val="center"/>
          </w:tcPr>
          <w:p>
            <w:pPr>
              <w:pStyle w:val="9"/>
            </w:pPr>
            <w:r>
              <w:t>≥95</w:t>
            </w:r>
          </w:p>
        </w:tc>
        <w:tc>
          <w:tcPr>
            <w:tcW w:w="2268" w:type="dxa"/>
            <w:vAlign w:val="center"/>
          </w:tcPr>
          <w:p>
            <w:pPr>
              <w:pStyle w:val="9"/>
              <w:rPr>
                <w:rFonts w:hint="eastAsia" w:eastAsia="方正书宋_GBK"/>
                <w:lang w:eastAsia="zh-CN"/>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项目完成率</w:t>
            </w:r>
          </w:p>
        </w:tc>
        <w:tc>
          <w:tcPr>
            <w:tcW w:w="2835" w:type="dxa"/>
            <w:vAlign w:val="center"/>
          </w:tcPr>
          <w:p>
            <w:pPr>
              <w:pStyle w:val="9"/>
            </w:pPr>
            <w:r>
              <w:t>项目完成率</w:t>
            </w:r>
          </w:p>
        </w:tc>
        <w:tc>
          <w:tcPr>
            <w:tcW w:w="2551" w:type="dxa"/>
            <w:vAlign w:val="center"/>
          </w:tcPr>
          <w:p>
            <w:pPr>
              <w:pStyle w:val="9"/>
            </w:pPr>
            <w:r>
              <w:t>≥95</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项目预算控制数</w:t>
            </w:r>
          </w:p>
        </w:tc>
        <w:tc>
          <w:tcPr>
            <w:tcW w:w="2835" w:type="dxa"/>
            <w:vAlign w:val="center"/>
          </w:tcPr>
          <w:p>
            <w:pPr>
              <w:pStyle w:val="9"/>
            </w:pPr>
            <w:r>
              <w:t>项目预算控制数</w:t>
            </w:r>
          </w:p>
        </w:tc>
        <w:tc>
          <w:tcPr>
            <w:tcW w:w="2551" w:type="dxa"/>
            <w:vAlign w:val="center"/>
          </w:tcPr>
          <w:p>
            <w:pPr>
              <w:pStyle w:val="9"/>
            </w:pPr>
            <w:r>
              <w:t>≥15</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促进数据完善</w:t>
            </w:r>
          </w:p>
        </w:tc>
        <w:tc>
          <w:tcPr>
            <w:tcW w:w="2835" w:type="dxa"/>
            <w:vAlign w:val="center"/>
          </w:tcPr>
          <w:p>
            <w:pPr>
              <w:pStyle w:val="9"/>
            </w:pPr>
            <w:r>
              <w:t>促进数据完善</w:t>
            </w:r>
          </w:p>
        </w:tc>
        <w:tc>
          <w:tcPr>
            <w:tcW w:w="2551" w:type="dxa"/>
            <w:vAlign w:val="center"/>
          </w:tcPr>
          <w:p>
            <w:pPr>
              <w:pStyle w:val="9"/>
            </w:pPr>
            <w:r>
              <w:t>≥95</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保证绿色协调发展</w:t>
            </w:r>
          </w:p>
        </w:tc>
        <w:tc>
          <w:tcPr>
            <w:tcW w:w="2835" w:type="dxa"/>
            <w:vAlign w:val="center"/>
          </w:tcPr>
          <w:p>
            <w:pPr>
              <w:pStyle w:val="9"/>
            </w:pPr>
            <w:r>
              <w:t>保证绿色协调发展</w:t>
            </w:r>
          </w:p>
        </w:tc>
        <w:tc>
          <w:tcPr>
            <w:tcW w:w="2551" w:type="dxa"/>
            <w:vAlign w:val="center"/>
          </w:tcPr>
          <w:p>
            <w:pPr>
              <w:pStyle w:val="9"/>
            </w:pPr>
            <w:r>
              <w:t>实现单位绿色共生发展</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满足大数据审计需求</w:t>
            </w:r>
          </w:p>
        </w:tc>
        <w:tc>
          <w:tcPr>
            <w:tcW w:w="2835" w:type="dxa"/>
            <w:vAlign w:val="center"/>
          </w:tcPr>
          <w:p>
            <w:pPr>
              <w:pStyle w:val="9"/>
            </w:pPr>
            <w:r>
              <w:t>满足大数据审计需求</w:t>
            </w:r>
          </w:p>
        </w:tc>
        <w:tc>
          <w:tcPr>
            <w:tcW w:w="2551" w:type="dxa"/>
            <w:vAlign w:val="center"/>
          </w:tcPr>
          <w:p>
            <w:pPr>
              <w:pStyle w:val="9"/>
            </w:pPr>
            <w:r>
              <w:t>≥95</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职工满意度</w:t>
            </w:r>
          </w:p>
        </w:tc>
        <w:tc>
          <w:tcPr>
            <w:tcW w:w="2835" w:type="dxa"/>
            <w:vAlign w:val="center"/>
          </w:tcPr>
          <w:p>
            <w:pPr>
              <w:pStyle w:val="9"/>
            </w:pPr>
            <w:r>
              <w:t>职工满意度</w:t>
            </w:r>
          </w:p>
        </w:tc>
        <w:tc>
          <w:tcPr>
            <w:tcW w:w="2551" w:type="dxa"/>
            <w:vAlign w:val="center"/>
          </w:tcPr>
          <w:p>
            <w:pPr>
              <w:pStyle w:val="9"/>
            </w:pPr>
            <w:r>
              <w:t>≥96</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2、审计专项业务经费绩效目标表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一般审计业务和专项审计调查监督次数完成59次；完成审计项目数量36个；形成整改建议书36个；问题回查数量占发现问题数量比90%；时效指标监督审计时间贯穿审计全过程；成本指标项目资金完成率达100%；社会效益指标审计整改完成率100%；生态效益指标实现绿色共生发展；满意度指标被审计对象满意度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审计项目数量</w:t>
            </w:r>
          </w:p>
        </w:tc>
        <w:tc>
          <w:tcPr>
            <w:tcW w:w="2835" w:type="dxa"/>
            <w:vAlign w:val="center"/>
          </w:tcPr>
          <w:p>
            <w:pPr>
              <w:pStyle w:val="9"/>
            </w:pPr>
            <w:r>
              <w:t>审计项目数量</w:t>
            </w:r>
          </w:p>
        </w:tc>
        <w:tc>
          <w:tcPr>
            <w:tcW w:w="2551" w:type="dxa"/>
            <w:vAlign w:val="center"/>
          </w:tcPr>
          <w:p>
            <w:pPr>
              <w:pStyle w:val="9"/>
            </w:pPr>
            <w:r>
              <w:t>≥36</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问题回查率</w:t>
            </w:r>
          </w:p>
        </w:tc>
        <w:tc>
          <w:tcPr>
            <w:tcW w:w="2835" w:type="dxa"/>
            <w:vAlign w:val="center"/>
          </w:tcPr>
          <w:p>
            <w:pPr>
              <w:pStyle w:val="9"/>
            </w:pPr>
            <w:r>
              <w:t>问题回查率</w:t>
            </w:r>
          </w:p>
        </w:tc>
        <w:tc>
          <w:tcPr>
            <w:tcW w:w="2551" w:type="dxa"/>
            <w:vAlign w:val="center"/>
          </w:tcPr>
          <w:p>
            <w:pPr>
              <w:pStyle w:val="9"/>
            </w:pPr>
            <w:r>
              <w:t>≥90</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项目预算控制数率</w:t>
            </w:r>
          </w:p>
        </w:tc>
        <w:tc>
          <w:tcPr>
            <w:tcW w:w="2835" w:type="dxa"/>
            <w:vAlign w:val="center"/>
          </w:tcPr>
          <w:p>
            <w:pPr>
              <w:pStyle w:val="9"/>
            </w:pPr>
            <w:r>
              <w:t>项目预算控制数率</w:t>
            </w:r>
          </w:p>
        </w:tc>
        <w:tc>
          <w:tcPr>
            <w:tcW w:w="2551" w:type="dxa"/>
            <w:vAlign w:val="center"/>
          </w:tcPr>
          <w:p>
            <w:pPr>
              <w:pStyle w:val="9"/>
            </w:pPr>
            <w:r>
              <w:t>≥51</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审计整改完成率</w:t>
            </w:r>
          </w:p>
        </w:tc>
        <w:tc>
          <w:tcPr>
            <w:tcW w:w="2835" w:type="dxa"/>
            <w:vAlign w:val="center"/>
          </w:tcPr>
          <w:p>
            <w:pPr>
              <w:pStyle w:val="9"/>
            </w:pPr>
            <w:r>
              <w:t>审计整改完成率</w:t>
            </w:r>
          </w:p>
        </w:tc>
        <w:tc>
          <w:tcPr>
            <w:tcW w:w="2551" w:type="dxa"/>
            <w:vAlign w:val="center"/>
          </w:tcPr>
          <w:p>
            <w:pPr>
              <w:pStyle w:val="9"/>
            </w:pPr>
            <w:r>
              <w:t>≥100</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满足审计业务办公需求</w:t>
            </w:r>
          </w:p>
        </w:tc>
        <w:tc>
          <w:tcPr>
            <w:tcW w:w="2835" w:type="dxa"/>
            <w:vAlign w:val="center"/>
          </w:tcPr>
          <w:p>
            <w:pPr>
              <w:pStyle w:val="9"/>
            </w:pPr>
            <w:r>
              <w:t>满足审计业务办公需求</w:t>
            </w:r>
          </w:p>
        </w:tc>
        <w:tc>
          <w:tcPr>
            <w:tcW w:w="2551" w:type="dxa"/>
            <w:vAlign w:val="center"/>
          </w:tcPr>
          <w:p>
            <w:pPr>
              <w:pStyle w:val="9"/>
            </w:pPr>
            <w:r>
              <w:t>≥100</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单位人员满意度</w:t>
            </w:r>
          </w:p>
        </w:tc>
        <w:tc>
          <w:tcPr>
            <w:tcW w:w="2835" w:type="dxa"/>
            <w:vAlign w:val="center"/>
          </w:tcPr>
          <w:p>
            <w:pPr>
              <w:pStyle w:val="9"/>
            </w:pPr>
            <w:r>
              <w:t>单位人员满意度</w:t>
            </w:r>
          </w:p>
        </w:tc>
        <w:tc>
          <w:tcPr>
            <w:tcW w:w="2551" w:type="dxa"/>
            <w:vAlign w:val="center"/>
          </w:tcPr>
          <w:p>
            <w:pPr>
              <w:pStyle w:val="9"/>
            </w:pPr>
            <w:r>
              <w:t>≥100</w:t>
            </w:r>
          </w:p>
        </w:tc>
        <w:tc>
          <w:tcPr>
            <w:tcW w:w="2268" w:type="dxa"/>
            <w:vAlign w:val="center"/>
          </w:tcPr>
          <w:p>
            <w:pPr>
              <w:pStyle w:val="9"/>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bl>
    <w:p>
      <w:pPr>
        <w:sectPr>
          <w:pgSz w:w="16840" w:h="11900" w:orient="landscape"/>
          <w:pgMar w:top="1361" w:right="1020" w:bottom="1134" w:left="1020" w:header="720" w:footer="720" w:gutter="0"/>
          <w:cols w:space="720" w:num="1"/>
        </w:sectPr>
      </w:pPr>
    </w:p>
    <w:p>
      <w:pPr>
        <w:pStyle w:val="14"/>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2022年，乐亭县审计局安排政府采购预算0.00万元。具体内容见下表。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319002乐亭县审计局</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乐亭县审计局上年末固定资产金额为121.73万元（详见下表）。本年度拟购置固定资产总额为0.00万元，已按要求列入政府采购预算，详见政府采购预算表。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319002乐亭县审计局</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w:t>
            </w:r>
          </w:p>
        </w:tc>
        <w:tc>
          <w:tcPr>
            <w:tcW w:w="2835" w:type="dxa"/>
            <w:vAlign w:val="center"/>
          </w:tcPr>
          <w:p>
            <w:pPr>
              <w:pStyle w:val="10"/>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r>
              <w:t>209</w:t>
            </w:r>
          </w:p>
        </w:tc>
        <w:tc>
          <w:tcPr>
            <w:tcW w:w="2835" w:type="dxa"/>
            <w:vAlign w:val="center"/>
          </w:tcPr>
          <w:p>
            <w:pPr>
              <w:pStyle w:val="10"/>
            </w:pPr>
            <w:r>
              <w:t>96.17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pStyle w:val="14"/>
      </w:pPr>
      <w:r>
        <w:t>我单位无政府性基金预算，故表7《部门预算政府性基金预算财政拨款支出表》为空表。</w:t>
      </w:r>
    </w:p>
    <w:p>
      <w:pPr>
        <w:ind w:firstLine="320" w:firstLineChars="1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我单位无国有资本经营</w:t>
      </w:r>
      <w:r>
        <w:rPr>
          <w:rFonts w:hint="eastAsia" w:asciiTheme="majorEastAsia" w:hAnsiTheme="majorEastAsia" w:eastAsiaTheme="majorEastAsia" w:cstheme="majorEastAsia"/>
          <w:sz w:val="32"/>
          <w:szCs w:val="32"/>
          <w:lang w:eastAsia="zh-CN"/>
        </w:rPr>
        <w:t>预算</w:t>
      </w:r>
      <w:r>
        <w:rPr>
          <w:rFonts w:hint="eastAsia" w:asciiTheme="majorEastAsia" w:hAnsiTheme="majorEastAsia" w:eastAsiaTheme="majorEastAsia" w:cstheme="majorEastAsia"/>
          <w:sz w:val="32"/>
          <w:szCs w:val="32"/>
        </w:rPr>
        <w:t>，故表8《部门预算国有资本经营预算财政拨款支出表》为空表。</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zZiY2NjYTY5NjYyNTAyZTYyNDIzOWFlYzU2ZjYifQ=="/>
  </w:docVars>
  <w:rsids>
    <w:rsidRoot w:val="0CB67D58"/>
    <w:rsid w:val="0CB67D58"/>
    <w:rsid w:val="1240373C"/>
    <w:rsid w:val="14753F30"/>
    <w:rsid w:val="228702C0"/>
    <w:rsid w:val="29A356D4"/>
    <w:rsid w:val="2B52380A"/>
    <w:rsid w:val="3DFE0E0D"/>
    <w:rsid w:val="5B2F7591"/>
    <w:rsid w:val="69F13446"/>
    <w:rsid w:val="6A6A6B01"/>
    <w:rsid w:val="6E566F57"/>
    <w:rsid w:val="71C2093A"/>
    <w:rsid w:val="773F6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6">
    <w:name w:val="单元格样式23"/>
    <w:basedOn w:val="1"/>
    <w:qFormat/>
    <w:uiPriority w:val="0"/>
    <w:pPr>
      <w:jc w:val="right"/>
    </w:pPr>
    <w:rPr>
      <w:rFonts w:ascii="方正书宋_GBK" w:hAnsi="方正书宋_GBK" w:eastAsia="方正书宋_GBK" w:cs="方正书宋_GBK"/>
    </w:rPr>
  </w:style>
  <w:style w:type="paragraph" w:customStyle="1" w:styleId="17">
    <w:name w:val="TOC 1"/>
    <w:basedOn w:val="1"/>
    <w:qFormat/>
    <w:uiPriority w:val="0"/>
    <w:pPr>
      <w:spacing w:before="120"/>
      <w:ind w:firstLine="560"/>
    </w:pPr>
    <w:rPr>
      <w:rFonts w:eastAsia="方正仿宋_GBK"/>
      <w:color w:val="000000"/>
      <w:sz w:val="28"/>
    </w:rPr>
  </w:style>
  <w:style w:type="paragraph" w:customStyle="1" w:styleId="18">
    <w:name w:val="插入文本样式-插入总体目标文件"/>
    <w:basedOn w:val="1"/>
    <w:qFormat/>
    <w:uiPriority w:val="0"/>
    <w:pPr>
      <w:spacing w:line="500" w:lineRule="exact"/>
      <w:ind w:firstLine="560"/>
    </w:pPr>
    <w:rPr>
      <w:rFonts w:eastAsia="方正仿宋_GBK"/>
      <w:sz w:val="28"/>
    </w:rPr>
  </w:style>
  <w:style w:type="paragraph" w:customStyle="1" w:styleId="19">
    <w:name w:val="插入文本样式-插入职责分类绩效目标文件"/>
    <w:basedOn w:val="1"/>
    <w:qFormat/>
    <w:uiPriority w:val="0"/>
    <w:pPr>
      <w:spacing w:line="500" w:lineRule="exact"/>
      <w:ind w:firstLine="560"/>
    </w:pPr>
    <w:rPr>
      <w:rFonts w:eastAsia="方正仿宋_GBK"/>
      <w:sz w:val="28"/>
    </w:rPr>
  </w:style>
  <w:style w:type="paragraph" w:customStyle="1" w:styleId="20">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2022-06-22T01:49:00Z</dcterms:created>
  <dc:creator>Administrator</dc:creator>
  <cp:lastModifiedBy>Administrator</cp:lastModifiedBy>
  <dcterms:modified xsi:type="dcterms:W3CDTF">2024-01-30T05:52:46Z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9DFAD21D8C7648DE9F13085BF6C58D85_13</vt:lpwstr>
  </property>
</Properties>
</file>