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outlineLvl w:val="0"/>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color w:val="000000"/>
          <w:sz w:val="44"/>
          <w:szCs w:val="44"/>
        </w:rPr>
        <w:t>2022年</w:t>
      </w:r>
      <w:r>
        <w:rPr>
          <w:rFonts w:hint="eastAsia" w:ascii="Times New Roman" w:hAnsi="Times New Roman" w:eastAsia="方正小标宋简体" w:cs="Times New Roman"/>
          <w:b w:val="0"/>
          <w:bCs/>
          <w:color w:val="000000"/>
          <w:sz w:val="44"/>
          <w:szCs w:val="44"/>
          <w:lang w:eastAsia="zh-CN"/>
        </w:rPr>
        <w:t>部门</w:t>
      </w:r>
      <w:r>
        <w:rPr>
          <w:rFonts w:hint="default" w:ascii="Times New Roman" w:hAnsi="Times New Roman" w:eastAsia="方正小标宋简体" w:cs="Times New Roman"/>
          <w:b w:val="0"/>
          <w:bCs/>
          <w:color w:val="000000"/>
          <w:sz w:val="44"/>
          <w:szCs w:val="44"/>
        </w:rPr>
        <w:t>预算信息公开目录</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第一部分  </w:t>
      </w:r>
      <w:r>
        <w:rPr>
          <w:rFonts w:hint="eastAsia" w:ascii="Times New Roman" w:hAnsi="Times New Roman" w:eastAsia="黑体" w:cs="Times New Roman"/>
          <w:b/>
          <w:color w:val="000000"/>
          <w:sz w:val="30"/>
          <w:lang w:eastAsia="zh-CN"/>
        </w:rPr>
        <w:t>部门</w:t>
      </w:r>
      <w:r>
        <w:rPr>
          <w:rFonts w:hint="default" w:ascii="Times New Roman" w:hAnsi="Times New Roman" w:eastAsia="黑体" w:cs="Times New Roman"/>
          <w:b/>
          <w:color w:val="000000"/>
          <w:sz w:val="30"/>
        </w:rPr>
        <w:t>预算</w:t>
      </w:r>
    </w:p>
    <w:p>
      <w:pPr>
        <w:spacing w:before="0" w:after="0" w:line="240" w:lineRule="auto"/>
        <w:ind w:firstLine="0"/>
        <w:jc w:val="left"/>
        <w:outlineLvl w:val="9"/>
        <w:rPr>
          <w:rFonts w:hint="default" w:ascii="Times New Roman" w:hAnsi="Times New Roman" w:eastAsia="楷体_GB2312" w:cs="Times New Roman"/>
        </w:rPr>
      </w:pPr>
      <w:r>
        <w:rPr>
          <w:rFonts w:hint="eastAsia" w:ascii="Times New Roman" w:hAnsi="Times New Roman" w:eastAsia="楷体_GB2312" w:cs="Times New Roman"/>
          <w:b/>
          <w:color w:val="000000"/>
          <w:sz w:val="28"/>
          <w:lang w:eastAsia="zh-CN"/>
        </w:rPr>
        <w:t>部门</w:t>
      </w:r>
      <w:r>
        <w:rPr>
          <w:rFonts w:hint="default" w:ascii="Times New Roman" w:hAnsi="Times New Roman" w:eastAsia="楷体_GB2312" w:cs="Times New Roman"/>
          <w:b/>
          <w:color w:val="000000"/>
          <w:sz w:val="28"/>
        </w:rPr>
        <w:t>预算公开表</w:t>
      </w:r>
    </w:p>
    <w:p>
      <w:pPr>
        <w:pStyle w:val="4"/>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"2-2"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"_Toc_2_2_0000000001" </w:instrText>
      </w:r>
      <w:r>
        <w:rPr>
          <w:rFonts w:hint="default" w:ascii="Times New Roman" w:hAnsi="Times New Roman" w:eastAsia="仿宋_GB2312" w:cs="Times New Roman"/>
        </w:rPr>
        <w:fldChar w:fldCharType="separate"/>
      </w:r>
      <w:r>
        <w:rPr>
          <w:rFonts w:hint="eastAsia" w:eastAsia="仿宋_GB2312" w:cs="Times New Roman"/>
          <w:lang w:eastAsia="zh-CN"/>
        </w:rPr>
        <w:t>部门</w:t>
      </w:r>
      <w:r>
        <w:rPr>
          <w:rFonts w:hint="default" w:ascii="Times New Roman" w:hAnsi="Times New Roman" w:eastAsia="仿宋_GB2312" w:cs="Times New Roman"/>
        </w:rPr>
        <w:t>预算收</w:t>
      </w:r>
      <w:r>
        <w:rPr>
          <w:rFonts w:hint="eastAsia" w:eastAsia="仿宋_GB2312" w:cs="Times New Roman"/>
          <w:lang w:val="en-US" w:eastAsia="zh-CN"/>
        </w:rPr>
        <w:t>入</w:t>
      </w:r>
      <w:r>
        <w:rPr>
          <w:rFonts w:hint="default" w:ascii="Times New Roman" w:hAnsi="Times New Roman" w:eastAsia="仿宋_GB2312" w:cs="Times New Roman"/>
        </w:rPr>
        <w:t>总表</w:t>
      </w:r>
      <w:r>
        <w:rPr>
          <w:rFonts w:hint="default" w:ascii="Times New Roman" w:hAnsi="Times New Roman" w:eastAsia="仿宋_GB2312" w:cs="Times New Roman"/>
        </w:rPr>
        <w:tab/>
      </w:r>
      <w:r>
        <w:rPr>
          <w:rFonts w:hint="eastAsia" w:eastAsia="仿宋_GB2312" w:cs="Times New Roman"/>
          <w:lang w:val="en-US" w:eastAsia="zh-CN"/>
        </w:rPr>
        <w:t>4</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"_Toc_2_2_0000000002" </w:instrText>
      </w:r>
      <w:r>
        <w:rPr>
          <w:rFonts w:hint="default" w:ascii="Times New Roman" w:hAnsi="Times New Roman" w:eastAsia="仿宋_GB2312" w:cs="Times New Roman"/>
        </w:rPr>
        <w:fldChar w:fldCharType="separate"/>
      </w:r>
      <w:r>
        <w:rPr>
          <w:rFonts w:hint="eastAsia" w:eastAsia="仿宋_GB2312" w:cs="Times New Roman"/>
          <w:lang w:eastAsia="zh-CN"/>
        </w:rPr>
        <w:t>部门</w:t>
      </w:r>
      <w:r>
        <w:rPr>
          <w:rFonts w:hint="default" w:ascii="Times New Roman" w:hAnsi="Times New Roman" w:eastAsia="仿宋_GB2312" w:cs="Times New Roman"/>
        </w:rPr>
        <w:t>预算</w:t>
      </w:r>
      <w:r>
        <w:rPr>
          <w:rFonts w:hint="eastAsia" w:eastAsia="仿宋_GB2312" w:cs="Times New Roman"/>
          <w:lang w:val="en-US" w:eastAsia="zh-CN"/>
        </w:rPr>
        <w:t>支出</w:t>
      </w:r>
      <w:r>
        <w:rPr>
          <w:rFonts w:hint="default" w:ascii="Times New Roman" w:hAnsi="Times New Roman" w:eastAsia="仿宋_GB2312" w:cs="Times New Roman"/>
        </w:rPr>
        <w:t>总表</w:t>
      </w:r>
      <w:r>
        <w:rPr>
          <w:rFonts w:hint="default" w:ascii="Times New Roman" w:hAnsi="Times New Roman" w:eastAsia="仿宋_GB2312" w:cs="Times New Roman"/>
        </w:rPr>
        <w:tab/>
      </w:r>
      <w:r>
        <w:rPr>
          <w:rFonts w:hint="eastAsia" w:eastAsia="仿宋_GB2312" w:cs="Times New Roman"/>
          <w:lang w:val="en-US" w:eastAsia="zh-CN"/>
        </w:rPr>
        <w:t>5</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"_Toc_2_2_0000000003" </w:instrText>
      </w:r>
      <w:r>
        <w:rPr>
          <w:rFonts w:hint="default" w:ascii="Times New Roman" w:hAnsi="Times New Roman" w:eastAsia="仿宋_GB2312" w:cs="Times New Roman"/>
        </w:rPr>
        <w:fldChar w:fldCharType="separate"/>
      </w:r>
      <w:r>
        <w:rPr>
          <w:rFonts w:hint="eastAsia" w:eastAsia="仿宋_GB2312" w:cs="Times New Roman"/>
          <w:lang w:eastAsia="zh-CN"/>
        </w:rPr>
        <w:t>部门</w:t>
      </w:r>
      <w:r>
        <w:rPr>
          <w:rFonts w:hint="default" w:ascii="Times New Roman" w:hAnsi="Times New Roman" w:eastAsia="仿宋_GB2312" w:cs="Times New Roman"/>
        </w:rPr>
        <w:t>预算</w:t>
      </w:r>
      <w:r>
        <w:rPr>
          <w:rFonts w:hint="eastAsia" w:eastAsia="仿宋_GB2312" w:cs="Times New Roman"/>
          <w:lang w:val="en-US" w:eastAsia="zh-CN"/>
        </w:rPr>
        <w:t>收</w:t>
      </w:r>
      <w:r>
        <w:rPr>
          <w:rFonts w:hint="default" w:ascii="Times New Roman" w:hAnsi="Times New Roman" w:eastAsia="仿宋_GB2312" w:cs="Times New Roman"/>
        </w:rPr>
        <w:t>支总表</w:t>
      </w:r>
      <w:r>
        <w:rPr>
          <w:rFonts w:hint="default" w:ascii="Times New Roman" w:hAnsi="Times New Roman" w:eastAsia="仿宋_GB2312" w:cs="Times New Roman"/>
        </w:rPr>
        <w:tab/>
      </w:r>
      <w:r>
        <w:rPr>
          <w:rFonts w:hint="eastAsia" w:eastAsia="仿宋_GB2312" w:cs="Times New Roman"/>
          <w:lang w:val="en-US" w:eastAsia="zh-CN"/>
        </w:rPr>
        <w:t>6</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"_Toc_2_2_0000000004" </w:instrText>
      </w:r>
      <w:r>
        <w:rPr>
          <w:rFonts w:hint="default" w:ascii="Times New Roman" w:hAnsi="Times New Roman" w:eastAsia="仿宋_GB2312" w:cs="Times New Roman"/>
        </w:rPr>
        <w:fldChar w:fldCharType="separate"/>
      </w:r>
      <w:r>
        <w:rPr>
          <w:rFonts w:hint="eastAsia" w:eastAsia="仿宋_GB2312" w:cs="Times New Roman"/>
          <w:lang w:eastAsia="zh-CN"/>
        </w:rPr>
        <w:t>部门</w:t>
      </w:r>
      <w:r>
        <w:rPr>
          <w:rFonts w:hint="default" w:ascii="Times New Roman" w:hAnsi="Times New Roman" w:eastAsia="仿宋_GB2312" w:cs="Times New Roman"/>
        </w:rPr>
        <w:t>预算财政拨款收支总表</w:t>
      </w:r>
      <w:r>
        <w:rPr>
          <w:rFonts w:hint="default" w:ascii="Times New Roman" w:hAnsi="Times New Roman" w:eastAsia="仿宋_GB2312" w:cs="Times New Roman"/>
        </w:rPr>
        <w:tab/>
      </w:r>
      <w:r>
        <w:rPr>
          <w:rFonts w:hint="eastAsia" w:eastAsia="仿宋_GB2312" w:cs="Times New Roman"/>
          <w:lang w:val="en-US" w:eastAsia="zh-CN"/>
        </w:rPr>
        <w:t>8</w:t>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"_Toc_2_2_0000000005" </w:instrText>
      </w:r>
      <w:r>
        <w:rPr>
          <w:rFonts w:hint="default" w:ascii="Times New Roman" w:hAnsi="Times New Roman" w:eastAsia="仿宋_GB2312" w:cs="Times New Roman"/>
        </w:rPr>
        <w:fldChar w:fldCharType="separate"/>
      </w:r>
      <w:r>
        <w:rPr>
          <w:rFonts w:hint="eastAsia" w:eastAsia="仿宋_GB2312" w:cs="Times New Roman"/>
          <w:lang w:eastAsia="zh-CN"/>
        </w:rPr>
        <w:t>部门</w:t>
      </w:r>
      <w:r>
        <w:rPr>
          <w:rFonts w:hint="default" w:ascii="Times New Roman" w:hAnsi="Times New Roman" w:eastAsia="仿宋_GB2312" w:cs="Times New Roman"/>
        </w:rPr>
        <w:t>预算一般公共预算财政拨款支出表</w:t>
      </w:r>
      <w:r>
        <w:rPr>
          <w:rFonts w:hint="default" w:ascii="Times New Roman" w:hAnsi="Times New Roman" w:eastAsia="仿宋_GB2312" w:cs="Times New Roman"/>
        </w:rPr>
        <w:tab/>
      </w:r>
      <w:r>
        <w:rPr>
          <w:rFonts w:hint="eastAsia" w:eastAsia="仿宋_GB2312" w:cs="Times New Roman"/>
          <w:lang w:val="en-US" w:eastAsia="zh-CN"/>
        </w:rPr>
        <w:t>9</w:t>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"_Toc_2_2_0000000006" </w:instrText>
      </w:r>
      <w:r>
        <w:rPr>
          <w:rFonts w:hint="default" w:ascii="Times New Roman" w:hAnsi="Times New Roman" w:eastAsia="仿宋_GB2312" w:cs="Times New Roman"/>
        </w:rPr>
        <w:fldChar w:fldCharType="separate"/>
      </w:r>
      <w:r>
        <w:rPr>
          <w:rFonts w:hint="eastAsia" w:eastAsia="仿宋_GB2312" w:cs="Times New Roman"/>
          <w:lang w:eastAsia="zh-CN"/>
        </w:rPr>
        <w:t>部门</w:t>
      </w:r>
      <w:r>
        <w:rPr>
          <w:rFonts w:hint="default" w:ascii="Times New Roman" w:hAnsi="Times New Roman" w:eastAsia="仿宋_GB2312" w:cs="Times New Roman"/>
        </w:rPr>
        <w:t>预算一般公共预算财政拨款基本支出表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"_Toc_2_2_0000000007" </w:instrText>
      </w:r>
      <w:r>
        <w:rPr>
          <w:rFonts w:hint="default" w:ascii="Times New Roman" w:hAnsi="Times New Roman" w:eastAsia="仿宋_GB2312" w:cs="Times New Roman"/>
        </w:rPr>
        <w:fldChar w:fldCharType="separate"/>
      </w:r>
      <w:r>
        <w:rPr>
          <w:rFonts w:hint="eastAsia" w:eastAsia="仿宋_GB2312" w:cs="Times New Roman"/>
          <w:lang w:eastAsia="zh-CN"/>
        </w:rPr>
        <w:t>部门</w:t>
      </w:r>
      <w:r>
        <w:rPr>
          <w:rFonts w:hint="default" w:ascii="Times New Roman" w:hAnsi="Times New Roman" w:eastAsia="仿宋_GB2312" w:cs="Times New Roman"/>
        </w:rPr>
        <w:t>预算政府基金预算财政拨款支出表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"_Toc_2_2_0000000008" </w:instrText>
      </w:r>
      <w:r>
        <w:rPr>
          <w:rFonts w:hint="default" w:ascii="Times New Roman" w:hAnsi="Times New Roman" w:eastAsia="仿宋_GB2312" w:cs="Times New Roman"/>
        </w:rPr>
        <w:fldChar w:fldCharType="separate"/>
      </w:r>
      <w:r>
        <w:rPr>
          <w:rFonts w:hint="eastAsia" w:eastAsia="仿宋_GB2312" w:cs="Times New Roman"/>
          <w:lang w:eastAsia="zh-CN"/>
        </w:rPr>
        <w:t>部门</w:t>
      </w:r>
      <w:r>
        <w:rPr>
          <w:rFonts w:hint="default" w:ascii="Times New Roman" w:hAnsi="Times New Roman" w:eastAsia="仿宋_GB2312" w:cs="Times New Roman"/>
        </w:rPr>
        <w:t>预算国有资本经营预算财政拨款支出表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2</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"_Toc_2_2_0000000009" </w:instrText>
      </w:r>
      <w:r>
        <w:rPr>
          <w:rFonts w:hint="default" w:ascii="Times New Roman" w:hAnsi="Times New Roman" w:eastAsia="仿宋_GB2312" w:cs="Times New Roman"/>
        </w:rPr>
        <w:fldChar w:fldCharType="separate"/>
      </w:r>
      <w:r>
        <w:rPr>
          <w:rFonts w:hint="eastAsia" w:eastAsia="仿宋_GB2312" w:cs="Times New Roman"/>
          <w:lang w:eastAsia="zh-CN"/>
        </w:rPr>
        <w:t>部门</w:t>
      </w:r>
      <w:r>
        <w:rPr>
          <w:rFonts w:hint="default" w:ascii="Times New Roman" w:hAnsi="Times New Roman" w:eastAsia="仿宋_GB2312" w:cs="Times New Roman"/>
        </w:rPr>
        <w:t>预算财政拨款“三公”经费支出表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3</w:t>
      </w:r>
    </w:p>
    <w:p>
      <w:pPr>
        <w:rPr>
          <w:rFonts w:hint="default" w:ascii="Times New Roman" w:hAnsi="Times New Roman" w:cs="Times New Roman"/>
        </w:rPr>
      </w:pPr>
      <w:r>
        <w:rPr>
          <w:rFonts w:hint="default" w:ascii="Times New Roman" w:hAnsi="Times New Roman" w:cs="Times New Roman"/>
        </w:rPr>
        <w:fldChar w:fldCharType="end"/>
      </w:r>
    </w:p>
    <w:p>
      <w:pPr>
        <w:spacing w:before="0" w:after="0" w:line="240" w:lineRule="auto"/>
        <w:ind w:firstLine="0"/>
        <w:jc w:val="left"/>
        <w:outlineLvl w:val="9"/>
        <w:rPr>
          <w:rFonts w:hint="default" w:ascii="Times New Roman" w:hAnsi="Times New Roman" w:eastAsia="楷体_GB2312" w:cs="Times New Roman"/>
        </w:rPr>
      </w:pPr>
      <w:r>
        <w:rPr>
          <w:rFonts w:hint="eastAsia" w:ascii="Times New Roman" w:hAnsi="Times New Roman" w:eastAsia="楷体_GB2312" w:cs="Times New Roman"/>
          <w:b/>
          <w:color w:val="000000"/>
          <w:sz w:val="28"/>
          <w:lang w:eastAsia="zh-CN"/>
        </w:rPr>
        <w:t>部门</w:t>
      </w:r>
      <w:r>
        <w:rPr>
          <w:rFonts w:hint="default" w:ascii="Times New Roman" w:hAnsi="Times New Roman" w:eastAsia="楷体_GB2312" w:cs="Times New Roman"/>
          <w:b/>
          <w:color w:val="000000"/>
          <w:sz w:val="28"/>
        </w:rPr>
        <w:t>预算信息公开情况说明</w:t>
      </w:r>
    </w:p>
    <w:p>
      <w:pPr>
        <w:pStyle w:val="4"/>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"3-3"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一、</w:t>
      </w:r>
      <w:r>
        <w:rPr>
          <w:rFonts w:hint="eastAsia" w:eastAsia="仿宋_GB2312" w:cs="Times New Roman"/>
          <w:lang w:eastAsia="zh-CN"/>
        </w:rPr>
        <w:t>部门</w:t>
      </w:r>
      <w:r>
        <w:rPr>
          <w:rFonts w:hint="default" w:ascii="Times New Roman" w:hAnsi="Times New Roman" w:eastAsia="仿宋_GB2312" w:cs="Times New Roman"/>
        </w:rPr>
        <w:t>职责及机构设置情况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_Toc_3_3_0000000010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eastAsia" w:eastAsia="仿宋_GB2312" w:cs="Times New Roman"/>
          <w:lang w:val="en-US" w:eastAsia="zh-C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二、</w:t>
      </w:r>
      <w:r>
        <w:rPr>
          <w:rFonts w:hint="eastAsia" w:eastAsia="仿宋_GB2312" w:cs="Times New Roman"/>
          <w:lang w:eastAsia="zh-CN"/>
        </w:rPr>
        <w:t>部门</w:t>
      </w:r>
      <w:r>
        <w:rPr>
          <w:rFonts w:hint="default" w:ascii="Times New Roman" w:hAnsi="Times New Roman" w:eastAsia="仿宋_GB2312" w:cs="Times New Roman"/>
        </w:rPr>
        <w:t>预算安排的总体情况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_Toc_3_3_0000000011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eastAsia" w:eastAsia="仿宋_GB2312" w:cs="Times New Roman"/>
          <w:lang w:val="en-US" w:eastAsia="zh-C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三、机关运行经费安排情况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5</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四、财政拨款“三公”经费预算情况及增减变化原因</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5</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五、预算绩效信息</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六、政府采购预算情况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七、国有资产信息</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八、名词解释</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九、其他需要说明的事项</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8</w:t>
      </w:r>
    </w:p>
    <w:p>
      <w:pPr>
        <w:jc w:val="center"/>
        <w:rPr>
          <w:rFonts w:ascii="黑体" w:hAnsi="黑体" w:eastAsia="黑体" w:cs="黑体"/>
          <w:b/>
          <w:color w:val="000000"/>
          <w:sz w:val="30"/>
        </w:rPr>
      </w:pPr>
      <w:r>
        <w:rPr>
          <w:rFonts w:hint="default" w:ascii="Times New Roman" w:hAnsi="Times New Roman" w:cs="Times New Roman"/>
        </w:rPr>
        <w:fldChar w:fldCharType="end"/>
      </w: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widowControl/>
        <w:spacing w:before="0" w:after="0" w:line="240" w:lineRule="auto"/>
        <w:ind w:firstLine="0"/>
        <w:jc w:val="center"/>
        <w:outlineLvl w:val="0"/>
        <w:rPr>
          <w:rFonts w:hint="eastAsia" w:ascii="方正小标宋简体" w:hAnsi="方正小标宋简体" w:eastAsia="方正小标宋简体" w:cs="方正小标宋简体"/>
          <w:b w:val="0"/>
          <w:bCs w:val="0"/>
          <w:color w:val="000000"/>
          <w:kern w:val="0"/>
          <w:sz w:val="72"/>
          <w:lang w:eastAsia="uk-UA"/>
        </w:rPr>
      </w:pPr>
    </w:p>
    <w:p>
      <w:pPr>
        <w:widowControl/>
        <w:spacing w:before="0" w:after="0" w:line="240" w:lineRule="auto"/>
        <w:ind w:firstLine="0"/>
        <w:jc w:val="center"/>
        <w:outlineLvl w:val="0"/>
        <w:rPr>
          <w:rFonts w:hint="eastAsia" w:ascii="方正小标宋简体" w:hAnsi="方正小标宋简体" w:eastAsia="方正小标宋简体" w:cs="方正小标宋简体"/>
          <w:b w:val="0"/>
          <w:bCs w:val="0"/>
          <w:color w:val="000000"/>
          <w:kern w:val="0"/>
          <w:sz w:val="72"/>
          <w:lang w:eastAsia="uk-UA"/>
        </w:rPr>
      </w:pPr>
      <w:r>
        <w:rPr>
          <w:rFonts w:hint="eastAsia" w:ascii="方正小标宋简体" w:hAnsi="方正小标宋简体" w:eastAsia="方正小标宋简体" w:cs="方正小标宋简体"/>
          <w:b w:val="0"/>
          <w:bCs w:val="0"/>
          <w:color w:val="000000"/>
          <w:kern w:val="0"/>
          <w:sz w:val="72"/>
          <w:lang w:eastAsia="uk-UA"/>
        </w:rPr>
        <w:t xml:space="preserve">第二部分  </w:t>
      </w:r>
      <w:r>
        <w:rPr>
          <w:rFonts w:hint="eastAsia" w:ascii="方正小标宋简体" w:hAnsi="方正小标宋简体" w:eastAsia="方正小标宋简体" w:cs="方正小标宋简体"/>
          <w:b w:val="0"/>
          <w:bCs w:val="0"/>
          <w:color w:val="000000"/>
          <w:kern w:val="0"/>
          <w:sz w:val="72"/>
          <w:lang w:eastAsia="zh-CN"/>
        </w:rPr>
        <w:t>部门</w:t>
      </w:r>
      <w:r>
        <w:rPr>
          <w:rFonts w:hint="eastAsia" w:ascii="方正小标宋简体" w:hAnsi="方正小标宋简体" w:eastAsia="方正小标宋简体" w:cs="方正小标宋简体"/>
          <w:b w:val="0"/>
          <w:bCs w:val="0"/>
          <w:color w:val="000000"/>
          <w:kern w:val="0"/>
          <w:sz w:val="72"/>
          <w:lang w:eastAsia="uk-UA"/>
        </w:rPr>
        <w:t>所属</w:t>
      </w:r>
      <w:r>
        <w:rPr>
          <w:rFonts w:hint="eastAsia" w:ascii="方正小标宋简体" w:hAnsi="方正小标宋简体" w:eastAsia="方正小标宋简体" w:cs="方正小标宋简体"/>
          <w:b w:val="0"/>
          <w:bCs w:val="0"/>
          <w:color w:val="000000"/>
          <w:kern w:val="0"/>
          <w:sz w:val="72"/>
          <w:lang w:eastAsia="zh-CN"/>
        </w:rPr>
        <w:t>部门</w:t>
      </w:r>
      <w:r>
        <w:rPr>
          <w:rFonts w:hint="eastAsia" w:ascii="方正小标宋简体" w:hAnsi="方正小标宋简体" w:eastAsia="方正小标宋简体" w:cs="方正小标宋简体"/>
          <w:b w:val="0"/>
          <w:bCs w:val="0"/>
          <w:color w:val="000000"/>
          <w:kern w:val="0"/>
          <w:sz w:val="72"/>
          <w:lang w:eastAsia="uk-UA"/>
        </w:rPr>
        <w:t>预算</w:t>
      </w:r>
    </w:p>
    <w:p>
      <w:pPr>
        <w:pStyle w:val="7"/>
        <w:tabs>
          <w:tab w:val="right" w:leader="dot" w:pos="14562"/>
        </w:tabs>
        <w:jc w:val="left"/>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fldChar w:fldCharType="end"/>
      </w:r>
    </w:p>
    <w:p>
      <w:pPr>
        <w:jc w:val="center"/>
        <w:outlineLvl w:val="4"/>
      </w:pPr>
      <w:r>
        <w:fldChar w:fldCharType="end"/>
      </w:r>
    </w:p>
    <w:p>
      <w:pPr>
        <w:jc w:val="center"/>
        <w:outlineLvl w:val="4"/>
      </w:pPr>
    </w:p>
    <w:p>
      <w:pPr>
        <w:jc w:val="center"/>
        <w:outlineLvl w:val="4"/>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p>
      <w:pPr>
        <w:jc w:val="center"/>
        <w:outlineLvl w:val="4"/>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241003乐亭县档案馆</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w:t>
            </w:r>
            <w:r>
              <w:rPr>
                <w:rFonts w:hint="eastAsia"/>
                <w:lang w:eastAsia="zh-CN"/>
              </w:rPr>
              <w:t>部门</w:t>
            </w:r>
            <w:r>
              <w:t>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3"/>
            </w:pPr>
          </w:p>
        </w:tc>
        <w:tc>
          <w:tcPr>
            <w:tcW w:w="1559" w:type="dxa"/>
            <w:vAlign w:val="center"/>
          </w:tcPr>
          <w:p>
            <w:pPr>
              <w:pStyle w:val="14"/>
            </w:pPr>
            <w:r>
              <w:t>合计</w:t>
            </w:r>
          </w:p>
        </w:tc>
        <w:tc>
          <w:tcPr>
            <w:tcW w:w="1134" w:type="dxa"/>
            <w:vAlign w:val="center"/>
          </w:tcPr>
          <w:p>
            <w:pPr>
              <w:pStyle w:val="15"/>
            </w:pPr>
            <w:r>
              <w:t>261.59</w:t>
            </w:r>
          </w:p>
        </w:tc>
        <w:tc>
          <w:tcPr>
            <w:tcW w:w="1134" w:type="dxa"/>
            <w:vAlign w:val="center"/>
          </w:tcPr>
          <w:p>
            <w:pPr>
              <w:pStyle w:val="15"/>
            </w:pPr>
            <w:r>
              <w:t>261.59</w:t>
            </w:r>
          </w:p>
        </w:tc>
        <w:tc>
          <w:tcPr>
            <w:tcW w:w="1134" w:type="dxa"/>
            <w:vAlign w:val="center"/>
          </w:tcPr>
          <w:p>
            <w:pPr>
              <w:pStyle w:val="15"/>
            </w:pPr>
            <w:r>
              <w:t>261.59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rPr>
                <w:rFonts w:hint="eastAsia" w:eastAsia="方正书宋_GBK"/>
                <w:lang w:val="en-US" w:eastAsia="zh-CN"/>
              </w:rPr>
            </w:pPr>
            <w:r>
              <w:rPr>
                <w:rFonts w:hint="eastAsia"/>
                <w:lang w:val="en-US" w:eastAsia="zh-CN"/>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7"/>
            </w:pPr>
            <w:r>
              <w:t>230.09</w:t>
            </w:r>
          </w:p>
        </w:tc>
        <w:tc>
          <w:tcPr>
            <w:tcW w:w="1134" w:type="dxa"/>
            <w:vAlign w:val="center"/>
          </w:tcPr>
          <w:p>
            <w:pPr>
              <w:pStyle w:val="17"/>
            </w:pPr>
            <w:r>
              <w:t>230.09</w:t>
            </w:r>
          </w:p>
        </w:tc>
        <w:tc>
          <w:tcPr>
            <w:tcW w:w="1134" w:type="dxa"/>
            <w:vAlign w:val="center"/>
          </w:tcPr>
          <w:p>
            <w:pPr>
              <w:pStyle w:val="17"/>
            </w:pPr>
            <w:r>
              <w:t>230.09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7"/>
            </w:pPr>
            <w:r>
              <w:t>80.00</w:t>
            </w:r>
          </w:p>
        </w:tc>
        <w:tc>
          <w:tcPr>
            <w:tcW w:w="1134" w:type="dxa"/>
            <w:vAlign w:val="center"/>
          </w:tcPr>
          <w:p>
            <w:pPr>
              <w:pStyle w:val="17"/>
            </w:pPr>
            <w:r>
              <w:t>80.00</w:t>
            </w:r>
          </w:p>
        </w:tc>
        <w:tc>
          <w:tcPr>
            <w:tcW w:w="1134" w:type="dxa"/>
            <w:vAlign w:val="center"/>
          </w:tcPr>
          <w:p>
            <w:pPr>
              <w:pStyle w:val="17"/>
            </w:pPr>
            <w:r>
              <w:t>80.00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6"/>
            </w:pPr>
            <w:r>
              <w:t>2010601</w:t>
            </w:r>
          </w:p>
        </w:tc>
        <w:tc>
          <w:tcPr>
            <w:tcW w:w="1559" w:type="dxa"/>
            <w:vAlign w:val="center"/>
          </w:tcPr>
          <w:p>
            <w:pPr>
              <w:pStyle w:val="16"/>
            </w:pPr>
            <w:r>
              <w:t>行政运行</w:t>
            </w:r>
          </w:p>
        </w:tc>
        <w:tc>
          <w:tcPr>
            <w:tcW w:w="1134" w:type="dxa"/>
            <w:vAlign w:val="center"/>
          </w:tcPr>
          <w:p>
            <w:pPr>
              <w:pStyle w:val="17"/>
            </w:pPr>
            <w:r>
              <w:t>80.00</w:t>
            </w:r>
          </w:p>
        </w:tc>
        <w:tc>
          <w:tcPr>
            <w:tcW w:w="1134" w:type="dxa"/>
            <w:vAlign w:val="center"/>
          </w:tcPr>
          <w:p>
            <w:pPr>
              <w:pStyle w:val="17"/>
            </w:pPr>
            <w:r>
              <w:t>80.00</w:t>
            </w:r>
          </w:p>
        </w:tc>
        <w:tc>
          <w:tcPr>
            <w:tcW w:w="1134" w:type="dxa"/>
            <w:vAlign w:val="center"/>
          </w:tcPr>
          <w:p>
            <w:pPr>
              <w:pStyle w:val="17"/>
            </w:pPr>
            <w:r>
              <w:t>80.00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6"/>
            </w:pPr>
            <w:r>
              <w:t>20126</w:t>
            </w:r>
          </w:p>
        </w:tc>
        <w:tc>
          <w:tcPr>
            <w:tcW w:w="1559" w:type="dxa"/>
            <w:vAlign w:val="center"/>
          </w:tcPr>
          <w:p>
            <w:pPr>
              <w:pStyle w:val="16"/>
            </w:pPr>
            <w:r>
              <w:t>档案事务</w:t>
            </w:r>
          </w:p>
        </w:tc>
        <w:tc>
          <w:tcPr>
            <w:tcW w:w="1134" w:type="dxa"/>
            <w:vAlign w:val="center"/>
          </w:tcPr>
          <w:p>
            <w:pPr>
              <w:pStyle w:val="17"/>
            </w:pPr>
            <w:r>
              <w:t>150.09</w:t>
            </w:r>
          </w:p>
        </w:tc>
        <w:tc>
          <w:tcPr>
            <w:tcW w:w="1134" w:type="dxa"/>
            <w:vAlign w:val="center"/>
          </w:tcPr>
          <w:p>
            <w:pPr>
              <w:pStyle w:val="17"/>
            </w:pPr>
            <w:r>
              <w:t>150.09</w:t>
            </w:r>
          </w:p>
        </w:tc>
        <w:tc>
          <w:tcPr>
            <w:tcW w:w="1134" w:type="dxa"/>
            <w:vAlign w:val="center"/>
          </w:tcPr>
          <w:p>
            <w:pPr>
              <w:pStyle w:val="17"/>
            </w:pPr>
            <w:r>
              <w:t>150.09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6"/>
            </w:pPr>
            <w:r>
              <w:t>2012601</w:t>
            </w:r>
          </w:p>
        </w:tc>
        <w:tc>
          <w:tcPr>
            <w:tcW w:w="1559" w:type="dxa"/>
            <w:vAlign w:val="center"/>
          </w:tcPr>
          <w:p>
            <w:pPr>
              <w:pStyle w:val="16"/>
            </w:pPr>
            <w:r>
              <w:t>行政运行</w:t>
            </w:r>
          </w:p>
        </w:tc>
        <w:tc>
          <w:tcPr>
            <w:tcW w:w="1134" w:type="dxa"/>
            <w:vAlign w:val="center"/>
          </w:tcPr>
          <w:p>
            <w:pPr>
              <w:pStyle w:val="17"/>
            </w:pPr>
            <w:r>
              <w:t>150.09</w:t>
            </w:r>
          </w:p>
        </w:tc>
        <w:tc>
          <w:tcPr>
            <w:tcW w:w="1134" w:type="dxa"/>
            <w:vAlign w:val="center"/>
          </w:tcPr>
          <w:p>
            <w:pPr>
              <w:pStyle w:val="17"/>
            </w:pPr>
            <w:r>
              <w:t>150.09</w:t>
            </w:r>
          </w:p>
        </w:tc>
        <w:tc>
          <w:tcPr>
            <w:tcW w:w="1134" w:type="dxa"/>
            <w:vAlign w:val="center"/>
          </w:tcPr>
          <w:p>
            <w:pPr>
              <w:pStyle w:val="17"/>
            </w:pPr>
            <w:r>
              <w:t>150.09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6"/>
            </w:pPr>
            <w:r>
              <w:t>20805</w:t>
            </w:r>
          </w:p>
        </w:tc>
        <w:tc>
          <w:tcPr>
            <w:tcW w:w="1559" w:type="dxa"/>
            <w:vAlign w:val="center"/>
          </w:tcPr>
          <w:p>
            <w:pPr>
              <w:pStyle w:val="16"/>
            </w:pPr>
            <w:r>
              <w:t>行政事业</w:t>
            </w:r>
            <w:r>
              <w:rPr>
                <w:rFonts w:hint="eastAsia"/>
                <w:lang w:eastAsia="zh-CN"/>
              </w:rPr>
              <w:t>部门</w:t>
            </w:r>
            <w:r>
              <w:t>养老支出</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6"/>
            </w:pPr>
            <w:r>
              <w:t>2080505</w:t>
            </w:r>
          </w:p>
        </w:tc>
        <w:tc>
          <w:tcPr>
            <w:tcW w:w="1559" w:type="dxa"/>
            <w:vAlign w:val="center"/>
          </w:tcPr>
          <w:p>
            <w:pPr>
              <w:pStyle w:val="16"/>
            </w:pPr>
            <w:r>
              <w:t>机关事业</w:t>
            </w:r>
            <w:r>
              <w:rPr>
                <w:rFonts w:hint="eastAsia"/>
                <w:lang w:eastAsia="zh-CN"/>
              </w:rPr>
              <w:t>部门</w:t>
            </w:r>
            <w:r>
              <w:t>基本养老保险缴费支出</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6"/>
            </w:pPr>
            <w:r>
              <w:t>21011</w:t>
            </w:r>
          </w:p>
        </w:tc>
        <w:tc>
          <w:tcPr>
            <w:tcW w:w="1559" w:type="dxa"/>
            <w:vAlign w:val="center"/>
          </w:tcPr>
          <w:p>
            <w:pPr>
              <w:pStyle w:val="16"/>
            </w:pPr>
            <w:r>
              <w:t>行政事业</w:t>
            </w:r>
            <w:r>
              <w:rPr>
                <w:rFonts w:hint="eastAsia"/>
                <w:lang w:eastAsia="zh-CN"/>
              </w:rPr>
              <w:t>部门</w:t>
            </w:r>
            <w:r>
              <w:t>医疗</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6"/>
            </w:pPr>
            <w:r>
              <w:t>2101101</w:t>
            </w:r>
          </w:p>
        </w:tc>
        <w:tc>
          <w:tcPr>
            <w:tcW w:w="1559" w:type="dxa"/>
            <w:vAlign w:val="center"/>
          </w:tcPr>
          <w:p>
            <w:pPr>
              <w:pStyle w:val="16"/>
            </w:pPr>
            <w:r>
              <w:t>行政</w:t>
            </w:r>
            <w:r>
              <w:rPr>
                <w:rFonts w:hint="eastAsia"/>
                <w:lang w:eastAsia="zh-CN"/>
              </w:rPr>
              <w:t>部门</w:t>
            </w:r>
            <w:r>
              <w:t>医疗</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7"/>
            </w:pPr>
            <w:r>
              <w:t>9.50</w:t>
            </w:r>
          </w:p>
        </w:tc>
        <w:tc>
          <w:tcPr>
            <w:tcW w:w="1134" w:type="dxa"/>
            <w:vAlign w:val="center"/>
          </w:tcPr>
          <w:p>
            <w:pPr>
              <w:pStyle w:val="17"/>
            </w:pPr>
            <w:r>
              <w:t>9.50</w:t>
            </w:r>
          </w:p>
        </w:tc>
        <w:tc>
          <w:tcPr>
            <w:tcW w:w="1134" w:type="dxa"/>
            <w:vAlign w:val="center"/>
          </w:tcPr>
          <w:p>
            <w:pPr>
              <w:pStyle w:val="17"/>
            </w:pPr>
            <w:r>
              <w:t>9.50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3"/>
            </w:pPr>
          </w:p>
        </w:tc>
        <w:tc>
          <w:tcPr>
            <w:tcW w:w="4535" w:type="dxa"/>
            <w:vAlign w:val="center"/>
          </w:tcPr>
          <w:p>
            <w:pPr>
              <w:pStyle w:val="14"/>
            </w:pPr>
            <w:r>
              <w:t>合计</w:t>
            </w:r>
          </w:p>
        </w:tc>
        <w:tc>
          <w:tcPr>
            <w:tcW w:w="1361" w:type="dxa"/>
            <w:vAlign w:val="center"/>
          </w:tcPr>
          <w:p>
            <w:pPr>
              <w:pStyle w:val="15"/>
            </w:pPr>
            <w:r>
              <w:t>261.59</w:t>
            </w:r>
          </w:p>
        </w:tc>
        <w:tc>
          <w:tcPr>
            <w:tcW w:w="1361" w:type="dxa"/>
            <w:vAlign w:val="center"/>
          </w:tcPr>
          <w:p>
            <w:pPr>
              <w:pStyle w:val="15"/>
            </w:pPr>
            <w:r>
              <w:t>181.59</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7"/>
            </w:pPr>
            <w:r>
              <w:t>230.09</w:t>
            </w:r>
          </w:p>
        </w:tc>
        <w:tc>
          <w:tcPr>
            <w:tcW w:w="1361" w:type="dxa"/>
            <w:vAlign w:val="center"/>
          </w:tcPr>
          <w:p>
            <w:pPr>
              <w:pStyle w:val="17"/>
            </w:pPr>
            <w:r>
              <w:t>150.09</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6"/>
            </w:pPr>
            <w:r>
              <w:t>20106</w:t>
            </w:r>
          </w:p>
        </w:tc>
        <w:tc>
          <w:tcPr>
            <w:tcW w:w="4535" w:type="dxa"/>
            <w:vAlign w:val="center"/>
          </w:tcPr>
          <w:p>
            <w:pPr>
              <w:pStyle w:val="16"/>
            </w:pPr>
            <w:r>
              <w:t>财政事务</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6"/>
            </w:pPr>
            <w:r>
              <w:t>2010601</w:t>
            </w:r>
          </w:p>
        </w:tc>
        <w:tc>
          <w:tcPr>
            <w:tcW w:w="4535" w:type="dxa"/>
            <w:vAlign w:val="center"/>
          </w:tcPr>
          <w:p>
            <w:pPr>
              <w:pStyle w:val="16"/>
            </w:pPr>
            <w:r>
              <w:t>行政运行</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6"/>
            </w:pPr>
            <w:r>
              <w:t>20126</w:t>
            </w:r>
          </w:p>
        </w:tc>
        <w:tc>
          <w:tcPr>
            <w:tcW w:w="4535" w:type="dxa"/>
            <w:vAlign w:val="center"/>
          </w:tcPr>
          <w:p>
            <w:pPr>
              <w:pStyle w:val="16"/>
            </w:pPr>
            <w:r>
              <w:t>档案事务</w:t>
            </w:r>
          </w:p>
        </w:tc>
        <w:tc>
          <w:tcPr>
            <w:tcW w:w="1361" w:type="dxa"/>
            <w:vAlign w:val="center"/>
          </w:tcPr>
          <w:p>
            <w:pPr>
              <w:pStyle w:val="17"/>
            </w:pPr>
            <w:r>
              <w:t>150.09</w:t>
            </w:r>
          </w:p>
        </w:tc>
        <w:tc>
          <w:tcPr>
            <w:tcW w:w="1361" w:type="dxa"/>
            <w:vAlign w:val="center"/>
          </w:tcPr>
          <w:p>
            <w:pPr>
              <w:pStyle w:val="17"/>
            </w:pPr>
            <w:r>
              <w:t>150.09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6"/>
            </w:pPr>
            <w:r>
              <w:t>2012601</w:t>
            </w:r>
          </w:p>
        </w:tc>
        <w:tc>
          <w:tcPr>
            <w:tcW w:w="4535" w:type="dxa"/>
            <w:vAlign w:val="center"/>
          </w:tcPr>
          <w:p>
            <w:pPr>
              <w:pStyle w:val="16"/>
            </w:pPr>
            <w:r>
              <w:t>行政运行</w:t>
            </w:r>
          </w:p>
        </w:tc>
        <w:tc>
          <w:tcPr>
            <w:tcW w:w="1361" w:type="dxa"/>
            <w:vAlign w:val="center"/>
          </w:tcPr>
          <w:p>
            <w:pPr>
              <w:pStyle w:val="17"/>
            </w:pPr>
            <w:r>
              <w:t>150.09</w:t>
            </w:r>
          </w:p>
        </w:tc>
        <w:tc>
          <w:tcPr>
            <w:tcW w:w="1361" w:type="dxa"/>
            <w:vAlign w:val="center"/>
          </w:tcPr>
          <w:p>
            <w:pPr>
              <w:pStyle w:val="17"/>
            </w:pPr>
            <w:r>
              <w:t>150.09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7"/>
            </w:pPr>
            <w:r>
              <w:t>11.00</w:t>
            </w:r>
          </w:p>
        </w:tc>
        <w:tc>
          <w:tcPr>
            <w:tcW w:w="1361" w:type="dxa"/>
            <w:vAlign w:val="center"/>
          </w:tcPr>
          <w:p>
            <w:pPr>
              <w:pStyle w:val="17"/>
            </w:pPr>
            <w:r>
              <w:t>11.00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6"/>
            </w:pPr>
            <w:r>
              <w:t>20805</w:t>
            </w:r>
          </w:p>
        </w:tc>
        <w:tc>
          <w:tcPr>
            <w:tcW w:w="4535" w:type="dxa"/>
            <w:vAlign w:val="center"/>
          </w:tcPr>
          <w:p>
            <w:pPr>
              <w:pStyle w:val="16"/>
            </w:pPr>
            <w:r>
              <w:t>行政事业</w:t>
            </w:r>
            <w:r>
              <w:rPr>
                <w:rFonts w:hint="eastAsia"/>
                <w:lang w:eastAsia="zh-CN"/>
              </w:rPr>
              <w:t>部门</w:t>
            </w:r>
            <w:r>
              <w:t>养老支出</w:t>
            </w:r>
          </w:p>
        </w:tc>
        <w:tc>
          <w:tcPr>
            <w:tcW w:w="1361" w:type="dxa"/>
            <w:vAlign w:val="center"/>
          </w:tcPr>
          <w:p>
            <w:pPr>
              <w:pStyle w:val="17"/>
            </w:pPr>
            <w:r>
              <w:t>11.00</w:t>
            </w:r>
          </w:p>
        </w:tc>
        <w:tc>
          <w:tcPr>
            <w:tcW w:w="1361" w:type="dxa"/>
            <w:vAlign w:val="center"/>
          </w:tcPr>
          <w:p>
            <w:pPr>
              <w:pStyle w:val="17"/>
            </w:pPr>
            <w:r>
              <w:t>11.00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6"/>
            </w:pPr>
            <w:r>
              <w:t>2080505</w:t>
            </w:r>
          </w:p>
        </w:tc>
        <w:tc>
          <w:tcPr>
            <w:tcW w:w="4535" w:type="dxa"/>
            <w:vAlign w:val="center"/>
          </w:tcPr>
          <w:p>
            <w:pPr>
              <w:pStyle w:val="16"/>
            </w:pPr>
            <w:r>
              <w:t>机关事业</w:t>
            </w:r>
            <w:r>
              <w:rPr>
                <w:rFonts w:hint="eastAsia"/>
                <w:lang w:eastAsia="zh-CN"/>
              </w:rPr>
              <w:t>部门</w:t>
            </w:r>
            <w:r>
              <w:t>基本养老保险缴费支出</w:t>
            </w:r>
          </w:p>
        </w:tc>
        <w:tc>
          <w:tcPr>
            <w:tcW w:w="1361" w:type="dxa"/>
            <w:vAlign w:val="center"/>
          </w:tcPr>
          <w:p>
            <w:pPr>
              <w:pStyle w:val="17"/>
            </w:pPr>
            <w:r>
              <w:t>11.00</w:t>
            </w:r>
          </w:p>
        </w:tc>
        <w:tc>
          <w:tcPr>
            <w:tcW w:w="1361" w:type="dxa"/>
            <w:vAlign w:val="center"/>
          </w:tcPr>
          <w:p>
            <w:pPr>
              <w:pStyle w:val="17"/>
            </w:pPr>
            <w:r>
              <w:t>11.00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7"/>
            </w:pPr>
            <w:r>
              <w:t>15.00</w:t>
            </w: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6"/>
            </w:pPr>
            <w:r>
              <w:t>21011</w:t>
            </w:r>
          </w:p>
        </w:tc>
        <w:tc>
          <w:tcPr>
            <w:tcW w:w="4535" w:type="dxa"/>
            <w:vAlign w:val="center"/>
          </w:tcPr>
          <w:p>
            <w:pPr>
              <w:pStyle w:val="16"/>
            </w:pPr>
            <w:r>
              <w:t>行政事业</w:t>
            </w:r>
            <w:r>
              <w:rPr>
                <w:rFonts w:hint="eastAsia"/>
                <w:lang w:eastAsia="zh-CN"/>
              </w:rPr>
              <w:t>部门</w:t>
            </w:r>
            <w:r>
              <w:t>医疗</w:t>
            </w:r>
          </w:p>
        </w:tc>
        <w:tc>
          <w:tcPr>
            <w:tcW w:w="1361" w:type="dxa"/>
            <w:vAlign w:val="center"/>
          </w:tcPr>
          <w:p>
            <w:pPr>
              <w:pStyle w:val="17"/>
            </w:pPr>
            <w:r>
              <w:t>15.00</w:t>
            </w: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6"/>
            </w:pPr>
            <w:r>
              <w:t>2101101</w:t>
            </w:r>
          </w:p>
        </w:tc>
        <w:tc>
          <w:tcPr>
            <w:tcW w:w="4535" w:type="dxa"/>
            <w:vAlign w:val="center"/>
          </w:tcPr>
          <w:p>
            <w:pPr>
              <w:pStyle w:val="16"/>
            </w:pPr>
            <w:r>
              <w:t>行政</w:t>
            </w:r>
            <w:r>
              <w:rPr>
                <w:rFonts w:hint="eastAsia"/>
                <w:lang w:eastAsia="zh-CN"/>
              </w:rPr>
              <w:t>部门</w:t>
            </w:r>
            <w:r>
              <w:t>医疗</w:t>
            </w:r>
          </w:p>
        </w:tc>
        <w:tc>
          <w:tcPr>
            <w:tcW w:w="1361" w:type="dxa"/>
            <w:vAlign w:val="center"/>
          </w:tcPr>
          <w:p>
            <w:pPr>
              <w:pStyle w:val="17"/>
            </w:pPr>
            <w:r>
              <w:t>5.50</w:t>
            </w:r>
          </w:p>
        </w:tc>
        <w:tc>
          <w:tcPr>
            <w:tcW w:w="1361" w:type="dxa"/>
            <w:vAlign w:val="center"/>
          </w:tcPr>
          <w:p>
            <w:pPr>
              <w:pStyle w:val="17"/>
            </w:pPr>
            <w:r>
              <w:t>5.50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7"/>
            </w:pPr>
            <w:r>
              <w:t>9.50</w:t>
            </w:r>
          </w:p>
        </w:tc>
        <w:tc>
          <w:tcPr>
            <w:tcW w:w="1361" w:type="dxa"/>
            <w:vAlign w:val="center"/>
          </w:tcPr>
          <w:p>
            <w:pPr>
              <w:pStyle w:val="17"/>
            </w:pPr>
            <w:r>
              <w:t>9.50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7"/>
            </w:pPr>
            <w:r>
              <w:t>5.50</w:t>
            </w:r>
          </w:p>
        </w:tc>
        <w:tc>
          <w:tcPr>
            <w:tcW w:w="1361" w:type="dxa"/>
            <w:vAlign w:val="center"/>
          </w:tcPr>
          <w:p>
            <w:pPr>
              <w:pStyle w:val="17"/>
            </w:pPr>
            <w:r>
              <w:t>5.50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7"/>
            </w:pPr>
            <w:r>
              <w:t>5.50</w:t>
            </w:r>
          </w:p>
        </w:tc>
        <w:tc>
          <w:tcPr>
            <w:tcW w:w="1361" w:type="dxa"/>
            <w:vAlign w:val="center"/>
          </w:tcPr>
          <w:p>
            <w:pPr>
              <w:pStyle w:val="17"/>
            </w:pPr>
            <w:r>
              <w:t>5.50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7"/>
            </w:pPr>
            <w:r>
              <w:t>5.50</w:t>
            </w:r>
          </w:p>
        </w:tc>
        <w:tc>
          <w:tcPr>
            <w:tcW w:w="1361" w:type="dxa"/>
            <w:vAlign w:val="center"/>
          </w:tcPr>
          <w:p>
            <w:pPr>
              <w:pStyle w:val="17"/>
            </w:pPr>
            <w:r>
              <w:t>5.50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6"/>
            </w:pPr>
            <w:r>
              <w:t>一、一般公共预算拨款</w:t>
            </w:r>
          </w:p>
        </w:tc>
        <w:tc>
          <w:tcPr>
            <w:tcW w:w="1474" w:type="dxa"/>
            <w:vAlign w:val="center"/>
          </w:tcPr>
          <w:p>
            <w:pPr>
              <w:pStyle w:val="17"/>
            </w:pPr>
            <w:r>
              <w:t>261.59</w:t>
            </w:r>
          </w:p>
        </w:tc>
        <w:tc>
          <w:tcPr>
            <w:tcW w:w="3402" w:type="dxa"/>
            <w:vAlign w:val="center"/>
          </w:tcPr>
          <w:p>
            <w:pPr>
              <w:pStyle w:val="16"/>
            </w:pPr>
            <w:r>
              <w:t>一、一般公共服务支出</w:t>
            </w:r>
          </w:p>
        </w:tc>
        <w:tc>
          <w:tcPr>
            <w:tcW w:w="1474" w:type="dxa"/>
            <w:vAlign w:val="center"/>
          </w:tcPr>
          <w:p>
            <w:pPr>
              <w:pStyle w:val="17"/>
            </w:pPr>
            <w:r>
              <w:t>230.09</w:t>
            </w:r>
          </w:p>
        </w:tc>
        <w:tc>
          <w:tcPr>
            <w:tcW w:w="1474" w:type="dxa"/>
            <w:vAlign w:val="center"/>
          </w:tcPr>
          <w:p>
            <w:pPr>
              <w:pStyle w:val="17"/>
            </w:pPr>
            <w:r>
              <w:t>230.09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6"/>
            </w:pPr>
            <w:r>
              <w:t>二、政府性基金预算拨款</w:t>
            </w:r>
          </w:p>
        </w:tc>
        <w:tc>
          <w:tcPr>
            <w:tcW w:w="1474" w:type="dxa"/>
            <w:vAlign w:val="center"/>
          </w:tcPr>
          <w:p>
            <w:pPr>
              <w:pStyle w:val="17"/>
            </w:pPr>
          </w:p>
        </w:tc>
        <w:tc>
          <w:tcPr>
            <w:tcW w:w="3402" w:type="dxa"/>
            <w:vAlign w:val="center"/>
          </w:tcPr>
          <w:p>
            <w:pPr>
              <w:pStyle w:val="16"/>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6"/>
            </w:pPr>
            <w:r>
              <w:t>三、国有资本经营预算拨款</w:t>
            </w:r>
          </w:p>
        </w:tc>
        <w:tc>
          <w:tcPr>
            <w:tcW w:w="1474" w:type="dxa"/>
            <w:vAlign w:val="center"/>
          </w:tcPr>
          <w:p>
            <w:pPr>
              <w:pStyle w:val="17"/>
            </w:pPr>
          </w:p>
        </w:tc>
        <w:tc>
          <w:tcPr>
            <w:tcW w:w="3402" w:type="dxa"/>
            <w:vAlign w:val="center"/>
          </w:tcPr>
          <w:p>
            <w:pPr>
              <w:pStyle w:val="16"/>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八、社会保障和就业支出</w:t>
            </w:r>
          </w:p>
        </w:tc>
        <w:tc>
          <w:tcPr>
            <w:tcW w:w="1474" w:type="dxa"/>
            <w:vAlign w:val="center"/>
          </w:tcPr>
          <w:p>
            <w:pPr>
              <w:pStyle w:val="17"/>
            </w:pPr>
            <w:r>
              <w:t>11.00</w:t>
            </w:r>
          </w:p>
        </w:tc>
        <w:tc>
          <w:tcPr>
            <w:tcW w:w="1474" w:type="dxa"/>
            <w:vAlign w:val="center"/>
          </w:tcPr>
          <w:p>
            <w:pPr>
              <w:pStyle w:val="17"/>
            </w:pPr>
            <w:r>
              <w:t>11.00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十、卫生健康支出</w:t>
            </w:r>
          </w:p>
        </w:tc>
        <w:tc>
          <w:tcPr>
            <w:tcW w:w="1474" w:type="dxa"/>
            <w:vAlign w:val="center"/>
          </w:tcPr>
          <w:p>
            <w:pPr>
              <w:pStyle w:val="17"/>
            </w:pPr>
            <w:r>
              <w:t>15.00</w:t>
            </w:r>
          </w:p>
        </w:tc>
        <w:tc>
          <w:tcPr>
            <w:tcW w:w="1474" w:type="dxa"/>
            <w:vAlign w:val="center"/>
          </w:tcPr>
          <w:p>
            <w:pPr>
              <w:pStyle w:val="17"/>
            </w:pPr>
            <w:r>
              <w:t>15.00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二十、住房保障支出</w:t>
            </w:r>
          </w:p>
        </w:tc>
        <w:tc>
          <w:tcPr>
            <w:tcW w:w="1474" w:type="dxa"/>
            <w:vAlign w:val="center"/>
          </w:tcPr>
          <w:p>
            <w:pPr>
              <w:pStyle w:val="17"/>
            </w:pPr>
            <w:r>
              <w:t>5.50</w:t>
            </w:r>
          </w:p>
        </w:tc>
        <w:tc>
          <w:tcPr>
            <w:tcW w:w="1474" w:type="dxa"/>
            <w:vAlign w:val="center"/>
          </w:tcPr>
          <w:p>
            <w:pPr>
              <w:pStyle w:val="17"/>
            </w:pPr>
            <w:r>
              <w:t>5.50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4"/>
            </w:pPr>
            <w:r>
              <w:t>本年收入合计</w:t>
            </w:r>
          </w:p>
        </w:tc>
        <w:tc>
          <w:tcPr>
            <w:tcW w:w="1474" w:type="dxa"/>
            <w:vAlign w:val="center"/>
          </w:tcPr>
          <w:p>
            <w:pPr>
              <w:pStyle w:val="15"/>
            </w:pPr>
            <w:r>
              <w:t>261.59</w:t>
            </w:r>
          </w:p>
        </w:tc>
        <w:tc>
          <w:tcPr>
            <w:tcW w:w="3402" w:type="dxa"/>
            <w:vAlign w:val="center"/>
          </w:tcPr>
          <w:p>
            <w:pPr>
              <w:pStyle w:val="14"/>
            </w:pPr>
            <w:r>
              <w:t>本年支出合计</w:t>
            </w:r>
          </w:p>
        </w:tc>
        <w:tc>
          <w:tcPr>
            <w:tcW w:w="1474" w:type="dxa"/>
            <w:vAlign w:val="center"/>
          </w:tcPr>
          <w:p>
            <w:pPr>
              <w:pStyle w:val="15"/>
            </w:pPr>
            <w:r>
              <w:t>261.59</w:t>
            </w:r>
          </w:p>
        </w:tc>
        <w:tc>
          <w:tcPr>
            <w:tcW w:w="1474" w:type="dxa"/>
            <w:vAlign w:val="center"/>
          </w:tcPr>
          <w:p>
            <w:pPr>
              <w:pStyle w:val="15"/>
            </w:pPr>
            <w:r>
              <w:t>261.59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6"/>
            </w:pPr>
            <w:r>
              <w:t>年初财政拨款结转和结余</w:t>
            </w:r>
          </w:p>
        </w:tc>
        <w:tc>
          <w:tcPr>
            <w:tcW w:w="1474" w:type="dxa"/>
            <w:vAlign w:val="center"/>
          </w:tcPr>
          <w:p>
            <w:pPr>
              <w:pStyle w:val="17"/>
            </w:pPr>
          </w:p>
        </w:tc>
        <w:tc>
          <w:tcPr>
            <w:tcW w:w="3402" w:type="dxa"/>
            <w:vAlign w:val="center"/>
          </w:tcPr>
          <w:p>
            <w:pPr>
              <w:pStyle w:val="16"/>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6"/>
            </w:pPr>
            <w:r>
              <w:t>一、一般公共预算拨款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6"/>
            </w:pPr>
            <w:r>
              <w:t>二、政府性基金预算拨款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6"/>
            </w:pPr>
            <w:r>
              <w:t>三、国有资本经营预算拨款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4"/>
            </w:pPr>
            <w:r>
              <w:t>收入总计</w:t>
            </w:r>
          </w:p>
        </w:tc>
        <w:tc>
          <w:tcPr>
            <w:tcW w:w="1474" w:type="dxa"/>
            <w:vAlign w:val="center"/>
          </w:tcPr>
          <w:p>
            <w:pPr>
              <w:pStyle w:val="15"/>
            </w:pPr>
            <w:r>
              <w:t>261.59</w:t>
            </w:r>
          </w:p>
        </w:tc>
        <w:tc>
          <w:tcPr>
            <w:tcW w:w="3402" w:type="dxa"/>
            <w:vAlign w:val="center"/>
          </w:tcPr>
          <w:p>
            <w:pPr>
              <w:pStyle w:val="14"/>
            </w:pPr>
            <w:r>
              <w:t>支出总计</w:t>
            </w:r>
          </w:p>
        </w:tc>
        <w:tc>
          <w:tcPr>
            <w:tcW w:w="1474" w:type="dxa"/>
            <w:vAlign w:val="center"/>
          </w:tcPr>
          <w:p>
            <w:pPr>
              <w:pStyle w:val="15"/>
            </w:pPr>
            <w:r>
              <w:t>261.59</w:t>
            </w:r>
          </w:p>
        </w:tc>
        <w:tc>
          <w:tcPr>
            <w:tcW w:w="1474" w:type="dxa"/>
            <w:vAlign w:val="center"/>
          </w:tcPr>
          <w:p>
            <w:pPr>
              <w:pStyle w:val="15"/>
            </w:pPr>
            <w:r>
              <w:t>261.59</w:t>
            </w:r>
          </w:p>
        </w:tc>
        <w:tc>
          <w:tcPr>
            <w:tcW w:w="1474" w:type="dxa"/>
            <w:vAlign w:val="center"/>
          </w:tcPr>
          <w:p>
            <w:pPr>
              <w:pStyle w:val="15"/>
            </w:pPr>
          </w:p>
        </w:tc>
        <w:tc>
          <w:tcPr>
            <w:tcW w:w="1474" w:type="dxa"/>
            <w:vAlign w:val="center"/>
          </w:tcPr>
          <w:p>
            <w:pPr>
              <w:pStyle w:val="15"/>
            </w:pPr>
          </w:p>
        </w:tc>
      </w:tr>
    </w:tbl>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3"/>
            </w:pPr>
          </w:p>
        </w:tc>
        <w:tc>
          <w:tcPr>
            <w:tcW w:w="4535" w:type="dxa"/>
            <w:vAlign w:val="center"/>
          </w:tcPr>
          <w:p>
            <w:pPr>
              <w:pStyle w:val="14"/>
            </w:pPr>
            <w:r>
              <w:t>合计</w:t>
            </w:r>
          </w:p>
        </w:tc>
        <w:tc>
          <w:tcPr>
            <w:tcW w:w="2551" w:type="dxa"/>
            <w:vAlign w:val="center"/>
          </w:tcPr>
          <w:p>
            <w:pPr>
              <w:pStyle w:val="15"/>
            </w:pPr>
            <w:r>
              <w:t>181.59</w:t>
            </w: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7"/>
            </w:pPr>
            <w:r>
              <w:t>150.09</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7"/>
            </w:pP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6"/>
            </w:pPr>
            <w:r>
              <w:t>2010601</w:t>
            </w:r>
          </w:p>
        </w:tc>
        <w:tc>
          <w:tcPr>
            <w:tcW w:w="4535" w:type="dxa"/>
            <w:vAlign w:val="center"/>
          </w:tcPr>
          <w:p>
            <w:pPr>
              <w:pStyle w:val="16"/>
            </w:pPr>
            <w:r>
              <w:t>行政运行</w:t>
            </w:r>
          </w:p>
        </w:tc>
        <w:tc>
          <w:tcPr>
            <w:tcW w:w="2551" w:type="dxa"/>
            <w:vAlign w:val="center"/>
          </w:tcPr>
          <w:p>
            <w:pPr>
              <w:pStyle w:val="17"/>
            </w:pP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6"/>
            </w:pPr>
            <w:r>
              <w:t>20126</w:t>
            </w:r>
          </w:p>
        </w:tc>
        <w:tc>
          <w:tcPr>
            <w:tcW w:w="4535" w:type="dxa"/>
            <w:vAlign w:val="center"/>
          </w:tcPr>
          <w:p>
            <w:pPr>
              <w:pStyle w:val="16"/>
            </w:pPr>
            <w:r>
              <w:t>档案事务</w:t>
            </w:r>
          </w:p>
        </w:tc>
        <w:tc>
          <w:tcPr>
            <w:tcW w:w="2551" w:type="dxa"/>
            <w:vAlign w:val="center"/>
          </w:tcPr>
          <w:p>
            <w:pPr>
              <w:pStyle w:val="17"/>
            </w:pPr>
            <w:r>
              <w:t>150.09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6"/>
            </w:pPr>
            <w:r>
              <w:t>2012601</w:t>
            </w:r>
          </w:p>
        </w:tc>
        <w:tc>
          <w:tcPr>
            <w:tcW w:w="4535" w:type="dxa"/>
            <w:vAlign w:val="center"/>
          </w:tcPr>
          <w:p>
            <w:pPr>
              <w:pStyle w:val="16"/>
            </w:pPr>
            <w:r>
              <w:t>行政运行</w:t>
            </w:r>
          </w:p>
        </w:tc>
        <w:tc>
          <w:tcPr>
            <w:tcW w:w="2551" w:type="dxa"/>
            <w:vAlign w:val="center"/>
          </w:tcPr>
          <w:p>
            <w:pPr>
              <w:pStyle w:val="17"/>
            </w:pPr>
            <w:r>
              <w:t>150.09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7"/>
            </w:pPr>
            <w:r>
              <w:t>11.00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6"/>
            </w:pPr>
            <w:r>
              <w:t>20805</w:t>
            </w:r>
          </w:p>
        </w:tc>
        <w:tc>
          <w:tcPr>
            <w:tcW w:w="4535" w:type="dxa"/>
            <w:vAlign w:val="center"/>
          </w:tcPr>
          <w:p>
            <w:pPr>
              <w:pStyle w:val="16"/>
            </w:pPr>
            <w:r>
              <w:t>行政事业</w:t>
            </w:r>
            <w:r>
              <w:rPr>
                <w:rFonts w:hint="eastAsia"/>
                <w:lang w:eastAsia="zh-CN"/>
              </w:rPr>
              <w:t>部门</w:t>
            </w:r>
            <w:r>
              <w:t>养老支出</w:t>
            </w:r>
          </w:p>
        </w:tc>
        <w:tc>
          <w:tcPr>
            <w:tcW w:w="2551" w:type="dxa"/>
            <w:vAlign w:val="center"/>
          </w:tcPr>
          <w:p>
            <w:pPr>
              <w:pStyle w:val="17"/>
            </w:pPr>
            <w:r>
              <w:t>11.00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6"/>
            </w:pPr>
            <w:r>
              <w:t>2080505</w:t>
            </w:r>
          </w:p>
        </w:tc>
        <w:tc>
          <w:tcPr>
            <w:tcW w:w="4535" w:type="dxa"/>
            <w:vAlign w:val="center"/>
          </w:tcPr>
          <w:p>
            <w:pPr>
              <w:pStyle w:val="16"/>
            </w:pPr>
            <w:r>
              <w:t>机关事业</w:t>
            </w:r>
            <w:r>
              <w:rPr>
                <w:rFonts w:hint="eastAsia"/>
                <w:lang w:eastAsia="zh-CN"/>
              </w:rPr>
              <w:t>部门</w:t>
            </w:r>
            <w:r>
              <w:t>基本养老保险缴费支出</w:t>
            </w:r>
          </w:p>
        </w:tc>
        <w:tc>
          <w:tcPr>
            <w:tcW w:w="2551" w:type="dxa"/>
            <w:vAlign w:val="center"/>
          </w:tcPr>
          <w:p>
            <w:pPr>
              <w:pStyle w:val="17"/>
            </w:pPr>
            <w:r>
              <w:t>11.00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7"/>
            </w:pPr>
            <w:r>
              <w:t>15.00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6"/>
            </w:pPr>
            <w:r>
              <w:t>21011</w:t>
            </w:r>
          </w:p>
        </w:tc>
        <w:tc>
          <w:tcPr>
            <w:tcW w:w="4535" w:type="dxa"/>
            <w:vAlign w:val="center"/>
          </w:tcPr>
          <w:p>
            <w:pPr>
              <w:pStyle w:val="16"/>
            </w:pPr>
            <w:r>
              <w:t>行政事业</w:t>
            </w:r>
            <w:r>
              <w:rPr>
                <w:rFonts w:hint="eastAsia"/>
                <w:lang w:eastAsia="zh-CN"/>
              </w:rPr>
              <w:t>部门</w:t>
            </w:r>
            <w:r>
              <w:t>医疗</w:t>
            </w:r>
          </w:p>
        </w:tc>
        <w:tc>
          <w:tcPr>
            <w:tcW w:w="2551" w:type="dxa"/>
            <w:vAlign w:val="center"/>
          </w:tcPr>
          <w:p>
            <w:pPr>
              <w:pStyle w:val="17"/>
            </w:pPr>
            <w:r>
              <w:t>15.00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6"/>
            </w:pPr>
            <w:r>
              <w:t>2101101</w:t>
            </w:r>
          </w:p>
        </w:tc>
        <w:tc>
          <w:tcPr>
            <w:tcW w:w="4535" w:type="dxa"/>
            <w:vAlign w:val="center"/>
          </w:tcPr>
          <w:p>
            <w:pPr>
              <w:pStyle w:val="16"/>
            </w:pPr>
            <w:r>
              <w:t>行政</w:t>
            </w:r>
            <w:r>
              <w:rPr>
                <w:rFonts w:hint="eastAsia"/>
                <w:lang w:eastAsia="zh-CN"/>
              </w:rPr>
              <w:t>部门</w:t>
            </w:r>
            <w:r>
              <w:t>医疗</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7"/>
            </w:pPr>
            <w:r>
              <w:t>9.50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7"/>
            </w:pPr>
            <w:r>
              <w:t>5.50</w:t>
            </w:r>
          </w:p>
        </w:tc>
        <w:tc>
          <w:tcPr>
            <w:tcW w:w="2551" w:type="dxa"/>
            <w:vAlign w:val="center"/>
          </w:tcPr>
          <w:p>
            <w:pPr>
              <w:pStyle w:val="17"/>
            </w:pPr>
          </w:p>
        </w:tc>
      </w:tr>
    </w:tbl>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部门</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3"/>
            </w:pPr>
          </w:p>
        </w:tc>
        <w:tc>
          <w:tcPr>
            <w:tcW w:w="4535" w:type="dxa"/>
            <w:vAlign w:val="center"/>
          </w:tcPr>
          <w:p>
            <w:pPr>
              <w:pStyle w:val="14"/>
            </w:pPr>
            <w:r>
              <w:t>合计</w:t>
            </w:r>
          </w:p>
        </w:tc>
        <w:tc>
          <w:tcPr>
            <w:tcW w:w="2551" w:type="dxa"/>
            <w:vAlign w:val="center"/>
          </w:tcPr>
          <w:p>
            <w:pPr>
              <w:pStyle w:val="15"/>
            </w:pPr>
            <w:r>
              <w:t>181.59</w:t>
            </w:r>
          </w:p>
        </w:tc>
        <w:tc>
          <w:tcPr>
            <w:tcW w:w="2551" w:type="dxa"/>
            <w:vAlign w:val="center"/>
          </w:tcPr>
          <w:p>
            <w:pPr>
              <w:pStyle w:val="15"/>
            </w:pPr>
            <w:r>
              <w:t>98.82</w:t>
            </w:r>
          </w:p>
        </w:tc>
        <w:tc>
          <w:tcPr>
            <w:tcW w:w="2551" w:type="dxa"/>
            <w:vAlign w:val="center"/>
          </w:tcPr>
          <w:p>
            <w:pPr>
              <w:pStyle w:val="15"/>
            </w:pPr>
            <w:r>
              <w:t>82.77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7"/>
            </w:pPr>
            <w:r>
              <w:t>98.80</w:t>
            </w:r>
          </w:p>
        </w:tc>
        <w:tc>
          <w:tcPr>
            <w:tcW w:w="2551" w:type="dxa"/>
            <w:vAlign w:val="center"/>
          </w:tcPr>
          <w:p>
            <w:pPr>
              <w:pStyle w:val="17"/>
            </w:pPr>
            <w:r>
              <w:t>98.80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7"/>
            </w:pPr>
            <w:r>
              <w:t>37.00</w:t>
            </w:r>
          </w:p>
        </w:tc>
        <w:tc>
          <w:tcPr>
            <w:tcW w:w="2551" w:type="dxa"/>
            <w:vAlign w:val="center"/>
          </w:tcPr>
          <w:p>
            <w:pPr>
              <w:pStyle w:val="17"/>
            </w:pPr>
            <w:r>
              <w:t>37.00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7"/>
            </w:pPr>
            <w:r>
              <w:t>10.70</w:t>
            </w:r>
          </w:p>
        </w:tc>
        <w:tc>
          <w:tcPr>
            <w:tcW w:w="2551" w:type="dxa"/>
            <w:vAlign w:val="center"/>
          </w:tcPr>
          <w:p>
            <w:pPr>
              <w:pStyle w:val="17"/>
            </w:pPr>
            <w:r>
              <w:t>10.70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7"/>
            </w:pPr>
            <w:r>
              <w:t>1.00</w:t>
            </w:r>
          </w:p>
        </w:tc>
        <w:tc>
          <w:tcPr>
            <w:tcW w:w="2551" w:type="dxa"/>
            <w:vAlign w:val="center"/>
          </w:tcPr>
          <w:p>
            <w:pPr>
              <w:pStyle w:val="17"/>
            </w:pPr>
            <w:r>
              <w:t>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7"/>
            </w:pPr>
            <w:r>
              <w:t>18.00</w:t>
            </w:r>
          </w:p>
        </w:tc>
        <w:tc>
          <w:tcPr>
            <w:tcW w:w="2551" w:type="dxa"/>
            <w:vAlign w:val="center"/>
          </w:tcPr>
          <w:p>
            <w:pPr>
              <w:pStyle w:val="17"/>
            </w:pPr>
            <w:r>
              <w:t>18.00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6"/>
            </w:pPr>
            <w:r>
              <w:t>30108</w:t>
            </w:r>
          </w:p>
        </w:tc>
        <w:tc>
          <w:tcPr>
            <w:tcW w:w="4535" w:type="dxa"/>
            <w:vAlign w:val="center"/>
          </w:tcPr>
          <w:p>
            <w:pPr>
              <w:pStyle w:val="16"/>
            </w:pPr>
            <w:r>
              <w:t>机关事业</w:t>
            </w:r>
            <w:r>
              <w:rPr>
                <w:rFonts w:hint="eastAsia"/>
                <w:lang w:eastAsia="zh-CN"/>
              </w:rPr>
              <w:t>部门</w:t>
            </w:r>
            <w:r>
              <w:t>基本养老保险缴费</w:t>
            </w:r>
          </w:p>
        </w:tc>
        <w:tc>
          <w:tcPr>
            <w:tcW w:w="2551" w:type="dxa"/>
            <w:vAlign w:val="center"/>
          </w:tcPr>
          <w:p>
            <w:pPr>
              <w:pStyle w:val="17"/>
            </w:pPr>
            <w:r>
              <w:t>11.00</w:t>
            </w:r>
          </w:p>
        </w:tc>
        <w:tc>
          <w:tcPr>
            <w:tcW w:w="2551" w:type="dxa"/>
            <w:vAlign w:val="center"/>
          </w:tcPr>
          <w:p>
            <w:pPr>
              <w:pStyle w:val="17"/>
            </w:pPr>
            <w:r>
              <w:t>11.00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7"/>
            </w:pPr>
            <w:r>
              <w:t>5.50</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7"/>
            </w:pPr>
            <w:r>
              <w:t>9.50</w:t>
            </w:r>
          </w:p>
        </w:tc>
        <w:tc>
          <w:tcPr>
            <w:tcW w:w="2551" w:type="dxa"/>
            <w:vAlign w:val="center"/>
          </w:tcPr>
          <w:p>
            <w:pPr>
              <w:pStyle w:val="17"/>
            </w:pPr>
            <w:r>
              <w:t>9.50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7"/>
            </w:pPr>
            <w:r>
              <w:t>0.60</w:t>
            </w:r>
          </w:p>
        </w:tc>
        <w:tc>
          <w:tcPr>
            <w:tcW w:w="2551" w:type="dxa"/>
            <w:vAlign w:val="center"/>
          </w:tcPr>
          <w:p>
            <w:pPr>
              <w:pStyle w:val="17"/>
            </w:pPr>
            <w:r>
              <w:t>0.60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7"/>
            </w:pPr>
            <w:r>
              <w:t>5.50</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7"/>
            </w:pPr>
            <w:r>
              <w:t>82.77</w:t>
            </w:r>
          </w:p>
        </w:tc>
        <w:tc>
          <w:tcPr>
            <w:tcW w:w="2551" w:type="dxa"/>
            <w:vAlign w:val="center"/>
          </w:tcPr>
          <w:p>
            <w:pPr>
              <w:pStyle w:val="17"/>
            </w:pPr>
          </w:p>
        </w:tc>
        <w:tc>
          <w:tcPr>
            <w:tcW w:w="2551" w:type="dxa"/>
            <w:vAlign w:val="center"/>
          </w:tcPr>
          <w:p>
            <w:pPr>
              <w:pStyle w:val="17"/>
            </w:pPr>
            <w:r>
              <w:t>82.77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7"/>
            </w:pPr>
            <w:r>
              <w:t>11.81</w:t>
            </w:r>
          </w:p>
        </w:tc>
        <w:tc>
          <w:tcPr>
            <w:tcW w:w="2551" w:type="dxa"/>
            <w:vAlign w:val="center"/>
          </w:tcPr>
          <w:p>
            <w:pPr>
              <w:pStyle w:val="17"/>
            </w:pPr>
          </w:p>
        </w:tc>
        <w:tc>
          <w:tcPr>
            <w:tcW w:w="2551" w:type="dxa"/>
            <w:vAlign w:val="center"/>
          </w:tcPr>
          <w:p>
            <w:pPr>
              <w:pStyle w:val="17"/>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7"/>
            </w:pPr>
            <w:r>
              <w:t>0.22</w:t>
            </w:r>
          </w:p>
        </w:tc>
        <w:tc>
          <w:tcPr>
            <w:tcW w:w="2551" w:type="dxa"/>
            <w:vAlign w:val="center"/>
          </w:tcPr>
          <w:p>
            <w:pPr>
              <w:pStyle w:val="17"/>
            </w:pPr>
          </w:p>
        </w:tc>
        <w:tc>
          <w:tcPr>
            <w:tcW w:w="2551" w:type="dxa"/>
            <w:vAlign w:val="center"/>
          </w:tcPr>
          <w:p>
            <w:pPr>
              <w:pStyle w:val="17"/>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7"/>
            </w:pPr>
            <w:r>
              <w:t>0.60</w:t>
            </w:r>
          </w:p>
        </w:tc>
        <w:tc>
          <w:tcPr>
            <w:tcW w:w="2551" w:type="dxa"/>
            <w:vAlign w:val="center"/>
          </w:tcPr>
          <w:p>
            <w:pPr>
              <w:pStyle w:val="17"/>
            </w:pPr>
          </w:p>
        </w:tc>
        <w:tc>
          <w:tcPr>
            <w:tcW w:w="2551" w:type="dxa"/>
            <w:vAlign w:val="center"/>
          </w:tcPr>
          <w:p>
            <w:pPr>
              <w:pStyle w:val="17"/>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7"/>
            </w:pPr>
            <w:r>
              <w:t>40.00</w:t>
            </w:r>
          </w:p>
        </w:tc>
        <w:tc>
          <w:tcPr>
            <w:tcW w:w="2551" w:type="dxa"/>
            <w:vAlign w:val="center"/>
          </w:tcPr>
          <w:p>
            <w:pPr>
              <w:pStyle w:val="17"/>
            </w:pPr>
          </w:p>
        </w:tc>
        <w:tc>
          <w:tcPr>
            <w:tcW w:w="2551"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7"/>
            </w:pPr>
            <w:r>
              <w:t>13.50</w:t>
            </w:r>
          </w:p>
        </w:tc>
        <w:tc>
          <w:tcPr>
            <w:tcW w:w="2551" w:type="dxa"/>
            <w:vAlign w:val="center"/>
          </w:tcPr>
          <w:p>
            <w:pPr>
              <w:pStyle w:val="17"/>
            </w:pPr>
          </w:p>
        </w:tc>
        <w:tc>
          <w:tcPr>
            <w:tcW w:w="2551" w:type="dxa"/>
            <w:vAlign w:val="center"/>
          </w:tcPr>
          <w:p>
            <w:pPr>
              <w:pStyle w:val="17"/>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7"/>
            </w:pPr>
            <w:r>
              <w:t>3.20</w:t>
            </w:r>
          </w:p>
        </w:tc>
        <w:tc>
          <w:tcPr>
            <w:tcW w:w="2551" w:type="dxa"/>
            <w:vAlign w:val="center"/>
          </w:tcPr>
          <w:p>
            <w:pPr>
              <w:pStyle w:val="17"/>
            </w:pPr>
          </w:p>
        </w:tc>
        <w:tc>
          <w:tcPr>
            <w:tcW w:w="2551" w:type="dxa"/>
            <w:vAlign w:val="center"/>
          </w:tcPr>
          <w:p>
            <w:pPr>
              <w:pStyle w:val="17"/>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7"/>
            </w:pPr>
            <w:r>
              <w:t>0.90</w:t>
            </w:r>
          </w:p>
        </w:tc>
        <w:tc>
          <w:tcPr>
            <w:tcW w:w="2551" w:type="dxa"/>
            <w:vAlign w:val="center"/>
          </w:tcPr>
          <w:p>
            <w:pPr>
              <w:pStyle w:val="17"/>
            </w:pPr>
          </w:p>
        </w:tc>
        <w:tc>
          <w:tcPr>
            <w:tcW w:w="2551"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7"/>
            </w:pPr>
            <w:r>
              <w:t>8.00</w:t>
            </w:r>
          </w:p>
        </w:tc>
        <w:tc>
          <w:tcPr>
            <w:tcW w:w="2551" w:type="dxa"/>
            <w:vAlign w:val="center"/>
          </w:tcPr>
          <w:p>
            <w:pPr>
              <w:pStyle w:val="17"/>
            </w:pPr>
          </w:p>
        </w:tc>
        <w:tc>
          <w:tcPr>
            <w:tcW w:w="2551"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7"/>
            </w:pPr>
            <w:r>
              <w:t>2.84</w:t>
            </w:r>
          </w:p>
        </w:tc>
        <w:tc>
          <w:tcPr>
            <w:tcW w:w="2551" w:type="dxa"/>
            <w:vAlign w:val="center"/>
          </w:tcPr>
          <w:p>
            <w:pPr>
              <w:pStyle w:val="17"/>
            </w:pPr>
          </w:p>
        </w:tc>
        <w:tc>
          <w:tcPr>
            <w:tcW w:w="2551" w:type="dxa"/>
            <w:vAlign w:val="center"/>
          </w:tcPr>
          <w:p>
            <w:pPr>
              <w:pStyle w:val="17"/>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7"/>
            </w:pPr>
            <w:r>
              <w:t>1.70</w:t>
            </w:r>
          </w:p>
        </w:tc>
        <w:tc>
          <w:tcPr>
            <w:tcW w:w="2551" w:type="dxa"/>
            <w:vAlign w:val="center"/>
          </w:tcPr>
          <w:p>
            <w:pPr>
              <w:pStyle w:val="17"/>
            </w:pPr>
          </w:p>
        </w:tc>
        <w:tc>
          <w:tcPr>
            <w:tcW w:w="2551"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7"/>
            </w:pPr>
            <w:r>
              <w:t>0.02</w:t>
            </w:r>
          </w:p>
        </w:tc>
        <w:tc>
          <w:tcPr>
            <w:tcW w:w="2551" w:type="dxa"/>
            <w:vAlign w:val="center"/>
          </w:tcPr>
          <w:p>
            <w:pPr>
              <w:pStyle w:val="17"/>
            </w:pPr>
            <w:r>
              <w:t>0.02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7"/>
            </w:pPr>
            <w:r>
              <w:t>0.02</w:t>
            </w:r>
          </w:p>
        </w:tc>
        <w:tc>
          <w:tcPr>
            <w:tcW w:w="2551" w:type="dxa"/>
            <w:vAlign w:val="center"/>
          </w:tcPr>
          <w:p>
            <w:pPr>
              <w:pStyle w:val="17"/>
            </w:pPr>
            <w:r>
              <w:t>0.02</w:t>
            </w:r>
          </w:p>
        </w:tc>
        <w:tc>
          <w:tcPr>
            <w:tcW w:w="2551" w:type="dxa"/>
            <w:vAlign w:val="center"/>
          </w:tcPr>
          <w:p>
            <w:pPr>
              <w:pStyle w:val="17"/>
            </w:pPr>
          </w:p>
        </w:tc>
      </w:tr>
    </w:tbl>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6"/>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headerReference r:id="rId3" w:type="default"/>
          <w:footerReference r:id="rId4" w:type="default"/>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6"/>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2.84</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6"/>
            </w:pPr>
            <w:r>
              <w:t>“三公”经费小计</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6"/>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6"/>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6"/>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6"/>
            </w:pPr>
            <w:r>
              <w:t>二、公务用车购置及运维费</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6"/>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6"/>
            </w:pPr>
            <w:r>
              <w:t xml:space="preserve">          公务用车运行维护费</w:t>
            </w:r>
          </w:p>
        </w:tc>
        <w:tc>
          <w:tcPr>
            <w:tcW w:w="2381" w:type="dxa"/>
            <w:vAlign w:val="center"/>
          </w:tcPr>
          <w:p>
            <w:pPr>
              <w:pStyle w:val="17"/>
            </w:pPr>
            <w:r>
              <w:t>2.84</w:t>
            </w:r>
          </w:p>
        </w:tc>
        <w:tc>
          <w:tcPr>
            <w:tcW w:w="2381" w:type="dxa"/>
            <w:vAlign w:val="center"/>
          </w:tcPr>
          <w:p>
            <w:pPr>
              <w:pStyle w:val="17"/>
            </w:pPr>
            <w: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6"/>
            </w:pPr>
            <w:r>
              <w:t>三、公务接待费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乐亭县档案馆2022年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0" w:name="_GoBack"/>
      <w:bookmarkEnd w:id="0"/>
      <w:r>
        <w:rPr>
          <w:rFonts w:eastAsia="方正仿宋_GBK"/>
          <w:color w:val="000000"/>
          <w:sz w:val="28"/>
        </w:rPr>
        <w:t>预算法》、《地方预决算公开操作规程》和《关于进一步推进预算公开工作的实施意见》规定，现将乐亭县档案馆2022年</w:t>
      </w:r>
      <w:r>
        <w:rPr>
          <w:rFonts w:hint="eastAsia" w:eastAsia="方正仿宋_GBK"/>
          <w:color w:val="000000"/>
          <w:sz w:val="28"/>
          <w:lang w:eastAsia="zh-CN"/>
        </w:rPr>
        <w:t>部门</w:t>
      </w:r>
      <w:r>
        <w:rPr>
          <w:rFonts w:eastAsia="方正仿宋_GBK"/>
          <w:color w:val="000000"/>
          <w:sz w:val="28"/>
        </w:rPr>
        <w:t>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18"/>
      </w:pPr>
      <w:r>
        <w:t>1、对全县档案事业实行统筹规划、宏观管理，编制档案事业中长期发展规划、年度工作计划，并监督实施；组织、指导、检查、协调全县各级各类档案业务工作。</w:t>
      </w:r>
    </w:p>
    <w:p>
      <w:pPr>
        <w:pStyle w:val="18"/>
      </w:pPr>
      <w:r>
        <w:t>2、认真贯彻执行党和国家有关档案工作的方针政策、法律法规及地方性政策法规、规章制度并组织实施。依法进行档案行政执法和监督。</w:t>
      </w:r>
    </w:p>
    <w:p>
      <w:pPr>
        <w:pStyle w:val="18"/>
      </w:pPr>
      <w:r>
        <w:t>3、组织并指导本县内的档案理论与档案科学技术研究，推进全县档案工作科学化、标准化和现代化建设。</w:t>
      </w:r>
    </w:p>
    <w:p>
      <w:pPr>
        <w:pStyle w:val="18"/>
      </w:pPr>
      <w:r>
        <w:t>4、负责档案宣传工作，组织开展档案法制宣传教育活动。</w:t>
      </w:r>
    </w:p>
    <w:p>
      <w:pPr>
        <w:pStyle w:val="18"/>
      </w:pPr>
      <w:r>
        <w:t>5、负责接收和统一管理县委、人大、政府、政协和县级机关、各乡镇、各群众团体、企事业</w:t>
      </w:r>
      <w:r>
        <w:rPr>
          <w:rFonts w:hint="eastAsia"/>
          <w:lang w:eastAsia="zh-CN"/>
        </w:rPr>
        <w:t>部门</w:t>
      </w:r>
      <w:r>
        <w:t>按规定应移交进馆的档案资料，严格保守国家机密，运用现代化技术手段维护档案的完整与安全；负责县直机关已公开现行文件的收集、整理和提供利用工作。</w:t>
      </w:r>
    </w:p>
    <w:p>
      <w:pPr>
        <w:pStyle w:val="18"/>
      </w:pPr>
      <w:r>
        <w:t>6、负责调查、征集散存在社会上的具有较高保存价值或地方特色的档案资料，不断丰富馆藏。</w:t>
      </w:r>
    </w:p>
    <w:p>
      <w:pPr>
        <w:pStyle w:val="18"/>
      </w:pPr>
      <w:r>
        <w:t>7、负责组织开展全县档案编研、信息开发、利用与管理工作，推进档案信息网络建设，为社会各方面提供服务。</w:t>
      </w:r>
    </w:p>
    <w:p>
      <w:pPr>
        <w:pStyle w:val="18"/>
      </w:pPr>
      <w:r>
        <w:t>8、制定全县档案干部队伍建设规划，组织档案专业教育和档案干部培训工作。</w:t>
      </w:r>
    </w:p>
    <w:p>
      <w:pPr>
        <w:pStyle w:val="18"/>
      </w:pPr>
      <w:r>
        <w:t>9、承办县委、县政府交办的其他工作。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lang w:eastAsia="zh-CN"/>
              </w:rPr>
              <w:t>部门</w:t>
            </w:r>
            <w:r>
              <w:t>名称</w:t>
            </w:r>
          </w:p>
        </w:tc>
        <w:tc>
          <w:tcPr>
            <w:tcW w:w="1843" w:type="dxa"/>
            <w:vAlign w:val="center"/>
          </w:tcPr>
          <w:p>
            <w:pPr>
              <w:pStyle w:val="11"/>
            </w:pPr>
            <w:r>
              <w:rPr>
                <w:rFonts w:hint="eastAsia"/>
                <w:lang w:eastAsia="zh-CN"/>
              </w:rPr>
              <w:t>部门</w:t>
            </w:r>
            <w:r>
              <w:t>性质</w:t>
            </w:r>
          </w:p>
        </w:tc>
        <w:tc>
          <w:tcPr>
            <w:tcW w:w="2126" w:type="dxa"/>
            <w:vAlign w:val="center"/>
          </w:tcPr>
          <w:p>
            <w:pPr>
              <w:pStyle w:val="11"/>
            </w:pPr>
            <w:r>
              <w:rPr>
                <w:rFonts w:hint="eastAsia"/>
                <w:lang w:eastAsia="zh-CN"/>
              </w:rPr>
              <w:t>部门</w:t>
            </w:r>
            <w:r>
              <w:t>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乐亭县档案馆</w:t>
            </w:r>
          </w:p>
        </w:tc>
        <w:tc>
          <w:tcPr>
            <w:tcW w:w="1843" w:type="dxa"/>
            <w:vAlign w:val="center"/>
          </w:tcPr>
          <w:p>
            <w:pPr>
              <w:pStyle w:val="12"/>
            </w:pPr>
            <w:r>
              <w:t>事业</w:t>
            </w:r>
          </w:p>
        </w:tc>
        <w:tc>
          <w:tcPr>
            <w:tcW w:w="2126" w:type="dxa"/>
            <w:vAlign w:val="center"/>
          </w:tcPr>
          <w:p>
            <w:pPr>
              <w:pStyle w:val="12"/>
            </w:pPr>
            <w:r>
              <w:t>正科级</w:t>
            </w:r>
          </w:p>
        </w:tc>
        <w:tc>
          <w:tcPr>
            <w:tcW w:w="3827" w:type="dxa"/>
            <w:vAlign w:val="center"/>
          </w:tcPr>
          <w:p>
            <w:pPr>
              <w:pStyle w:val="12"/>
            </w:pPr>
            <w:r>
              <w:t>财政性资金基本保证</w:t>
            </w:r>
          </w:p>
        </w:tc>
      </w:tr>
    </w:tbl>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before="0" w:after="0" w:line="500" w:lineRule="exact"/>
        <w:ind w:firstLine="560"/>
        <w:jc w:val="left"/>
        <w:outlineLvl w:val="9"/>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按照预算管理有关规定，目前我省</w:t>
      </w:r>
      <w:r>
        <w:rPr>
          <w:rFonts w:hint="eastAsia" w:eastAsia="方正仿宋_GBK" w:cstheme="minorBidi"/>
          <w:kern w:val="2"/>
          <w:sz w:val="28"/>
          <w:szCs w:val="24"/>
          <w:lang w:val="en-US" w:eastAsia="zh-CN" w:bidi="ar-SA"/>
        </w:rPr>
        <w:t>部门</w:t>
      </w:r>
      <w:r>
        <w:rPr>
          <w:rFonts w:hint="default" w:eastAsia="方正仿宋_GBK" w:asciiTheme="minorHAnsi" w:hAnsiTheme="minorHAnsi" w:cstheme="minorBidi"/>
          <w:kern w:val="2"/>
          <w:sz w:val="28"/>
          <w:szCs w:val="24"/>
          <w:lang w:val="en-US" w:eastAsia="zh-CN" w:bidi="ar-SA"/>
        </w:rPr>
        <w:t>预算的编制实行综合预算管理，即全部收入和支出都反映在预算中。</w:t>
      </w:r>
    </w:p>
    <w:p>
      <w:pPr>
        <w:pStyle w:val="19"/>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本年收入</w:t>
      </w:r>
      <w:r>
        <w:rPr>
          <w:rFonts w:hint="eastAsia" w:eastAsia="方正仿宋_GBK" w:asciiTheme="minorHAnsi" w:hAnsiTheme="minorHAnsi" w:cstheme="minorBidi"/>
          <w:kern w:val="2"/>
          <w:sz w:val="28"/>
          <w:szCs w:val="24"/>
          <w:lang w:val="en-US" w:eastAsia="zh-CN" w:bidi="ar-SA"/>
        </w:rPr>
        <w:t>261.59</w:t>
      </w:r>
      <w:r>
        <w:rPr>
          <w:rFonts w:hint="default" w:eastAsia="方正仿宋_GBK" w:asciiTheme="minorHAnsi" w:hAnsiTheme="minorHAnsi" w:cstheme="minorBidi"/>
          <w:kern w:val="2"/>
          <w:sz w:val="28"/>
          <w:szCs w:val="24"/>
          <w:lang w:val="en-US" w:eastAsia="zh-CN" w:bidi="ar-SA"/>
        </w:rPr>
        <w:t>万元，其中：财政拨款收入</w:t>
      </w:r>
      <w:r>
        <w:rPr>
          <w:rFonts w:hint="eastAsia" w:eastAsia="方正仿宋_GBK" w:asciiTheme="minorHAnsi" w:hAnsiTheme="minorHAnsi" w:cstheme="minorBidi"/>
          <w:kern w:val="2"/>
          <w:sz w:val="28"/>
          <w:szCs w:val="24"/>
          <w:lang w:val="en-US" w:eastAsia="zh-CN" w:bidi="ar-SA"/>
        </w:rPr>
        <w:t>261.59</w:t>
      </w:r>
      <w:r>
        <w:rPr>
          <w:rFonts w:hint="default" w:eastAsia="方正仿宋_GBK" w:asciiTheme="minorHAnsi" w:hAnsiTheme="minorHAnsi" w:cstheme="minorBidi"/>
          <w:kern w:val="2"/>
          <w:sz w:val="28"/>
          <w:szCs w:val="24"/>
          <w:lang w:val="en-US" w:eastAsia="zh-CN" w:bidi="ar-SA"/>
        </w:rPr>
        <w:t>万元，其他收入0万元。本年支出：</w:t>
      </w:r>
      <w:r>
        <w:rPr>
          <w:rFonts w:hint="eastAsia" w:eastAsia="方正仿宋_GBK" w:asciiTheme="minorHAnsi" w:hAnsiTheme="minorHAnsi" w:cstheme="minorBidi"/>
          <w:kern w:val="2"/>
          <w:sz w:val="28"/>
          <w:szCs w:val="24"/>
          <w:lang w:val="en-US" w:eastAsia="zh-CN" w:bidi="ar-SA"/>
        </w:rPr>
        <w:t>261.59</w:t>
      </w:r>
      <w:r>
        <w:rPr>
          <w:rFonts w:hint="default" w:eastAsia="方正仿宋_GBK" w:asciiTheme="minorHAnsi" w:hAnsiTheme="minorHAnsi" w:cstheme="minorBidi"/>
          <w:kern w:val="2"/>
          <w:sz w:val="28"/>
          <w:szCs w:val="24"/>
          <w:lang w:val="en-US" w:eastAsia="zh-CN" w:bidi="ar-SA"/>
        </w:rPr>
        <w:t>万元，其中：人员经费</w:t>
      </w:r>
      <w:r>
        <w:rPr>
          <w:rFonts w:hint="eastAsia" w:eastAsia="方正仿宋_GBK" w:asciiTheme="minorHAnsi" w:hAnsiTheme="minorHAnsi" w:cstheme="minorBidi"/>
          <w:kern w:val="2"/>
          <w:sz w:val="28"/>
          <w:szCs w:val="24"/>
          <w:lang w:val="en-US" w:eastAsia="zh-CN" w:bidi="ar-SA"/>
        </w:rPr>
        <w:t>98.82</w:t>
      </w:r>
      <w:r>
        <w:rPr>
          <w:rFonts w:hint="default" w:eastAsia="方正仿宋_GBK" w:asciiTheme="minorHAnsi" w:hAnsiTheme="minorHAnsi" w:cstheme="minorBidi"/>
          <w:kern w:val="2"/>
          <w:sz w:val="28"/>
          <w:szCs w:val="24"/>
          <w:lang w:val="en-US" w:eastAsia="zh-CN" w:bidi="ar-SA"/>
        </w:rPr>
        <w:t>万元，正常公用经费</w:t>
      </w:r>
      <w:r>
        <w:rPr>
          <w:rFonts w:hint="eastAsia" w:eastAsia="方正仿宋_GBK" w:asciiTheme="minorHAnsi" w:hAnsiTheme="minorHAnsi" w:cstheme="minorBidi"/>
          <w:kern w:val="2"/>
          <w:sz w:val="28"/>
          <w:szCs w:val="24"/>
          <w:lang w:val="en-US" w:eastAsia="zh-CN" w:bidi="ar-SA"/>
        </w:rPr>
        <w:t>82.77</w:t>
      </w:r>
      <w:r>
        <w:rPr>
          <w:rFonts w:hint="default" w:eastAsia="方正仿宋_GBK" w:asciiTheme="minorHAnsi" w:hAnsiTheme="minorHAnsi" w:cstheme="minorBidi"/>
          <w:kern w:val="2"/>
          <w:sz w:val="28"/>
          <w:szCs w:val="24"/>
          <w:lang w:val="en-US" w:eastAsia="zh-CN" w:bidi="ar-SA"/>
        </w:rPr>
        <w:t>万元，项目经费</w:t>
      </w:r>
      <w:r>
        <w:rPr>
          <w:rFonts w:hint="eastAsia" w:eastAsia="方正仿宋_GBK" w:asciiTheme="minorHAnsi" w:hAnsiTheme="minorHAnsi" w:cstheme="minorBidi"/>
          <w:kern w:val="2"/>
          <w:sz w:val="28"/>
          <w:szCs w:val="24"/>
          <w:lang w:val="en-US" w:eastAsia="zh-CN" w:bidi="ar-SA"/>
        </w:rPr>
        <w:t>80</w:t>
      </w:r>
      <w:r>
        <w:rPr>
          <w:rFonts w:hint="default" w:eastAsia="方正仿宋_GBK" w:asciiTheme="minorHAnsi" w:hAnsiTheme="minorHAnsi" w:cstheme="minorBidi"/>
          <w:kern w:val="2"/>
          <w:sz w:val="28"/>
          <w:szCs w:val="24"/>
          <w:lang w:val="en-US" w:eastAsia="zh-CN" w:bidi="ar-SA"/>
        </w:rPr>
        <w:t>万元。2022年</w:t>
      </w:r>
      <w:r>
        <w:rPr>
          <w:rFonts w:hint="eastAsia" w:cstheme="minorBidi"/>
          <w:kern w:val="2"/>
          <w:sz w:val="28"/>
          <w:szCs w:val="24"/>
          <w:lang w:val="en-US" w:eastAsia="zh-CN" w:bidi="ar-SA"/>
        </w:rPr>
        <w:t>部门</w:t>
      </w:r>
      <w:r>
        <w:rPr>
          <w:rFonts w:hint="default" w:eastAsia="方正仿宋_GBK" w:asciiTheme="minorHAnsi" w:hAnsiTheme="minorHAnsi" w:cstheme="minorBidi"/>
          <w:kern w:val="2"/>
          <w:sz w:val="28"/>
          <w:szCs w:val="24"/>
          <w:lang w:val="en-US" w:eastAsia="zh-CN" w:bidi="ar-SA"/>
        </w:rPr>
        <w:t>预算较2021年减少218.43万元，其中人员经费</w:t>
      </w:r>
      <w:r>
        <w:rPr>
          <w:rFonts w:hint="eastAsia" w:eastAsia="方正仿宋_GBK" w:asciiTheme="minorHAnsi" w:hAnsiTheme="minorHAnsi" w:cstheme="minorBidi"/>
          <w:kern w:val="2"/>
          <w:sz w:val="28"/>
          <w:szCs w:val="24"/>
          <w:lang w:val="en-US" w:eastAsia="zh-CN" w:bidi="ar-SA"/>
        </w:rPr>
        <w:t>增加6.27</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主要原因是2022年</w:t>
      </w:r>
      <w:r>
        <w:rPr>
          <w:rFonts w:hint="eastAsia" w:eastAsia="方正仿宋_GBK" w:asciiTheme="minorHAnsi" w:hAnsiTheme="minorHAnsi" w:cstheme="minorBidi"/>
          <w:kern w:val="2"/>
          <w:sz w:val="28"/>
          <w:szCs w:val="24"/>
          <w:lang w:val="en-US" w:eastAsia="zh-CN" w:bidi="ar-SA"/>
        </w:rPr>
        <w:t>新增加2人，涉及到补发2021年工资保险</w:t>
      </w:r>
      <w:r>
        <w:rPr>
          <w:rFonts w:hint="default" w:eastAsia="方正仿宋_GBK" w:asciiTheme="minorHAnsi" w:hAnsiTheme="minorHAnsi" w:cstheme="minorBidi"/>
          <w:kern w:val="2"/>
          <w:sz w:val="28"/>
          <w:szCs w:val="24"/>
          <w:lang w:val="en-US" w:eastAsia="zh-CN" w:bidi="ar-SA"/>
        </w:rPr>
        <w:t>；日常公用减少</w:t>
      </w:r>
      <w:r>
        <w:rPr>
          <w:rFonts w:hint="eastAsia" w:eastAsia="方正仿宋_GBK" w:asciiTheme="minorHAnsi" w:hAnsiTheme="minorHAnsi" w:cstheme="minorBidi"/>
          <w:kern w:val="2"/>
          <w:sz w:val="28"/>
          <w:szCs w:val="24"/>
          <w:lang w:val="en-US" w:eastAsia="zh-CN" w:bidi="ar-SA"/>
        </w:rPr>
        <w:t>1.46</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日常公用减少</w:t>
      </w:r>
      <w:r>
        <w:rPr>
          <w:rFonts w:hint="eastAsia" w:eastAsia="方正仿宋_GBK" w:asciiTheme="minorHAnsi" w:hAnsiTheme="minorHAnsi" w:cstheme="minorBidi"/>
          <w:kern w:val="2"/>
          <w:sz w:val="28"/>
          <w:szCs w:val="24"/>
          <w:lang w:val="en-US" w:eastAsia="zh-CN" w:bidi="ar-SA"/>
        </w:rPr>
        <w:t>1.46</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因为档案馆投入使用，减少了一部分电费等支出</w:t>
      </w:r>
      <w:r>
        <w:rPr>
          <w:rFonts w:hint="default" w:eastAsia="方正仿宋_GBK" w:asciiTheme="minorHAnsi" w:hAnsiTheme="minorHAnsi" w:cstheme="minorBidi"/>
          <w:kern w:val="2"/>
          <w:sz w:val="28"/>
          <w:szCs w:val="24"/>
          <w:lang w:val="en-US" w:eastAsia="zh-CN" w:bidi="ar-SA"/>
        </w:rPr>
        <w:t>。</w:t>
      </w:r>
      <w:r>
        <w:rPr>
          <w:rFonts w:hint="eastAsia" w:eastAsia="方正仿宋_GBK" w:asciiTheme="minorHAnsi" w:hAnsiTheme="minorHAnsi" w:cstheme="minorBidi"/>
          <w:kern w:val="2"/>
          <w:sz w:val="28"/>
          <w:szCs w:val="24"/>
          <w:lang w:val="en-US" w:eastAsia="zh-CN" w:bidi="ar-SA"/>
        </w:rPr>
        <w:t>项目经费80万元，主要是准备购入扫描设备，提升数字化档案馆建设水平。</w:t>
      </w:r>
    </w:p>
    <w:p>
      <w:pPr>
        <w:spacing w:before="10" w:after="10"/>
        <w:ind w:firstLine="640" w:firstLineChars="200"/>
        <w:outlineLvl w:val="5"/>
      </w:pPr>
      <w:r>
        <w:rPr>
          <w:rFonts w:ascii="黑体" w:hAnsi="黑体" w:eastAsia="黑体" w:cs="黑体"/>
          <w:color w:val="000000"/>
          <w:sz w:val="32"/>
        </w:rPr>
        <w:t>三、机关运行经费安排情况</w:t>
      </w:r>
    </w:p>
    <w:p>
      <w:pPr>
        <w:pStyle w:val="20"/>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2022年机关运行经费预算为</w:t>
      </w:r>
      <w:r>
        <w:rPr>
          <w:rFonts w:hint="eastAsia" w:eastAsia="方正仿宋_GBK" w:asciiTheme="minorHAnsi" w:hAnsiTheme="minorHAnsi" w:cstheme="minorBidi"/>
          <w:kern w:val="2"/>
          <w:sz w:val="28"/>
          <w:szCs w:val="24"/>
          <w:lang w:val="en-US" w:eastAsia="zh-CN" w:bidi="ar-SA"/>
        </w:rPr>
        <w:t>82.77</w:t>
      </w:r>
      <w:r>
        <w:rPr>
          <w:rFonts w:hint="default" w:eastAsia="方正仿宋_GBK" w:asciiTheme="minorHAnsi" w:hAnsiTheme="minorHAnsi" w:cstheme="minorBidi"/>
          <w:kern w:val="2"/>
          <w:sz w:val="28"/>
          <w:szCs w:val="24"/>
          <w:lang w:val="en-US" w:eastAsia="zh-CN" w:bidi="ar-SA"/>
        </w:rPr>
        <w:t>万元。主要指</w:t>
      </w:r>
      <w:r>
        <w:rPr>
          <w:rFonts w:hint="eastAsia" w:cstheme="minorBidi"/>
          <w:kern w:val="2"/>
          <w:sz w:val="28"/>
          <w:szCs w:val="24"/>
          <w:lang w:val="en-US" w:eastAsia="zh-CN" w:bidi="ar-SA"/>
        </w:rPr>
        <w:t>部门</w:t>
      </w:r>
      <w:r>
        <w:rPr>
          <w:rFonts w:hint="default" w:eastAsia="方正仿宋_GBK" w:asciiTheme="minorHAnsi" w:hAnsiTheme="minorHAnsi" w:cstheme="minorBidi"/>
          <w:kern w:val="2"/>
          <w:sz w:val="28"/>
          <w:szCs w:val="24"/>
          <w:lang w:val="en-US" w:eastAsia="zh-CN" w:bidi="ar-SA"/>
        </w:rPr>
        <w:t>的日常公用经费，包括办公及印刷费、邮电费、差旅费、会议费、培训费、日常维修费、公务用车运行维护费以及其他费用等。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2022年“三公”经费预算安排</w:t>
      </w:r>
      <w:r>
        <w:rPr>
          <w:rFonts w:hint="eastAsia" w:eastAsia="方正仿宋_GBK" w:asciiTheme="minorHAnsi" w:hAnsiTheme="minorHAnsi" w:cstheme="minorBidi"/>
          <w:kern w:val="2"/>
          <w:sz w:val="28"/>
          <w:szCs w:val="24"/>
          <w:lang w:val="en-US" w:eastAsia="zh-CN" w:bidi="ar-SA"/>
        </w:rPr>
        <w:t>2.84</w:t>
      </w:r>
      <w:r>
        <w:rPr>
          <w:rFonts w:hint="default" w:eastAsia="方正仿宋_GBK" w:asciiTheme="minorHAnsi" w:hAnsiTheme="minorHAnsi" w:cstheme="minorBidi"/>
          <w:kern w:val="2"/>
          <w:sz w:val="28"/>
          <w:szCs w:val="24"/>
          <w:lang w:val="en-US" w:eastAsia="zh-CN" w:bidi="ar-SA"/>
        </w:rPr>
        <w:t>万元，较2021年</w:t>
      </w:r>
      <w:r>
        <w:rPr>
          <w:rFonts w:hint="eastAsia" w:eastAsia="方正仿宋_GBK" w:asciiTheme="minorHAnsi" w:hAnsiTheme="minorHAnsi" w:cstheme="minorBidi"/>
          <w:kern w:val="2"/>
          <w:sz w:val="28"/>
          <w:szCs w:val="24"/>
          <w:lang w:val="en-US" w:eastAsia="zh-CN" w:bidi="ar-SA"/>
        </w:rPr>
        <w:t>无变化</w:t>
      </w:r>
      <w:r>
        <w:rPr>
          <w:rFonts w:hint="default" w:eastAsia="方正仿宋_GBK" w:asciiTheme="minorHAnsi" w:hAnsiTheme="minorHAnsi" w:cstheme="minorBidi"/>
          <w:kern w:val="2"/>
          <w:sz w:val="28"/>
          <w:szCs w:val="24"/>
          <w:lang w:val="en-US" w:eastAsia="zh-CN" w:bidi="ar-SA"/>
        </w:rPr>
        <w:t>，其中：公务用车购置0万元，较2021年无增减变化；公务用车运行维护费</w:t>
      </w:r>
      <w:r>
        <w:rPr>
          <w:rFonts w:hint="eastAsia" w:eastAsia="方正仿宋_GBK" w:asciiTheme="minorHAnsi" w:hAnsiTheme="minorHAnsi" w:cstheme="minorBidi"/>
          <w:kern w:val="2"/>
          <w:sz w:val="28"/>
          <w:szCs w:val="24"/>
          <w:lang w:val="en-US" w:eastAsia="zh-CN" w:bidi="ar-SA"/>
        </w:rPr>
        <w:t>2.84</w:t>
      </w:r>
      <w:r>
        <w:rPr>
          <w:rFonts w:hint="default" w:eastAsia="方正仿宋_GBK" w:asciiTheme="minorHAnsi" w:hAnsiTheme="minorHAnsi" w:cstheme="minorBidi"/>
          <w:kern w:val="2"/>
          <w:sz w:val="28"/>
          <w:szCs w:val="24"/>
          <w:lang w:val="en-US" w:eastAsia="zh-CN" w:bidi="ar-SA"/>
        </w:rPr>
        <w:t>万元，较2021年无增减变化</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公务接待费</w:t>
      </w:r>
      <w:r>
        <w:rPr>
          <w:rFonts w:hint="eastAsia" w:eastAsia="方正仿宋_GBK" w:asciiTheme="minorHAnsi" w:hAnsiTheme="minorHAnsi" w:cstheme="minorBidi"/>
          <w:kern w:val="2"/>
          <w:sz w:val="28"/>
          <w:szCs w:val="24"/>
          <w:lang w:val="en-US" w:eastAsia="zh-CN" w:bidi="ar-SA"/>
        </w:rPr>
        <w:t>0</w:t>
      </w:r>
      <w:r>
        <w:rPr>
          <w:rFonts w:hint="default" w:eastAsia="方正仿宋_GBK" w:asciiTheme="minorHAnsi" w:hAnsiTheme="minorHAnsi" w:cstheme="minorBidi"/>
          <w:kern w:val="2"/>
          <w:sz w:val="28"/>
          <w:szCs w:val="24"/>
          <w:lang w:val="en-US" w:eastAsia="zh-CN" w:bidi="ar-SA"/>
        </w:rPr>
        <w:t>万元，较2021年无增减变化；因公出国（境）费0万元，较2021年无增减变化。</w:t>
      </w:r>
    </w:p>
    <w:p>
      <w:pPr>
        <w:pStyle w:val="21"/>
        <w:ind w:left="0" w:leftChars="0" w:firstLine="0" w:firstLineChars="0"/>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ind w:firstLine="560"/>
      </w:pPr>
      <w:r>
        <w:rPr>
          <w:rFonts w:ascii="方正仿宋_GBK" w:hAnsi="方正仿宋_GBK" w:eastAsia="方正仿宋_GBK" w:cs="方正仿宋_GBK"/>
          <w:b/>
          <w:color w:val="000000"/>
          <w:sz w:val="28"/>
        </w:rPr>
        <w:t>1、档案集中化管理绩效目标表</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pPr>
              <w:pStyle w:val="16"/>
              <w:widowControl/>
              <w:jc w:val="left"/>
              <w:rPr>
                <w:rFonts w:hint="default" w:eastAsia="方正书宋_GBK"/>
                <w:kern w:val="0"/>
                <w:lang w:val="en-US" w:eastAsia="zh-CN"/>
              </w:rPr>
            </w:pPr>
            <w:r>
              <w:rPr>
                <w:rFonts w:hint="eastAsia"/>
                <w:kern w:val="0"/>
                <w:lang w:val="en-US" w:eastAsia="zh-CN"/>
              </w:rPr>
              <w:t>运用信息化系统，维护和加强档案管理，加强档案资源利用安全治理体系建设。发挥区域性国家重点档案保护中心作用，对馆藏国家重点档案抢救保护。收集、整理、保管政府及职能部门以公开的现行政策性、法规性、公益性文化资料，并及时向社会各界及普通民众提供查阅、利用、咨询服务。</w:t>
            </w:r>
          </w:p>
        </w:tc>
      </w:tr>
    </w:tbl>
    <w:p>
      <w:pPr>
        <w:widowControl/>
        <w:spacing w:line="2" w:lineRule="exact"/>
        <w:jc w:val="center"/>
        <w:rPr>
          <w:rFonts w:ascii="Times New Roman" w:hAnsi="Times New Roman" w:eastAsia="Times New Roman" w:cs="Times New Roman"/>
          <w:kern w:val="0"/>
          <w:sz w:val="24"/>
          <w:lang w:eastAsia="uk-U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pPr>
              <w:pStyle w:val="16"/>
              <w:widowControl/>
              <w:jc w:val="left"/>
              <w:rPr>
                <w:kern w:val="0"/>
                <w:lang w:eastAsia="uk-UA"/>
              </w:rPr>
            </w:pPr>
            <w:r>
              <w:rPr>
                <w:kern w:val="0"/>
                <w:lang w:eastAsia="uk-UA"/>
              </w:rPr>
              <w:t>数量指标</w:t>
            </w:r>
          </w:p>
        </w:tc>
        <w:tc>
          <w:tcPr>
            <w:tcW w:w="2835" w:type="dxa"/>
            <w:vAlign w:val="center"/>
          </w:tcPr>
          <w:p>
            <w:pPr>
              <w:pStyle w:val="16"/>
              <w:widowControl/>
              <w:jc w:val="left"/>
              <w:rPr>
                <w:kern w:val="0"/>
                <w:lang w:eastAsia="uk-UA"/>
              </w:rPr>
            </w:pPr>
            <w:r>
              <w:rPr>
                <w:kern w:val="0"/>
                <w:lang w:eastAsia="uk-UA"/>
              </w:rPr>
              <w:t>登记办理群众来信数量</w:t>
            </w:r>
          </w:p>
        </w:tc>
        <w:tc>
          <w:tcPr>
            <w:tcW w:w="2835" w:type="dxa"/>
            <w:vAlign w:val="center"/>
          </w:tcPr>
          <w:p>
            <w:pPr>
              <w:pStyle w:val="16"/>
              <w:widowControl/>
              <w:jc w:val="left"/>
              <w:rPr>
                <w:kern w:val="0"/>
                <w:lang w:eastAsia="uk-UA"/>
              </w:rPr>
            </w:pPr>
            <w:r>
              <w:rPr>
                <w:kern w:val="0"/>
                <w:lang w:eastAsia="uk-UA"/>
              </w:rPr>
              <w:t>登记办理群众来信数量</w:t>
            </w:r>
          </w:p>
        </w:tc>
        <w:tc>
          <w:tcPr>
            <w:tcW w:w="2551" w:type="dxa"/>
            <w:vAlign w:val="center"/>
          </w:tcPr>
          <w:p>
            <w:pPr>
              <w:pStyle w:val="16"/>
              <w:widowControl/>
              <w:jc w:val="left"/>
              <w:rPr>
                <w:kern w:val="0"/>
                <w:lang w:eastAsia="uk-UA"/>
              </w:rPr>
            </w:pPr>
            <w:r>
              <w:rPr>
                <w:kern w:val="0"/>
                <w:lang w:eastAsia="uk-UA"/>
              </w:rPr>
              <w:t>&gt;1大于1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质量指标</w:t>
            </w:r>
          </w:p>
        </w:tc>
        <w:tc>
          <w:tcPr>
            <w:tcW w:w="2835" w:type="dxa"/>
            <w:vAlign w:val="center"/>
          </w:tcPr>
          <w:p>
            <w:pPr>
              <w:pStyle w:val="16"/>
              <w:widowControl/>
              <w:jc w:val="left"/>
              <w:rPr>
                <w:kern w:val="0"/>
                <w:lang w:eastAsia="uk-UA"/>
              </w:rPr>
            </w:pPr>
            <w:r>
              <w:rPr>
                <w:kern w:val="0"/>
                <w:lang w:eastAsia="uk-UA"/>
              </w:rPr>
              <w:t>其他各项综合实务工作完成率</w:t>
            </w:r>
          </w:p>
        </w:tc>
        <w:tc>
          <w:tcPr>
            <w:tcW w:w="2835" w:type="dxa"/>
            <w:vAlign w:val="center"/>
          </w:tcPr>
          <w:p>
            <w:pPr>
              <w:pStyle w:val="16"/>
              <w:widowControl/>
              <w:jc w:val="left"/>
              <w:rPr>
                <w:kern w:val="0"/>
                <w:lang w:eastAsia="uk-UA"/>
              </w:rPr>
            </w:pPr>
            <w:r>
              <w:rPr>
                <w:kern w:val="0"/>
                <w:lang w:eastAsia="uk-UA"/>
              </w:rPr>
              <w:t>其他各项综合实务工作完成率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时效指标</w:t>
            </w:r>
          </w:p>
        </w:tc>
        <w:tc>
          <w:tcPr>
            <w:tcW w:w="2835" w:type="dxa"/>
            <w:vAlign w:val="center"/>
          </w:tcPr>
          <w:p>
            <w:pPr>
              <w:pStyle w:val="16"/>
              <w:widowControl/>
              <w:jc w:val="left"/>
              <w:rPr>
                <w:kern w:val="0"/>
                <w:lang w:eastAsia="uk-UA"/>
              </w:rPr>
            </w:pPr>
            <w:r>
              <w:rPr>
                <w:kern w:val="0"/>
                <w:lang w:eastAsia="uk-UA"/>
              </w:rPr>
              <w:t>案件、资料上报及时率</w:t>
            </w:r>
          </w:p>
        </w:tc>
        <w:tc>
          <w:tcPr>
            <w:tcW w:w="2835" w:type="dxa"/>
            <w:vAlign w:val="center"/>
          </w:tcPr>
          <w:p>
            <w:pPr>
              <w:pStyle w:val="16"/>
              <w:widowControl/>
              <w:jc w:val="left"/>
              <w:rPr>
                <w:kern w:val="0"/>
                <w:lang w:eastAsia="uk-UA"/>
              </w:rPr>
            </w:pPr>
            <w:r>
              <w:rPr>
                <w:kern w:val="0"/>
                <w:lang w:eastAsia="uk-UA"/>
              </w:rPr>
              <w:t>案件、资料上报及时率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pPr>
              <w:pStyle w:val="16"/>
              <w:widowControl/>
              <w:jc w:val="left"/>
              <w:rPr>
                <w:kern w:val="0"/>
                <w:lang w:eastAsia="uk-UA"/>
              </w:rPr>
            </w:pPr>
            <w:r>
              <w:rPr>
                <w:kern w:val="0"/>
                <w:lang w:eastAsia="uk-UA"/>
              </w:rPr>
              <w:t>经济效益指标</w:t>
            </w:r>
          </w:p>
        </w:tc>
        <w:tc>
          <w:tcPr>
            <w:tcW w:w="2835" w:type="dxa"/>
            <w:vAlign w:val="center"/>
          </w:tcPr>
          <w:p>
            <w:pPr>
              <w:pStyle w:val="16"/>
              <w:widowControl/>
              <w:jc w:val="left"/>
              <w:rPr>
                <w:kern w:val="0"/>
                <w:lang w:eastAsia="uk-UA"/>
              </w:rPr>
            </w:pPr>
            <w:r>
              <w:rPr>
                <w:kern w:val="0"/>
                <w:lang w:eastAsia="uk-UA"/>
              </w:rPr>
              <w:t>提高效率</w:t>
            </w:r>
          </w:p>
        </w:tc>
        <w:tc>
          <w:tcPr>
            <w:tcW w:w="2835" w:type="dxa"/>
            <w:vAlign w:val="center"/>
          </w:tcPr>
          <w:p>
            <w:pPr>
              <w:pStyle w:val="16"/>
              <w:widowControl/>
              <w:jc w:val="left"/>
              <w:rPr>
                <w:kern w:val="0"/>
                <w:lang w:eastAsia="uk-UA"/>
              </w:rPr>
            </w:pPr>
            <w:r>
              <w:rPr>
                <w:kern w:val="0"/>
                <w:lang w:eastAsia="uk-UA"/>
              </w:rPr>
              <w:t>提高效率</w:t>
            </w:r>
          </w:p>
        </w:tc>
        <w:tc>
          <w:tcPr>
            <w:tcW w:w="2551" w:type="dxa"/>
            <w:vAlign w:val="center"/>
          </w:tcPr>
          <w:p>
            <w:pPr>
              <w:pStyle w:val="16"/>
              <w:widowControl/>
              <w:jc w:val="left"/>
              <w:rPr>
                <w:kern w:val="0"/>
                <w:lang w:eastAsia="uk-UA"/>
              </w:rPr>
            </w:pPr>
            <w:r>
              <w:rPr>
                <w:kern w:val="0"/>
                <w:lang w:eastAsia="uk-UA"/>
              </w:rPr>
              <w:t>&gt;1大于1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社会效益指标</w:t>
            </w:r>
          </w:p>
        </w:tc>
        <w:tc>
          <w:tcPr>
            <w:tcW w:w="2835" w:type="dxa"/>
            <w:vAlign w:val="center"/>
          </w:tcPr>
          <w:p>
            <w:pPr>
              <w:pStyle w:val="16"/>
              <w:widowControl/>
              <w:jc w:val="left"/>
              <w:rPr>
                <w:kern w:val="0"/>
                <w:lang w:eastAsia="uk-UA"/>
              </w:rPr>
            </w:pPr>
            <w:r>
              <w:rPr>
                <w:kern w:val="0"/>
                <w:lang w:eastAsia="uk-UA"/>
              </w:rPr>
              <w:t>创新工作完成率</w:t>
            </w:r>
          </w:p>
        </w:tc>
        <w:tc>
          <w:tcPr>
            <w:tcW w:w="2835" w:type="dxa"/>
            <w:vAlign w:val="center"/>
          </w:tcPr>
          <w:p>
            <w:pPr>
              <w:pStyle w:val="16"/>
              <w:widowControl/>
              <w:jc w:val="left"/>
              <w:rPr>
                <w:kern w:val="0"/>
                <w:lang w:eastAsia="uk-UA"/>
              </w:rPr>
            </w:pPr>
            <w:r>
              <w:rPr>
                <w:kern w:val="0"/>
                <w:lang w:eastAsia="uk-UA"/>
              </w:rPr>
              <w:t>创新工作完成率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生态效益指标</w:t>
            </w:r>
          </w:p>
        </w:tc>
        <w:tc>
          <w:tcPr>
            <w:tcW w:w="2835" w:type="dxa"/>
            <w:vAlign w:val="center"/>
          </w:tcPr>
          <w:p>
            <w:pPr>
              <w:pStyle w:val="16"/>
              <w:widowControl/>
              <w:jc w:val="left"/>
              <w:rPr>
                <w:kern w:val="0"/>
                <w:lang w:eastAsia="uk-UA"/>
              </w:rPr>
            </w:pPr>
            <w:r>
              <w:rPr>
                <w:kern w:val="0"/>
                <w:lang w:eastAsia="uk-UA"/>
              </w:rPr>
              <w:t>环保节能</w:t>
            </w:r>
          </w:p>
        </w:tc>
        <w:tc>
          <w:tcPr>
            <w:tcW w:w="2835" w:type="dxa"/>
            <w:vAlign w:val="center"/>
          </w:tcPr>
          <w:p>
            <w:pPr>
              <w:pStyle w:val="16"/>
              <w:widowControl/>
              <w:jc w:val="left"/>
              <w:rPr>
                <w:kern w:val="0"/>
                <w:lang w:eastAsia="uk-UA"/>
              </w:rPr>
            </w:pPr>
            <w:r>
              <w:rPr>
                <w:kern w:val="0"/>
                <w:lang w:eastAsia="uk-UA"/>
              </w:rPr>
              <w:t>环保节能</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社会公众满意度</w:t>
            </w:r>
          </w:p>
        </w:tc>
        <w:tc>
          <w:tcPr>
            <w:tcW w:w="2835" w:type="dxa"/>
            <w:vAlign w:val="center"/>
          </w:tcPr>
          <w:p>
            <w:pPr>
              <w:pStyle w:val="16"/>
              <w:widowControl/>
              <w:jc w:val="left"/>
              <w:rPr>
                <w:kern w:val="0"/>
                <w:lang w:eastAsia="uk-UA"/>
              </w:rPr>
            </w:pPr>
            <w:r>
              <w:rPr>
                <w:kern w:val="0"/>
                <w:lang w:eastAsia="uk-UA"/>
              </w:rPr>
              <w:t>社会公众满意度</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满意率</w:t>
            </w:r>
          </w:p>
        </w:tc>
        <w:tc>
          <w:tcPr>
            <w:tcW w:w="2835" w:type="dxa"/>
            <w:vAlign w:val="center"/>
          </w:tcPr>
          <w:p>
            <w:pPr>
              <w:pStyle w:val="16"/>
              <w:widowControl/>
              <w:jc w:val="left"/>
              <w:rPr>
                <w:kern w:val="0"/>
                <w:lang w:eastAsia="uk-UA"/>
              </w:rPr>
            </w:pPr>
            <w:r>
              <w:rPr>
                <w:kern w:val="0"/>
                <w:lang w:eastAsia="uk-UA"/>
              </w:rPr>
              <w:t>满意率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受益群众满意度</w:t>
            </w:r>
          </w:p>
        </w:tc>
        <w:tc>
          <w:tcPr>
            <w:tcW w:w="2835" w:type="dxa"/>
            <w:vAlign w:val="center"/>
          </w:tcPr>
          <w:p>
            <w:pPr>
              <w:pStyle w:val="16"/>
              <w:widowControl/>
              <w:jc w:val="left"/>
              <w:rPr>
                <w:kern w:val="0"/>
                <w:lang w:eastAsia="uk-UA"/>
              </w:rPr>
            </w:pPr>
            <w:r>
              <w:rPr>
                <w:kern w:val="0"/>
                <w:lang w:eastAsia="uk-UA"/>
              </w:rPr>
              <w:t>受益群众满意度</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bl>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2022年，乐亭县档案馆安排政府采购预算0.00万元。具体内容见下表。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241003乐亭县档案馆</w:t>
            </w:r>
          </w:p>
        </w:tc>
        <w:tc>
          <w:tcPr>
            <w:tcW w:w="8674" w:type="dxa"/>
            <w:gridSpan w:val="9"/>
            <w:tcBorders>
              <w:top w:val="single" w:color="FFFFFF" w:sz="6" w:space="0"/>
              <w:left w:val="single" w:color="FFFFFF" w:sz="6" w:space="0"/>
              <w:right w:val="single" w:color="FFFFFF" w:sz="6" w:space="0"/>
            </w:tcBorders>
            <w:vAlign w:val="center"/>
          </w:tcPr>
          <w:p>
            <w:pPr>
              <w:pStyle w:val="2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w:t>
            </w:r>
            <w:r>
              <w:rPr>
                <w:rFonts w:hint="eastAsia"/>
                <w:lang w:eastAsia="zh-CN"/>
              </w:rPr>
              <w:t>部门</w:t>
            </w:r>
            <w:r>
              <w:t>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rPr>
                <w:rFonts w:hint="eastAsia"/>
                <w:lang w:eastAsia="zh-CN"/>
              </w:rPr>
              <w:t>部门</w:t>
            </w:r>
            <w:r>
              <w:t xml:space="preserve">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7"/>
            </w:pPr>
          </w:p>
        </w:tc>
        <w:tc>
          <w:tcPr>
            <w:tcW w:w="1134" w:type="dxa"/>
            <w:vAlign w:val="center"/>
          </w:tcPr>
          <w:p>
            <w:pPr>
              <w:pStyle w:val="16"/>
            </w:pPr>
          </w:p>
        </w:tc>
        <w:tc>
          <w:tcPr>
            <w:tcW w:w="1134" w:type="dxa"/>
            <w:vAlign w:val="center"/>
          </w:tcPr>
          <w:p>
            <w:pPr>
              <w:pStyle w:val="16"/>
            </w:pPr>
          </w:p>
        </w:tc>
        <w:tc>
          <w:tcPr>
            <w:tcW w:w="709" w:type="dxa"/>
            <w:vAlign w:val="center"/>
          </w:tcPr>
          <w:p>
            <w:pPr>
              <w:pStyle w:val="12"/>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numPr>
          <w:ilvl w:val="0"/>
          <w:numId w:val="0"/>
        </w:numPr>
        <w:spacing w:before="10" w:after="10"/>
        <w:outlineLvl w:val="5"/>
        <w:rPr>
          <w:rFonts w:ascii="黑体" w:hAnsi="黑体" w:eastAsia="黑体" w:cs="黑体"/>
          <w:color w:val="000000"/>
          <w:sz w:val="32"/>
        </w:rPr>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乐亭县档案馆上年末固定资产金额为265</w:t>
      </w:r>
      <w:r>
        <w:rPr>
          <w:rFonts w:hint="eastAsia" w:eastAsia="方正仿宋_GBK"/>
          <w:color w:val="000000"/>
          <w:sz w:val="28"/>
          <w:lang w:val="en-US" w:eastAsia="zh-CN"/>
        </w:rPr>
        <w:t>.</w:t>
      </w:r>
      <w:r>
        <w:rPr>
          <w:rFonts w:eastAsia="方正仿宋_GBK"/>
          <w:color w:val="000000"/>
          <w:sz w:val="28"/>
        </w:rPr>
        <w:t>3</w:t>
      </w:r>
      <w:r>
        <w:rPr>
          <w:rFonts w:hint="eastAsia" w:eastAsia="方正仿宋_GBK"/>
          <w:color w:val="000000"/>
          <w:sz w:val="28"/>
          <w:lang w:val="en-US" w:eastAsia="zh-CN"/>
        </w:rPr>
        <w:t>8</w:t>
      </w:r>
      <w:r>
        <w:rPr>
          <w:rFonts w:eastAsia="方正仿宋_GBK"/>
          <w:color w:val="000000"/>
          <w:sz w:val="28"/>
        </w:rPr>
        <w:t>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241003乐亭县档案馆</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2"/>
            </w:pPr>
          </w:p>
        </w:tc>
        <w:tc>
          <w:tcPr>
            <w:tcW w:w="2835" w:type="dxa"/>
            <w:vAlign w:val="center"/>
          </w:tcPr>
          <w:p>
            <w:pPr>
              <w:pStyle w:val="17"/>
            </w:pPr>
            <w:r>
              <w:t>265</w:t>
            </w:r>
            <w:r>
              <w:rPr>
                <w:rFonts w:hint="eastAsia"/>
                <w:lang w:val="en-US" w:eastAsia="zh-CN"/>
              </w:rPr>
              <w:t>.</w:t>
            </w:r>
            <w:r>
              <w:t>3</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2"/>
            </w:pPr>
            <w:r>
              <w:t>6135</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2"/>
            </w:pPr>
            <w:r>
              <w:t>150</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2"/>
            </w:pPr>
            <w:r>
              <w:t>1</w:t>
            </w:r>
          </w:p>
        </w:tc>
        <w:tc>
          <w:tcPr>
            <w:tcW w:w="2835" w:type="dxa"/>
            <w:vAlign w:val="center"/>
          </w:tcPr>
          <w:p>
            <w:pPr>
              <w:pStyle w:val="17"/>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2"/>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2"/>
            </w:pPr>
            <w:r>
              <w:t>18</w:t>
            </w:r>
          </w:p>
        </w:tc>
        <w:tc>
          <w:tcPr>
            <w:tcW w:w="2835" w:type="dxa"/>
            <w:vAlign w:val="center"/>
          </w:tcPr>
          <w:p>
            <w:pPr>
              <w:pStyle w:val="17"/>
            </w:pPr>
            <w:r>
              <w:t>263</w:t>
            </w:r>
            <w:r>
              <w:rPr>
                <w:rFonts w:hint="eastAsia"/>
                <w:lang w:val="en-US" w:eastAsia="zh-CN"/>
              </w:rPr>
              <w:t>.</w:t>
            </w:r>
            <w:r>
              <w:t>3</w:t>
            </w:r>
            <w:r>
              <w:rPr>
                <w:rFonts w:hint="eastAsia"/>
                <w:lang w:val="en-US" w:eastAsia="zh-CN"/>
              </w:rPr>
              <w:t>8</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hint="eastAsia" w:eastAsia="方正仿宋_GBK"/>
          <w:color w:val="000000"/>
          <w:sz w:val="28"/>
          <w:lang w:eastAsia="zh-CN"/>
        </w:rPr>
        <w:t>部门</w:t>
      </w:r>
      <w:r>
        <w:rPr>
          <w:rFonts w:eastAsia="方正仿宋_GBK"/>
          <w:color w:val="000000"/>
          <w:sz w:val="28"/>
        </w:rPr>
        <w:t>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w:t>
      </w:r>
      <w:r>
        <w:rPr>
          <w:rFonts w:hint="eastAsia" w:eastAsia="方正仿宋_GBK"/>
          <w:color w:val="000000"/>
          <w:sz w:val="28"/>
          <w:lang w:eastAsia="zh-CN"/>
        </w:rPr>
        <w:t>部门部门</w:t>
      </w:r>
      <w:r>
        <w:rPr>
          <w:rFonts w:eastAsia="方正仿宋_GBK"/>
          <w:color w:val="000000"/>
          <w:sz w:val="28"/>
        </w:rPr>
        <w:t>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部门</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ascii="黑体" w:hAnsi="黑体" w:eastAsia="黑体" w:cs="黑体"/>
          <w:color w:val="000000"/>
          <w:sz w:val="32"/>
        </w:rPr>
        <w:sectPr>
          <w:pgSz w:w="16840" w:h="11900" w:orient="landscape"/>
          <w:pgMar w:top="1361" w:right="1020" w:bottom="1361" w:left="1020" w:header="720" w:footer="720" w:gutter="0"/>
          <w:cols w:space="720" w:num="1"/>
        </w:sectPr>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A8C24"/>
    <w:multiLevelType w:val="singleLevel"/>
    <w:tmpl w:val="F76A8C24"/>
    <w:lvl w:ilvl="0" w:tentative="0">
      <w:start w:val="2"/>
      <w:numFmt w:val="chineseCounting"/>
      <w:suff w:val="nothing"/>
      <w:lvlText w:val="%1、"/>
      <w:lvlJc w:val="left"/>
      <w:rPr>
        <w:rFonts w:hint="eastAsia"/>
      </w:rPr>
    </w:lvl>
  </w:abstractNum>
  <w:abstractNum w:abstractNumId="1">
    <w:nsid w:val="488F20E8"/>
    <w:multiLevelType w:val="singleLevel"/>
    <w:tmpl w:val="488F20E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WI2YzE2MjliNmM4OGVjMWQ5YjQ3MDRjYTFkNTUifQ=="/>
  </w:docVars>
  <w:rsids>
    <w:rsidRoot w:val="448852C8"/>
    <w:rsid w:val="00095F79"/>
    <w:rsid w:val="01535821"/>
    <w:rsid w:val="033B18DA"/>
    <w:rsid w:val="03CE4EBB"/>
    <w:rsid w:val="04091F05"/>
    <w:rsid w:val="04C03BED"/>
    <w:rsid w:val="05DC6461"/>
    <w:rsid w:val="07050DFF"/>
    <w:rsid w:val="079E1A6F"/>
    <w:rsid w:val="089B2CBB"/>
    <w:rsid w:val="09704424"/>
    <w:rsid w:val="0A1D2D05"/>
    <w:rsid w:val="0ABB51FE"/>
    <w:rsid w:val="0B777B0B"/>
    <w:rsid w:val="0B9C0458"/>
    <w:rsid w:val="0CAA0BCF"/>
    <w:rsid w:val="0E1762D6"/>
    <w:rsid w:val="0E653E3A"/>
    <w:rsid w:val="0EBD5986"/>
    <w:rsid w:val="0EE42AA4"/>
    <w:rsid w:val="0FEF10DB"/>
    <w:rsid w:val="11255A38"/>
    <w:rsid w:val="127F314B"/>
    <w:rsid w:val="12EE0C11"/>
    <w:rsid w:val="153F1E79"/>
    <w:rsid w:val="158F589F"/>
    <w:rsid w:val="16103797"/>
    <w:rsid w:val="1712296F"/>
    <w:rsid w:val="18283E0B"/>
    <w:rsid w:val="18447267"/>
    <w:rsid w:val="198F1BAB"/>
    <w:rsid w:val="1A064A2F"/>
    <w:rsid w:val="1BC51FEF"/>
    <w:rsid w:val="1E3112CF"/>
    <w:rsid w:val="1E7245FE"/>
    <w:rsid w:val="1E785636"/>
    <w:rsid w:val="1F394C2A"/>
    <w:rsid w:val="1FB9139B"/>
    <w:rsid w:val="200F0018"/>
    <w:rsid w:val="201710FF"/>
    <w:rsid w:val="20BE1A3F"/>
    <w:rsid w:val="20BF30C4"/>
    <w:rsid w:val="211228AF"/>
    <w:rsid w:val="21444294"/>
    <w:rsid w:val="2249427E"/>
    <w:rsid w:val="2263382E"/>
    <w:rsid w:val="230135F4"/>
    <w:rsid w:val="233F2A65"/>
    <w:rsid w:val="239306D2"/>
    <w:rsid w:val="23F93E4F"/>
    <w:rsid w:val="24E24D34"/>
    <w:rsid w:val="252A0D50"/>
    <w:rsid w:val="255730E4"/>
    <w:rsid w:val="264E160B"/>
    <w:rsid w:val="26FA46A6"/>
    <w:rsid w:val="27557D20"/>
    <w:rsid w:val="279B7409"/>
    <w:rsid w:val="27B12D58"/>
    <w:rsid w:val="28B83A74"/>
    <w:rsid w:val="28FA79C9"/>
    <w:rsid w:val="29910331"/>
    <w:rsid w:val="2B2A7C88"/>
    <w:rsid w:val="2BE51735"/>
    <w:rsid w:val="2C2960FF"/>
    <w:rsid w:val="2CF72465"/>
    <w:rsid w:val="2EB462EE"/>
    <w:rsid w:val="30256479"/>
    <w:rsid w:val="30387EDD"/>
    <w:rsid w:val="318341D2"/>
    <w:rsid w:val="320542E4"/>
    <w:rsid w:val="3292258C"/>
    <w:rsid w:val="346508D5"/>
    <w:rsid w:val="351D70A4"/>
    <w:rsid w:val="35AD6893"/>
    <w:rsid w:val="35E95058"/>
    <w:rsid w:val="361473EE"/>
    <w:rsid w:val="37E64B49"/>
    <w:rsid w:val="381200A1"/>
    <w:rsid w:val="382A3D3D"/>
    <w:rsid w:val="385016AC"/>
    <w:rsid w:val="3876323A"/>
    <w:rsid w:val="392255AE"/>
    <w:rsid w:val="3A3B0C9F"/>
    <w:rsid w:val="3A51119A"/>
    <w:rsid w:val="3A68392F"/>
    <w:rsid w:val="3B893DFE"/>
    <w:rsid w:val="3C5162F3"/>
    <w:rsid w:val="3CB134A5"/>
    <w:rsid w:val="3DC96081"/>
    <w:rsid w:val="3E0B3457"/>
    <w:rsid w:val="3ED06BFC"/>
    <w:rsid w:val="3FCC7219"/>
    <w:rsid w:val="402818D2"/>
    <w:rsid w:val="4119548C"/>
    <w:rsid w:val="4242455E"/>
    <w:rsid w:val="42BC7763"/>
    <w:rsid w:val="430C26A9"/>
    <w:rsid w:val="434E5E2E"/>
    <w:rsid w:val="43C03DA2"/>
    <w:rsid w:val="448852C8"/>
    <w:rsid w:val="45546AE9"/>
    <w:rsid w:val="459A4A2F"/>
    <w:rsid w:val="45C326A2"/>
    <w:rsid w:val="465631A1"/>
    <w:rsid w:val="46820674"/>
    <w:rsid w:val="46E2117C"/>
    <w:rsid w:val="49075B13"/>
    <w:rsid w:val="49253247"/>
    <w:rsid w:val="49473275"/>
    <w:rsid w:val="49BC07BD"/>
    <w:rsid w:val="49EA5C88"/>
    <w:rsid w:val="49F160BE"/>
    <w:rsid w:val="4A211544"/>
    <w:rsid w:val="4A4D1BDB"/>
    <w:rsid w:val="4B333E21"/>
    <w:rsid w:val="4B52047D"/>
    <w:rsid w:val="4BE35848"/>
    <w:rsid w:val="4BF25B9B"/>
    <w:rsid w:val="4D3E7D6E"/>
    <w:rsid w:val="4E9733AD"/>
    <w:rsid w:val="4E9A63D2"/>
    <w:rsid w:val="506A38C8"/>
    <w:rsid w:val="50E042E7"/>
    <w:rsid w:val="50EF3577"/>
    <w:rsid w:val="512B5CBA"/>
    <w:rsid w:val="527346F4"/>
    <w:rsid w:val="53B239BD"/>
    <w:rsid w:val="54B74D8D"/>
    <w:rsid w:val="55434E0E"/>
    <w:rsid w:val="55DE1CEF"/>
    <w:rsid w:val="567A0C55"/>
    <w:rsid w:val="571746D7"/>
    <w:rsid w:val="57BE5379"/>
    <w:rsid w:val="5A457C30"/>
    <w:rsid w:val="5BB367FD"/>
    <w:rsid w:val="5BFE31C0"/>
    <w:rsid w:val="5CEE0B4A"/>
    <w:rsid w:val="5E6F4EB8"/>
    <w:rsid w:val="5EA34A87"/>
    <w:rsid w:val="5F176002"/>
    <w:rsid w:val="618D1B04"/>
    <w:rsid w:val="62016E4F"/>
    <w:rsid w:val="62E3487B"/>
    <w:rsid w:val="639E4E6A"/>
    <w:rsid w:val="63D6280D"/>
    <w:rsid w:val="64247161"/>
    <w:rsid w:val="65231FC2"/>
    <w:rsid w:val="656065A4"/>
    <w:rsid w:val="65D244B8"/>
    <w:rsid w:val="66195097"/>
    <w:rsid w:val="66836A66"/>
    <w:rsid w:val="668C6508"/>
    <w:rsid w:val="669041E8"/>
    <w:rsid w:val="671F01BE"/>
    <w:rsid w:val="679A1F3F"/>
    <w:rsid w:val="693B4417"/>
    <w:rsid w:val="69BD68D7"/>
    <w:rsid w:val="6B1F0A4E"/>
    <w:rsid w:val="6B9F5BAD"/>
    <w:rsid w:val="6BBD2968"/>
    <w:rsid w:val="6D591914"/>
    <w:rsid w:val="6E4B68DD"/>
    <w:rsid w:val="6EA94D72"/>
    <w:rsid w:val="6ED23FD9"/>
    <w:rsid w:val="6F7F27F3"/>
    <w:rsid w:val="6FEB7B60"/>
    <w:rsid w:val="703D58EE"/>
    <w:rsid w:val="71257663"/>
    <w:rsid w:val="7161663B"/>
    <w:rsid w:val="72BE7F68"/>
    <w:rsid w:val="72DB4519"/>
    <w:rsid w:val="73D73EBA"/>
    <w:rsid w:val="746C6A3B"/>
    <w:rsid w:val="74BE5EF1"/>
    <w:rsid w:val="74C50D29"/>
    <w:rsid w:val="75946D74"/>
    <w:rsid w:val="75EB2AF3"/>
    <w:rsid w:val="76046610"/>
    <w:rsid w:val="7617797A"/>
    <w:rsid w:val="76321816"/>
    <w:rsid w:val="788B6B5C"/>
    <w:rsid w:val="78D15F47"/>
    <w:rsid w:val="78F52087"/>
    <w:rsid w:val="793B6313"/>
    <w:rsid w:val="7BE8632D"/>
    <w:rsid w:val="7C2901B8"/>
    <w:rsid w:val="7CCA2D41"/>
    <w:rsid w:val="7D1E3B38"/>
    <w:rsid w:val="7D26733F"/>
    <w:rsid w:val="7D785394"/>
    <w:rsid w:val="7DDD5D86"/>
    <w:rsid w:val="7ECA65D9"/>
    <w:rsid w:val="7FC01185"/>
    <w:rsid w:val="7FCF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TOC 1"/>
    <w:basedOn w:val="1"/>
    <w:qFormat/>
    <w:uiPriority w:val="0"/>
    <w:pPr>
      <w:spacing w:before="120"/>
      <w:ind w:firstLine="560"/>
    </w:pPr>
    <w:rPr>
      <w:rFonts w:eastAsia="方正仿宋_GBK"/>
      <w:color w:val="000000"/>
      <w:sz w:val="28"/>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2022-03-07T07:58:00Z</dcterms:created>
  <dc:creator>Administrator</dc:creator>
  <cp:lastModifiedBy>李科生</cp:lastModifiedBy>
  <dcterms:modified xsi:type="dcterms:W3CDTF">2024-01-16T02:35:09Z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38282827A9294094AA67398D8588B782_12</vt:lpwstr>
  </property>
</Properties>
</file>