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乐亭县档案馆</w:t>
      </w:r>
    </w:p>
    <w:p>
      <w:pPr>
        <w:jc w:val="cente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ascii="方正小标宋_GBK" w:hAnsi="方正小标宋_GBK" w:eastAsia="方正小标宋_GBK" w:cs="方正小标宋_GBK"/>
          <w:color w:val="000000"/>
          <w:sz w:val="72"/>
        </w:rPr>
        <w:t>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方正楷体_GBK" w:hAnsi="方正楷体_GBK" w:eastAsia="方正楷体_GBK" w:cs="方正楷体_GBK"/>
          <w:b/>
          <w:color w:val="000000"/>
          <w:sz w:val="32"/>
          <w:lang w:eastAsia="zh-CN"/>
        </w:rPr>
        <w:t>乐亭县档案馆</w:t>
      </w:r>
      <w:r>
        <w:rPr>
          <w:rFonts w:ascii="方正楷体_GBK" w:hAnsi="方正楷体_GBK" w:eastAsia="方正楷体_GBK" w:cs="方正楷体_GBK"/>
          <w:b/>
          <w:color w:val="000000"/>
          <w:sz w:val="32"/>
        </w:rPr>
        <w:t>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乐亭县财政局</w:t>
      </w:r>
      <w:r>
        <w:rPr>
          <w:rFonts w:ascii="方正楷体_GBK" w:hAnsi="方正楷体_GBK" w:eastAsia="方正楷体_GBK" w:cs="方正楷体_GBK"/>
          <w:b/>
          <w:color w:val="000000"/>
          <w:sz w:val="32"/>
        </w:rPr>
        <w:t>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1</w:t>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3</w:t>
      </w:r>
      <w:r>
        <w:fldChar w:fldCharType="end"/>
      </w:r>
    </w:p>
    <w:p>
      <w:r>
        <w:fldChar w:fldCharType="end"/>
      </w:r>
    </w:p>
    <w:p/>
    <w:p>
      <w:pPr>
        <w:rPr>
          <w:rFonts w:hint="eastAsia" w:eastAsia="宋体"/>
          <w:lang w:eastAsia="zh-CN"/>
        </w:rPr>
      </w:pPr>
      <w:r>
        <w:br w:type="page"/>
      </w:r>
    </w:p>
    <w:p>
      <w:pPr>
        <w:rPr>
          <w:rFonts w:hint="eastAsia" w:eastAsia="宋体"/>
          <w:lang w:eastAsia="zh-CN"/>
        </w:rPr>
        <w:sectPr>
          <w:footerReference r:id="rId9" w:type="default"/>
          <w:footerReference r:id="rId10" w:type="even"/>
          <w:pgSz w:w="11900" w:h="16840"/>
          <w:pgMar w:top="1984" w:right="1304" w:bottom="1134" w:left="1304" w:header="720" w:footer="720" w:gutter="0"/>
          <w:pgNumType w:start="1"/>
          <w:cols w:space="720" w:num="1"/>
        </w:sectPr>
      </w:pP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总体绩效目标</w:t>
      </w:r>
    </w:p>
    <w:p>
      <w:pPr>
        <w:pStyle w:val="7"/>
      </w:pPr>
      <w:r>
        <w:t>202</w:t>
      </w:r>
      <w:r>
        <w:rPr>
          <w:rFonts w:hint="eastAsia"/>
          <w:lang w:val="en-US" w:eastAsia="zh-CN"/>
        </w:rPr>
        <w:t>3</w:t>
      </w:r>
      <w:r>
        <w:t>年，我们认真贯彻落实县委、县政府各项重大决策部署，紧紧围绕县委、县政府中心工作，迎难而上，奋力拼搏，千方百计抓收控支，全力推进深化财税改革，不断提高科学理财水平，助力经济社会发展。</w:t>
      </w:r>
    </w:p>
    <w:p>
      <w:pPr>
        <w:numPr>
          <w:ilvl w:val="0"/>
          <w:numId w:val="1"/>
        </w:numPr>
        <w:spacing w:before="10" w:after="10"/>
        <w:ind w:firstLine="560" w:firstLineChars="200"/>
        <w:outlineLvl w:val="1"/>
        <w:rPr>
          <w:rFonts w:hint="eastAsia" w:ascii="Times New Roman" w:hAnsi="Times New Roman" w:eastAsia="方正仿宋_GBK" w:cs="Times New Roman"/>
          <w:sz w:val="28"/>
          <w:szCs w:val="24"/>
          <w:lang w:val="en-US" w:eastAsia="uk-UA" w:bidi="ar-SA"/>
        </w:rPr>
      </w:pPr>
      <w:bookmarkStart w:id="1" w:name="_Toc_2_2_0000000002"/>
      <w:r>
        <w:rPr>
          <w:rFonts w:hint="eastAsia" w:ascii="Times New Roman" w:hAnsi="Times New Roman" w:eastAsia="方正仿宋_GBK" w:cs="Times New Roman"/>
          <w:sz w:val="28"/>
          <w:szCs w:val="24"/>
          <w:lang w:val="en-US" w:eastAsia="uk-UA" w:bidi="ar-SA"/>
        </w:rPr>
        <w:t>管理县直单位的重要档案和有关资料，依照档案法规接收、征集、整理、保管县直单位的重要档案和有关资料。</w:t>
      </w:r>
    </w:p>
    <w:p>
      <w:pPr>
        <w:numPr>
          <w:ilvl w:val="0"/>
          <w:numId w:val="1"/>
        </w:numPr>
        <w:spacing w:before="10" w:after="10"/>
        <w:ind w:left="0" w:leftChars="0" w:firstLine="560" w:firstLineChars="20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保守党和国家的机密，维护档案完整，确保档案资料的安全。</w:t>
      </w:r>
    </w:p>
    <w:p>
      <w:pPr>
        <w:numPr>
          <w:ilvl w:val="0"/>
          <w:numId w:val="0"/>
        </w:numPr>
        <w:spacing w:before="10" w:after="10"/>
        <w:ind w:leftChars="20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3、开发档案信息资源，为社会利用档案(资料)信息资源提供服务，利用馆藏资源开展社会教育服务工作。</w:t>
      </w:r>
    </w:p>
    <w:p>
      <w:pPr>
        <w:numPr>
          <w:ilvl w:val="0"/>
          <w:numId w:val="0"/>
        </w:numPr>
        <w:spacing w:before="10" w:after="10"/>
        <w:ind w:left="480" w:leftChars="200" w:firstLine="0" w:firstLineChars="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4、开展档案编研，编研出版档案史料，为经济建设、社会发展和科学研究服务。</w:t>
      </w:r>
    </w:p>
    <w:p>
      <w:pPr>
        <w:numPr>
          <w:ilvl w:val="0"/>
          <w:numId w:val="0"/>
        </w:numPr>
        <w:spacing w:before="10" w:after="10"/>
        <w:ind w:left="480" w:leftChars="200" w:firstLine="0" w:firstLineChars="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5、开展已公开现行文件和政务公开信息的收集、整理、保管和提供利用工作。</w:t>
      </w:r>
    </w:p>
    <w:p>
      <w:pPr>
        <w:numPr>
          <w:ilvl w:val="0"/>
          <w:numId w:val="0"/>
        </w:numPr>
        <w:spacing w:before="10" w:after="10"/>
        <w:ind w:left="480" w:leftChars="200" w:firstLine="0" w:firstLineChars="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6、开展档案信息化建设工作，对馆藏重要档案特别是利用频繁的民生档案进行全文数字化加工处理，建立健全数字档案馆。</w:t>
      </w:r>
    </w:p>
    <w:p>
      <w:pPr>
        <w:numPr>
          <w:ilvl w:val="0"/>
          <w:numId w:val="0"/>
        </w:numPr>
        <w:spacing w:before="10" w:after="10"/>
        <w:ind w:left="480" w:leftChars="200" w:firstLine="0" w:firstLineChars="0"/>
        <w:outlineLvl w:val="1"/>
        <w:rPr>
          <w:rFonts w:hint="eastAsia"/>
        </w:rPr>
      </w:pPr>
      <w:r>
        <w:rPr>
          <w:rFonts w:hint="eastAsia" w:ascii="Times New Roman" w:hAnsi="Times New Roman" w:eastAsia="方正仿宋_GBK" w:cs="Times New Roman"/>
          <w:sz w:val="28"/>
          <w:szCs w:val="24"/>
          <w:lang w:val="en-US" w:eastAsia="uk-UA" w:bidi="ar-SA"/>
        </w:rPr>
        <w:t>7、完成县委办公室交办的其他事项</w:t>
      </w:r>
      <w:r>
        <w:rPr>
          <w:rFonts w:hint="eastAsia"/>
        </w:rPr>
        <w:t>。</w:t>
      </w:r>
    </w:p>
    <w:p>
      <w:pPr>
        <w:numPr>
          <w:ilvl w:val="0"/>
          <w:numId w:val="0"/>
        </w:numPr>
        <w:spacing w:before="10" w:after="10"/>
        <w:ind w:left="480" w:leftChars="200" w:firstLine="0" w:firstLineChars="0"/>
        <w:outlineLvl w:val="1"/>
        <w:rPr>
          <w:rFonts w:ascii="方正黑体_GBK" w:hAnsi="方正黑体_GBK" w:eastAsia="方正黑体_GBK" w:cs="方正黑体_GBK"/>
          <w:color w:val="000000"/>
          <w:sz w:val="28"/>
        </w:rPr>
      </w:pPr>
    </w:p>
    <w:p>
      <w:pPr>
        <w:numPr>
          <w:ilvl w:val="0"/>
          <w:numId w:val="0"/>
        </w:numPr>
        <w:spacing w:before="10" w:after="10"/>
        <w:ind w:left="480" w:leftChars="200" w:firstLine="0" w:firstLineChars="0"/>
        <w:outlineLvl w:val="1"/>
      </w:pPr>
      <w:r>
        <w:rPr>
          <w:rFonts w:ascii="方正黑体_GBK" w:hAnsi="方正黑体_GBK" w:eastAsia="方正黑体_GBK" w:cs="方正黑体_GBK"/>
          <w:color w:val="000000"/>
          <w:sz w:val="28"/>
        </w:rPr>
        <w:t>二、分项绩效目标</w:t>
      </w:r>
      <w:bookmarkEnd w:id="1"/>
    </w:p>
    <w:p>
      <w:pPr>
        <w:pStyle w:val="8"/>
      </w:pPr>
      <w:r>
        <w:t>分项绩效目标</w:t>
      </w:r>
      <w:bookmarkStart w:id="2" w:name="_Toc_2_2_0000000003"/>
    </w:p>
    <w:p>
      <w:pPr>
        <w:pStyle w:val="8"/>
        <w:numPr>
          <w:ilvl w:val="0"/>
          <w:numId w:val="0"/>
        </w:numPr>
        <w:rPr>
          <w:rFonts w:hint="eastAsia"/>
          <w:lang w:val="en-US" w:eastAsia="zh-CN"/>
        </w:rPr>
      </w:pPr>
      <w:r>
        <w:rPr>
          <w:rFonts w:hint="eastAsia"/>
          <w:lang w:val="en-US" w:eastAsia="zh-CN"/>
        </w:rPr>
        <w:t xml:space="preserve">        ①馆藏档案安全保管安保服务：</w:t>
      </w:r>
    </w:p>
    <w:p>
      <w:pPr>
        <w:pStyle w:val="8"/>
        <w:numPr>
          <w:ilvl w:val="0"/>
          <w:numId w:val="0"/>
        </w:numPr>
        <w:rPr>
          <w:rFonts w:hint="eastAsia"/>
          <w:lang w:val="en-US" w:eastAsia="zh-CN"/>
        </w:rPr>
      </w:pPr>
      <w:r>
        <w:rPr>
          <w:rFonts w:hint="eastAsia"/>
          <w:lang w:val="en-US" w:eastAsia="zh-CN"/>
        </w:rPr>
        <w:t>数量指标：4名保安24小时值守，全面完成工作任务；</w:t>
      </w:r>
    </w:p>
    <w:p>
      <w:pPr>
        <w:pStyle w:val="8"/>
        <w:numPr>
          <w:ilvl w:val="0"/>
          <w:numId w:val="0"/>
        </w:numPr>
        <w:rPr>
          <w:rFonts w:hint="eastAsia"/>
          <w:lang w:val="en-US" w:eastAsia="zh-CN"/>
        </w:rPr>
      </w:pPr>
      <w:r>
        <w:rPr>
          <w:rFonts w:hint="eastAsia"/>
          <w:lang w:val="en-US" w:eastAsia="zh-CN"/>
        </w:rPr>
        <w:t>质量指标：馆库值守全面完成，达到档案安全要求；时效指标全年值守完成100%</w:t>
      </w:r>
    </w:p>
    <w:p>
      <w:pPr>
        <w:pStyle w:val="8"/>
        <w:numPr>
          <w:ilvl w:val="0"/>
          <w:numId w:val="0"/>
        </w:numPr>
        <w:rPr>
          <w:rFonts w:hint="eastAsia"/>
          <w:lang w:val="en-US" w:eastAsia="zh-CN"/>
        </w:rPr>
      </w:pPr>
      <w:r>
        <w:rPr>
          <w:rFonts w:hint="eastAsia"/>
          <w:lang w:val="en-US" w:eastAsia="zh-CN"/>
        </w:rPr>
        <w:t>②档案馆藏档案全文数字化录入：</w:t>
      </w:r>
    </w:p>
    <w:p>
      <w:pPr>
        <w:pStyle w:val="8"/>
        <w:numPr>
          <w:ilvl w:val="0"/>
          <w:numId w:val="0"/>
        </w:numPr>
        <w:rPr>
          <w:rFonts w:hint="eastAsia"/>
          <w:lang w:val="en-US" w:eastAsia="zh-CN"/>
        </w:rPr>
      </w:pPr>
      <w:r>
        <w:rPr>
          <w:rFonts w:hint="eastAsia"/>
          <w:lang w:val="en-US" w:eastAsia="zh-CN"/>
        </w:rPr>
        <w:t>数量指标：全文数字化档案345000页，实际完成376120页，完成率为109%；</w:t>
      </w:r>
    </w:p>
    <w:p>
      <w:pPr>
        <w:pStyle w:val="8"/>
        <w:numPr>
          <w:ilvl w:val="0"/>
          <w:numId w:val="0"/>
        </w:numPr>
        <w:rPr>
          <w:rFonts w:hint="eastAsia"/>
          <w:lang w:val="en-US" w:eastAsia="zh-CN"/>
        </w:rPr>
      </w:pPr>
      <w:r>
        <w:rPr>
          <w:rFonts w:hint="eastAsia"/>
          <w:lang w:val="en-US" w:eastAsia="zh-CN"/>
        </w:rPr>
        <w:t>质量指标：档案数字化标准，达到了唐山市档案数字化标准，经验收合格；时效指标2022年全年完成任务，实际按时完成；</w:t>
      </w:r>
    </w:p>
    <w:p>
      <w:pPr>
        <w:pStyle w:val="8"/>
        <w:numPr>
          <w:ilvl w:val="0"/>
          <w:numId w:val="0"/>
        </w:numPr>
        <w:rPr>
          <w:rFonts w:hint="eastAsia"/>
          <w:lang w:val="en-US" w:eastAsia="zh-CN"/>
        </w:rPr>
      </w:pPr>
      <w:r>
        <w:rPr>
          <w:rFonts w:hint="default" w:ascii="Calibri" w:hAnsi="Calibri" w:cs="Calibri"/>
          <w:lang w:val="en-US" w:eastAsia="zh-CN"/>
        </w:rPr>
        <w:t>③</w:t>
      </w:r>
      <w:r>
        <w:rPr>
          <w:rFonts w:hint="eastAsia"/>
          <w:lang w:val="en-US" w:eastAsia="zh-CN"/>
        </w:rPr>
        <w:t>档案馆馆藏电费：</w:t>
      </w:r>
    </w:p>
    <w:p>
      <w:pPr>
        <w:pStyle w:val="8"/>
        <w:numPr>
          <w:ilvl w:val="0"/>
          <w:numId w:val="0"/>
        </w:numPr>
        <w:rPr>
          <w:rFonts w:hint="eastAsia"/>
          <w:lang w:val="en-US" w:eastAsia="zh-CN"/>
        </w:rPr>
      </w:pPr>
      <w:r>
        <w:rPr>
          <w:rFonts w:hint="eastAsia"/>
          <w:lang w:val="en-US" w:eastAsia="zh-CN"/>
        </w:rPr>
        <w:t>数量指标：保证25台大功率空调、7台加湿机、7台除湿机及馆库所有特种设备的电费支付全面完成；</w:t>
      </w:r>
    </w:p>
    <w:p>
      <w:pPr>
        <w:pStyle w:val="8"/>
        <w:numPr>
          <w:ilvl w:val="0"/>
          <w:numId w:val="0"/>
        </w:numPr>
        <w:rPr>
          <w:rFonts w:hint="eastAsia"/>
          <w:lang w:val="en-US" w:eastAsia="zh-CN"/>
        </w:rPr>
      </w:pPr>
      <w:r>
        <w:rPr>
          <w:rFonts w:hint="eastAsia"/>
          <w:lang w:val="en-US" w:eastAsia="zh-CN"/>
        </w:rPr>
        <w:t>质量指标：馆库特种设正常运行全面完成，达到档案安全要求；</w:t>
      </w:r>
    </w:p>
    <w:p>
      <w:pPr>
        <w:pStyle w:val="8"/>
        <w:numPr>
          <w:ilvl w:val="0"/>
          <w:numId w:val="0"/>
        </w:numPr>
        <w:rPr>
          <w:rFonts w:hint="default"/>
          <w:lang w:val="en-US" w:eastAsia="zh-CN"/>
        </w:rPr>
      </w:pPr>
      <w:r>
        <w:rPr>
          <w:rFonts w:hint="eastAsia"/>
          <w:lang w:val="en-US" w:eastAsia="zh-CN"/>
        </w:rPr>
        <w:t>时效指标：2022年全年安全运行。</w:t>
      </w:r>
    </w:p>
    <w:p>
      <w:pPr>
        <w:pStyle w:val="8"/>
      </w:pPr>
      <w:r>
        <w:rPr>
          <w:rFonts w:ascii="方正黑体_GBK" w:hAnsi="方正黑体_GBK" w:eastAsia="方正黑体_GBK" w:cs="方正黑体_GBK"/>
          <w:color w:val="000000"/>
          <w:sz w:val="28"/>
        </w:rPr>
        <w:t>三、工作保障措施</w:t>
      </w:r>
      <w:bookmarkEnd w:id="2"/>
    </w:p>
    <w:p>
      <w:pPr>
        <w:pStyle w:val="9"/>
      </w:pPr>
      <w:r>
        <w:t>工作保障措施</w:t>
      </w:r>
    </w:p>
    <w:p>
      <w:pPr>
        <w:pStyle w:val="9"/>
      </w:pPr>
      <w:r>
        <w:t>（一）完善制度建设：我部门按规定制定了完善的预算绩效管理制度、资金管理办法、工作保障制度等，为全年预算绩效目标的实现奠定制度基础。</w:t>
      </w:r>
    </w:p>
    <w:p>
      <w:pPr>
        <w:pStyle w:val="9"/>
      </w:pPr>
      <w:r>
        <w:t>（二）加强支出管理:通过优化支出结构、编细编实预算、加快履行政府采购手续、尽快启动项目、及时支付资金,确保支出进度达标。</w:t>
      </w:r>
    </w:p>
    <w:p>
      <w:pPr>
        <w:pStyle w:val="9"/>
      </w:pPr>
      <w:r>
        <w:t>（三）加强绩效运行监控:按要求开展绩效运行监控，发现问题及时采取措施，确保绩效目标如期保质实现。</w:t>
      </w:r>
    </w:p>
    <w:p>
      <w:pPr>
        <w:pStyle w:val="9"/>
      </w:pPr>
      <w:r>
        <w:t>（四）做好绩效自评:按要求开展上年度部门预算绩效自评和重点评价工作，对评价中发现的问题及时整改，调整优化支出结构，提高财政资金使用效益。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（七）加强宣传培训调研等:加强人员培训，提高本部门职工业务素质；加强调研，提出优化财政资金配置、提高资金使用效益的</w:t>
      </w:r>
      <w:bookmarkStart w:id="9" w:name="_GoBack"/>
      <w:bookmarkEnd w:id="9"/>
      <w:r>
        <w:t>意见；加大宣传力度，强化预算绩效管理意识，促进预算绩效管理水平进一步提升。</w:t>
      </w:r>
    </w:p>
    <w:p>
      <w:pPr>
        <w:pStyle w:val="9"/>
        <w:rPr>
          <w:rFonts w:hint="eastAsia"/>
          <w:b/>
          <w:bCs/>
          <w:lang w:eastAsia="zh-CN"/>
        </w:rPr>
      </w:pPr>
    </w:p>
    <w:p>
      <w:pPr>
        <w:pStyle w:val="9"/>
        <w:rPr>
          <w:rFonts w:hint="eastAsia"/>
          <w:b/>
          <w:bCs/>
          <w:lang w:eastAsia="zh-CN"/>
        </w:rPr>
      </w:pPr>
      <w:r>
        <w:rPr>
          <w:rFonts w:hint="eastAsia"/>
          <w:b/>
          <w:bCs/>
          <w:lang w:eastAsia="zh-CN"/>
        </w:rPr>
        <w:t>其他情况说明：</w:t>
      </w:r>
    </w:p>
    <w:p>
      <w:pPr>
        <w:pStyle w:val="9"/>
        <w:rPr>
          <w:rFonts w:hint="default"/>
          <w:lang w:val="en-US" w:eastAsia="zh-CN"/>
        </w:rPr>
      </w:pPr>
      <w:r>
        <w:rPr>
          <w:rFonts w:hint="eastAsia"/>
          <w:lang w:val="en-US" w:eastAsia="zh-CN"/>
        </w:rPr>
        <w:t>我单位2023年无新增项目。</w:t>
      </w:r>
    </w:p>
    <w:p>
      <w:pPr>
        <w:pStyle w:val="9"/>
        <w:ind w:left="0" w:leftChars="0" w:firstLine="0" w:firstLineChars="0"/>
      </w:pPr>
    </w:p>
    <w:p>
      <w:pPr>
        <w:pStyle w:val="9"/>
        <w:ind w:left="0" w:leftChars="0" w:firstLine="0" w:firstLineChars="0"/>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1.财政综合事物管理经费绩效目标表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13022522P00TEEC100158</w:t>
            </w:r>
          </w:p>
        </w:tc>
        <w:tc>
          <w:tcPr>
            <w:tcW w:w="1587" w:type="dxa"/>
            <w:vAlign w:val="center"/>
          </w:tcPr>
          <w:p>
            <w:pPr>
              <w:pStyle w:val="13"/>
            </w:pPr>
            <w:r>
              <w:t>项目名称</w:t>
            </w:r>
          </w:p>
        </w:tc>
        <w:tc>
          <w:tcPr>
            <w:tcW w:w="4422" w:type="dxa"/>
            <w:gridSpan w:val="3"/>
            <w:vAlign w:val="center"/>
          </w:tcPr>
          <w:p>
            <w:pPr>
              <w:pStyle w:val="12"/>
            </w:pPr>
            <w:r>
              <w:t>财政综合事物管理经费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财政系统综合业务管理和机关综合事物管理；会议组织管理、信息化建设与维护、机关财务和资产管理、标准化建设、基建及维修、办公设备购置等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组织财政系统会议次数</w:t>
            </w:r>
          </w:p>
        </w:tc>
        <w:tc>
          <w:tcPr>
            <w:tcW w:w="2891" w:type="dxa"/>
            <w:vAlign w:val="center"/>
          </w:tcPr>
          <w:p>
            <w:pPr>
              <w:pStyle w:val="12"/>
            </w:pPr>
            <w:r>
              <w:t>组织财政系统会议次数</w:t>
            </w:r>
          </w:p>
        </w:tc>
        <w:tc>
          <w:tcPr>
            <w:tcW w:w="1276" w:type="dxa"/>
            <w:vAlign w:val="center"/>
          </w:tcPr>
          <w:p>
            <w:pPr>
              <w:pStyle w:val="12"/>
            </w:pPr>
            <w:r>
              <w:t>≥5次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干部培训</w:t>
            </w:r>
          </w:p>
        </w:tc>
        <w:tc>
          <w:tcPr>
            <w:tcW w:w="2891" w:type="dxa"/>
            <w:vAlign w:val="center"/>
          </w:tcPr>
          <w:p>
            <w:pPr>
              <w:pStyle w:val="12"/>
            </w:pPr>
            <w:r>
              <w:t>干部培训</w:t>
            </w:r>
          </w:p>
        </w:tc>
        <w:tc>
          <w:tcPr>
            <w:tcW w:w="1276" w:type="dxa"/>
            <w:vAlign w:val="center"/>
          </w:tcPr>
          <w:p>
            <w:pPr>
              <w:pStyle w:val="12"/>
            </w:pPr>
            <w:r>
              <w:t>≥20次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财政各项工作完成率</w:t>
            </w:r>
          </w:p>
        </w:tc>
        <w:tc>
          <w:tcPr>
            <w:tcW w:w="2891" w:type="dxa"/>
            <w:vAlign w:val="center"/>
          </w:tcPr>
          <w:p>
            <w:pPr>
              <w:pStyle w:val="12"/>
            </w:pPr>
            <w:r>
              <w:t>财政各项工作完成率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≤100万元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财政工作按时完成时效</w:t>
            </w:r>
          </w:p>
        </w:tc>
        <w:tc>
          <w:tcPr>
            <w:tcW w:w="2891" w:type="dxa"/>
            <w:vAlign w:val="center"/>
          </w:tcPr>
          <w:p>
            <w:pPr>
              <w:pStyle w:val="12"/>
            </w:pPr>
            <w:r>
              <w:t>财政工作按时完成时效</w:t>
            </w:r>
          </w:p>
        </w:tc>
        <w:tc>
          <w:tcPr>
            <w:tcW w:w="1276" w:type="dxa"/>
            <w:vAlign w:val="center"/>
          </w:tcPr>
          <w:p>
            <w:pPr>
              <w:pStyle w:val="12"/>
              <w:rPr>
                <w:lang w:eastAsia="zh-CN"/>
              </w:rPr>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保障财政工作政策运行、信息畅通</w:t>
            </w:r>
          </w:p>
        </w:tc>
        <w:tc>
          <w:tcPr>
            <w:tcW w:w="2891" w:type="dxa"/>
            <w:vAlign w:val="center"/>
          </w:tcPr>
          <w:p>
            <w:pPr>
              <w:pStyle w:val="12"/>
            </w:pPr>
            <w:r>
              <w:t>保障财政工作政策运行、信息畅通</w:t>
            </w:r>
          </w:p>
        </w:tc>
        <w:tc>
          <w:tcPr>
            <w:tcW w:w="1276" w:type="dxa"/>
            <w:vAlign w:val="center"/>
          </w:tcPr>
          <w:p>
            <w:pPr>
              <w:pStyle w:val="12"/>
            </w:pPr>
            <w:r>
              <w:t>保障财政工作政策运行、信息畅通</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财政人员满意度</w:t>
            </w:r>
          </w:p>
        </w:tc>
        <w:tc>
          <w:tcPr>
            <w:tcW w:w="2891" w:type="dxa"/>
            <w:vAlign w:val="center"/>
          </w:tcPr>
          <w:p>
            <w:pPr>
              <w:pStyle w:val="12"/>
            </w:pPr>
            <w:r>
              <w:t>财政人员满意度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2.财政综合业务管理经费绩效目标表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13022522P00X4T810005N</w:t>
            </w:r>
          </w:p>
        </w:tc>
        <w:tc>
          <w:tcPr>
            <w:tcW w:w="1587" w:type="dxa"/>
            <w:vAlign w:val="center"/>
          </w:tcPr>
          <w:p>
            <w:pPr>
              <w:pStyle w:val="13"/>
            </w:pPr>
            <w:r>
              <w:t>项目名称</w:t>
            </w:r>
          </w:p>
        </w:tc>
        <w:tc>
          <w:tcPr>
            <w:tcW w:w="4422" w:type="dxa"/>
            <w:gridSpan w:val="3"/>
            <w:vAlign w:val="center"/>
          </w:tcPr>
          <w:p>
            <w:pPr>
              <w:pStyle w:val="12"/>
            </w:pPr>
            <w:r>
              <w:t>财政综合业务管理经费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304" w:type="dxa"/>
            <w:vAlign w:val="center"/>
          </w:tcPr>
          <w:p>
            <w:pPr>
              <w:pStyle w:val="12"/>
            </w:pPr>
            <w:r>
              <w:t>70.00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财政系统综合业务管理和机关综合事物管理；财税政策研究；深化财税改革；信访接待、业务宣传、政务信息公开、网上行政服务、依法行政等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全县预决算公开完成数量</w:t>
            </w:r>
          </w:p>
        </w:tc>
        <w:tc>
          <w:tcPr>
            <w:tcW w:w="2891" w:type="dxa"/>
            <w:vAlign w:val="center"/>
          </w:tcPr>
          <w:p>
            <w:pPr>
              <w:pStyle w:val="12"/>
            </w:pPr>
            <w:r>
              <w:t>全县预决算公开完成数量</w:t>
            </w:r>
          </w:p>
        </w:tc>
        <w:tc>
          <w:tcPr>
            <w:tcW w:w="1276" w:type="dxa"/>
            <w:vAlign w:val="center"/>
          </w:tcPr>
          <w:p>
            <w:pPr>
              <w:pStyle w:val="12"/>
            </w:pPr>
            <w:r>
              <w:t>≥75家</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政务信息公开完成率</w:t>
            </w:r>
          </w:p>
        </w:tc>
        <w:tc>
          <w:tcPr>
            <w:tcW w:w="2891" w:type="dxa"/>
            <w:vAlign w:val="center"/>
          </w:tcPr>
          <w:p>
            <w:pPr>
              <w:pStyle w:val="12"/>
            </w:pPr>
            <w:r>
              <w:t>政务信息公开完成率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≤70万元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预算公开及时率</w:t>
            </w:r>
          </w:p>
        </w:tc>
        <w:tc>
          <w:tcPr>
            <w:tcW w:w="2891" w:type="dxa"/>
            <w:vAlign w:val="center"/>
          </w:tcPr>
          <w:p>
            <w:pPr>
              <w:pStyle w:val="12"/>
            </w:pPr>
            <w:r>
              <w:t>预算公开及时率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保障财政事业健康发展</w:t>
            </w:r>
          </w:p>
        </w:tc>
        <w:tc>
          <w:tcPr>
            <w:tcW w:w="2891" w:type="dxa"/>
            <w:vAlign w:val="center"/>
          </w:tcPr>
          <w:p>
            <w:pPr>
              <w:pStyle w:val="12"/>
            </w:pPr>
            <w:r>
              <w:t>保障财政事业健康发展</w:t>
            </w:r>
          </w:p>
        </w:tc>
        <w:tc>
          <w:tcPr>
            <w:tcW w:w="1276" w:type="dxa"/>
            <w:vAlign w:val="center"/>
          </w:tcPr>
          <w:p>
            <w:pPr>
              <w:pStyle w:val="12"/>
            </w:pPr>
            <w:r>
              <w:t>保障财政事业健康发展</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财政人员满意度</w:t>
            </w:r>
          </w:p>
        </w:tc>
        <w:tc>
          <w:tcPr>
            <w:tcW w:w="2891" w:type="dxa"/>
            <w:vAlign w:val="center"/>
          </w:tcPr>
          <w:p>
            <w:pPr>
              <w:pStyle w:val="12"/>
            </w:pPr>
            <w:r>
              <w:t>财政人员满意度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3.非税局专项经费绩效目标表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13022522P00HCXH10004T</w:t>
            </w:r>
          </w:p>
        </w:tc>
        <w:tc>
          <w:tcPr>
            <w:tcW w:w="1587" w:type="dxa"/>
            <w:vAlign w:val="center"/>
          </w:tcPr>
          <w:p>
            <w:pPr>
              <w:pStyle w:val="13"/>
            </w:pPr>
            <w:r>
              <w:t>项目名称</w:t>
            </w:r>
          </w:p>
        </w:tc>
        <w:tc>
          <w:tcPr>
            <w:tcW w:w="4422" w:type="dxa"/>
            <w:gridSpan w:val="3"/>
            <w:vAlign w:val="center"/>
          </w:tcPr>
          <w:p>
            <w:pPr>
              <w:pStyle w:val="12"/>
            </w:pPr>
            <w:r>
              <w:t>非税局专项经费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用于非税收入征管等日常办公经费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非税任务、督查次数</w:t>
            </w:r>
          </w:p>
        </w:tc>
        <w:tc>
          <w:tcPr>
            <w:tcW w:w="2891" w:type="dxa"/>
            <w:vAlign w:val="center"/>
          </w:tcPr>
          <w:p>
            <w:pPr>
              <w:pStyle w:val="12"/>
            </w:pPr>
            <w:r>
              <w:t>非税任务、督查次数</w:t>
            </w:r>
          </w:p>
        </w:tc>
        <w:tc>
          <w:tcPr>
            <w:tcW w:w="1276" w:type="dxa"/>
            <w:vAlign w:val="center"/>
          </w:tcPr>
          <w:p>
            <w:pPr>
              <w:pStyle w:val="12"/>
            </w:pPr>
            <w:r>
              <w:t>≥12次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任务完成率</w:t>
            </w:r>
          </w:p>
        </w:tc>
        <w:tc>
          <w:tcPr>
            <w:tcW w:w="2891" w:type="dxa"/>
            <w:vAlign w:val="center"/>
          </w:tcPr>
          <w:p>
            <w:pPr>
              <w:pStyle w:val="12"/>
            </w:pPr>
            <w:r>
              <w:t>任务完成率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≤30万元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保障非税收入管理正常运行</w:t>
            </w:r>
          </w:p>
        </w:tc>
        <w:tc>
          <w:tcPr>
            <w:tcW w:w="2891" w:type="dxa"/>
            <w:vAlign w:val="center"/>
          </w:tcPr>
          <w:p>
            <w:pPr>
              <w:pStyle w:val="12"/>
            </w:pPr>
            <w:r>
              <w:t>保障非税收入管理正常运行</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征收单位满意度</w:t>
            </w:r>
          </w:p>
        </w:tc>
        <w:tc>
          <w:tcPr>
            <w:tcW w:w="2891" w:type="dxa"/>
            <w:vAlign w:val="center"/>
          </w:tcPr>
          <w:p>
            <w:pPr>
              <w:pStyle w:val="12"/>
            </w:pPr>
            <w:r>
              <w:t>征收单位满意度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4.国有资产监管维护运营费绩效目标表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13022522P00P24810002X</w:t>
            </w:r>
          </w:p>
        </w:tc>
        <w:tc>
          <w:tcPr>
            <w:tcW w:w="1587" w:type="dxa"/>
            <w:vAlign w:val="center"/>
          </w:tcPr>
          <w:p>
            <w:pPr>
              <w:pStyle w:val="13"/>
            </w:pPr>
            <w:r>
              <w:t>项目名称</w:t>
            </w:r>
          </w:p>
        </w:tc>
        <w:tc>
          <w:tcPr>
            <w:tcW w:w="4422" w:type="dxa"/>
            <w:gridSpan w:val="3"/>
            <w:vAlign w:val="center"/>
          </w:tcPr>
          <w:p>
            <w:pPr>
              <w:pStyle w:val="12"/>
            </w:pPr>
            <w:r>
              <w:t>国有资产监管维护运营费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对国有资产的配置、使用、处置事宜进行管理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对全县资产处置次数</w:t>
            </w:r>
          </w:p>
        </w:tc>
        <w:tc>
          <w:tcPr>
            <w:tcW w:w="2891" w:type="dxa"/>
            <w:vAlign w:val="center"/>
          </w:tcPr>
          <w:p>
            <w:pPr>
              <w:pStyle w:val="12"/>
            </w:pPr>
            <w:r>
              <w:t>对全县资产处置次数</w:t>
            </w:r>
          </w:p>
        </w:tc>
        <w:tc>
          <w:tcPr>
            <w:tcW w:w="1276" w:type="dxa"/>
            <w:vAlign w:val="center"/>
          </w:tcPr>
          <w:p>
            <w:pPr>
              <w:pStyle w:val="12"/>
            </w:pPr>
            <w:r>
              <w:t>≥25次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资金利用率</w:t>
            </w:r>
          </w:p>
        </w:tc>
        <w:tc>
          <w:tcPr>
            <w:tcW w:w="2891" w:type="dxa"/>
            <w:vAlign w:val="center"/>
          </w:tcPr>
          <w:p>
            <w:pPr>
              <w:pStyle w:val="12"/>
            </w:pPr>
            <w:r>
              <w:rPr>
                <w:rFonts w:hint="eastAsia"/>
                <w:lang w:eastAsia="zh-CN"/>
              </w:rPr>
              <w:t>资金利用率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≤3万元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预算资金完成及时率</w:t>
            </w:r>
          </w:p>
        </w:tc>
        <w:tc>
          <w:tcPr>
            <w:tcW w:w="2891" w:type="dxa"/>
            <w:vAlign w:val="center"/>
          </w:tcPr>
          <w:p>
            <w:pPr>
              <w:pStyle w:val="12"/>
            </w:pPr>
            <w:r>
              <w:t>预算资金完成及时率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防止国有资产流失</w:t>
            </w:r>
          </w:p>
        </w:tc>
        <w:tc>
          <w:tcPr>
            <w:tcW w:w="2891" w:type="dxa"/>
            <w:vAlign w:val="center"/>
          </w:tcPr>
          <w:p>
            <w:pPr>
              <w:pStyle w:val="12"/>
            </w:pPr>
            <w:r>
              <w:t>防止国有资产流失</w:t>
            </w:r>
          </w:p>
        </w:tc>
        <w:tc>
          <w:tcPr>
            <w:tcW w:w="1276" w:type="dxa"/>
            <w:vAlign w:val="center"/>
          </w:tcPr>
          <w:p>
            <w:pPr>
              <w:pStyle w:val="12"/>
            </w:pPr>
            <w:r>
              <w:t>防止国有资产流失</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监管对象满意度</w:t>
            </w:r>
          </w:p>
        </w:tc>
        <w:tc>
          <w:tcPr>
            <w:tcW w:w="2891" w:type="dxa"/>
            <w:vAlign w:val="center"/>
          </w:tcPr>
          <w:p>
            <w:pPr>
              <w:pStyle w:val="12"/>
            </w:pPr>
            <w:r>
              <w:t>监管对象满意度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5.投资评审业务及国企审计费绩效目标表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13022522P000F6210004T</w:t>
            </w:r>
          </w:p>
        </w:tc>
        <w:tc>
          <w:tcPr>
            <w:tcW w:w="1587" w:type="dxa"/>
            <w:vAlign w:val="center"/>
          </w:tcPr>
          <w:p>
            <w:pPr>
              <w:pStyle w:val="13"/>
            </w:pPr>
            <w:r>
              <w:t>项目名称</w:t>
            </w:r>
          </w:p>
        </w:tc>
        <w:tc>
          <w:tcPr>
            <w:tcW w:w="4422" w:type="dxa"/>
            <w:gridSpan w:val="3"/>
            <w:vAlign w:val="center"/>
          </w:tcPr>
          <w:p>
            <w:pPr>
              <w:pStyle w:val="12"/>
            </w:pPr>
            <w:r>
              <w:t>投资评审业务及国企审计费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87.00</w:t>
            </w:r>
          </w:p>
        </w:tc>
        <w:tc>
          <w:tcPr>
            <w:tcW w:w="1587" w:type="dxa"/>
            <w:vAlign w:val="center"/>
          </w:tcPr>
          <w:p>
            <w:pPr>
              <w:pStyle w:val="13"/>
            </w:pPr>
            <w:r>
              <w:t>其中：财政    资金</w:t>
            </w:r>
          </w:p>
        </w:tc>
        <w:tc>
          <w:tcPr>
            <w:tcW w:w="1304" w:type="dxa"/>
            <w:vAlign w:val="center"/>
          </w:tcPr>
          <w:p>
            <w:pPr>
              <w:pStyle w:val="12"/>
            </w:pPr>
            <w:r>
              <w:t>87.00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对财政资金拟安排的建设项目预算进行评价审查；对已安排的建设项目、建设项目竣工财务结算以及建设类项目投资效果进行审查评价。拟对国有资产管理中心监管的我县17家国有企业进行年终审计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评审项目数量</w:t>
            </w:r>
          </w:p>
        </w:tc>
        <w:tc>
          <w:tcPr>
            <w:tcW w:w="2891" w:type="dxa"/>
            <w:vAlign w:val="center"/>
          </w:tcPr>
          <w:p>
            <w:pPr>
              <w:pStyle w:val="12"/>
            </w:pPr>
            <w:r>
              <w:t>评审项目数量</w:t>
            </w:r>
          </w:p>
        </w:tc>
        <w:tc>
          <w:tcPr>
            <w:tcW w:w="1276" w:type="dxa"/>
            <w:vAlign w:val="center"/>
          </w:tcPr>
          <w:p>
            <w:pPr>
              <w:pStyle w:val="12"/>
            </w:pPr>
            <w:r>
              <w:t>≥200个</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国企审计数量</w:t>
            </w:r>
          </w:p>
        </w:tc>
        <w:tc>
          <w:tcPr>
            <w:tcW w:w="2891" w:type="dxa"/>
            <w:vAlign w:val="center"/>
          </w:tcPr>
          <w:p>
            <w:pPr>
              <w:pStyle w:val="12"/>
            </w:pPr>
            <w:r>
              <w:t>国企审计数量</w:t>
            </w:r>
          </w:p>
        </w:tc>
        <w:tc>
          <w:tcPr>
            <w:tcW w:w="1276" w:type="dxa"/>
            <w:vAlign w:val="center"/>
          </w:tcPr>
          <w:p>
            <w:pPr>
              <w:pStyle w:val="12"/>
            </w:pPr>
            <w:r>
              <w:t>≥17家</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全年完成率</w:t>
            </w:r>
          </w:p>
        </w:tc>
        <w:tc>
          <w:tcPr>
            <w:tcW w:w="2891" w:type="dxa"/>
            <w:vAlign w:val="center"/>
          </w:tcPr>
          <w:p>
            <w:pPr>
              <w:pStyle w:val="12"/>
            </w:pPr>
            <w:r>
              <w:t>全年完成率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≤87万元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项目评审限时办结率</w:t>
            </w:r>
          </w:p>
        </w:tc>
        <w:tc>
          <w:tcPr>
            <w:tcW w:w="2891" w:type="dxa"/>
            <w:vAlign w:val="center"/>
          </w:tcPr>
          <w:p>
            <w:pPr>
              <w:pStyle w:val="12"/>
            </w:pPr>
            <w:r>
              <w:t>项目评审限时办结率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保障财政资金规范高效运行</w:t>
            </w:r>
          </w:p>
        </w:tc>
        <w:tc>
          <w:tcPr>
            <w:tcW w:w="2891" w:type="dxa"/>
            <w:vAlign w:val="center"/>
          </w:tcPr>
          <w:p>
            <w:pPr>
              <w:pStyle w:val="12"/>
            </w:pPr>
            <w:r>
              <w:t>保障财政资金规范高效运行</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国有企业审计满意度</w:t>
            </w:r>
          </w:p>
        </w:tc>
        <w:tc>
          <w:tcPr>
            <w:tcW w:w="2891" w:type="dxa"/>
            <w:vAlign w:val="center"/>
          </w:tcPr>
          <w:p>
            <w:pPr>
              <w:pStyle w:val="12"/>
            </w:pPr>
            <w:r>
              <w:t>国有企业审计满意度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项目评审满意度</w:t>
            </w:r>
          </w:p>
        </w:tc>
        <w:tc>
          <w:tcPr>
            <w:tcW w:w="2891" w:type="dxa"/>
            <w:vAlign w:val="center"/>
          </w:tcPr>
          <w:p>
            <w:pPr>
              <w:pStyle w:val="12"/>
            </w:pPr>
            <w:r>
              <w:t>项目评审满意度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6.税务局办税服务厅智慧化改造资金绩效目标表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13022522P004140100014</w:t>
            </w:r>
          </w:p>
        </w:tc>
        <w:tc>
          <w:tcPr>
            <w:tcW w:w="1587" w:type="dxa"/>
            <w:vAlign w:val="center"/>
          </w:tcPr>
          <w:p>
            <w:pPr>
              <w:pStyle w:val="13"/>
            </w:pPr>
            <w:r>
              <w:t>项目名称</w:t>
            </w:r>
          </w:p>
        </w:tc>
        <w:tc>
          <w:tcPr>
            <w:tcW w:w="4422" w:type="dxa"/>
            <w:gridSpan w:val="3"/>
            <w:vAlign w:val="center"/>
          </w:tcPr>
          <w:p>
            <w:pPr>
              <w:pStyle w:val="12"/>
            </w:pPr>
            <w:r>
              <w:t>税务局办税服务厅智慧化改造资金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133.76</w:t>
            </w:r>
          </w:p>
        </w:tc>
        <w:tc>
          <w:tcPr>
            <w:tcW w:w="1587" w:type="dxa"/>
            <w:vAlign w:val="center"/>
          </w:tcPr>
          <w:p>
            <w:pPr>
              <w:pStyle w:val="13"/>
            </w:pPr>
            <w:r>
              <w:t>其中：财政    资金</w:t>
            </w:r>
          </w:p>
        </w:tc>
        <w:tc>
          <w:tcPr>
            <w:tcW w:w="1304" w:type="dxa"/>
            <w:vAlign w:val="center"/>
          </w:tcPr>
          <w:p>
            <w:pPr>
              <w:pStyle w:val="12"/>
            </w:pPr>
            <w:r>
              <w:t>133.76</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税务局办税厅智慧化改造经费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改造工程完成率</w:t>
            </w:r>
          </w:p>
        </w:tc>
        <w:tc>
          <w:tcPr>
            <w:tcW w:w="2891" w:type="dxa"/>
            <w:vAlign w:val="center"/>
          </w:tcPr>
          <w:p>
            <w:pPr>
              <w:pStyle w:val="12"/>
            </w:pPr>
            <w:r>
              <w:t>改造工程完成率</w:t>
            </w:r>
          </w:p>
        </w:tc>
        <w:tc>
          <w:tcPr>
            <w:tcW w:w="1276" w:type="dxa"/>
            <w:vAlign w:val="center"/>
          </w:tcPr>
          <w:p>
            <w:pPr>
              <w:pStyle w:val="12"/>
            </w:pPr>
            <w:r>
              <w:t>≥100</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改造工程合格率</w:t>
            </w:r>
          </w:p>
        </w:tc>
        <w:tc>
          <w:tcPr>
            <w:tcW w:w="2891" w:type="dxa"/>
            <w:vAlign w:val="center"/>
          </w:tcPr>
          <w:p>
            <w:pPr>
              <w:pStyle w:val="12"/>
            </w:pPr>
            <w:r>
              <w:t>改造工程合格率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≤133.76万元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提升税务服务水平</w:t>
            </w:r>
          </w:p>
        </w:tc>
        <w:tc>
          <w:tcPr>
            <w:tcW w:w="2891" w:type="dxa"/>
            <w:vAlign w:val="center"/>
          </w:tcPr>
          <w:p>
            <w:pPr>
              <w:pStyle w:val="12"/>
            </w:pPr>
            <w:r>
              <w:t>提升税务服务水平</w:t>
            </w:r>
          </w:p>
        </w:tc>
        <w:tc>
          <w:tcPr>
            <w:tcW w:w="1276" w:type="dxa"/>
            <w:vAlign w:val="center"/>
          </w:tcPr>
          <w:p>
            <w:pPr>
              <w:pStyle w:val="12"/>
            </w:pPr>
            <w:r>
              <w:t>提升税务服务水平</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使用单位满意度</w:t>
            </w:r>
          </w:p>
        </w:tc>
        <w:tc>
          <w:tcPr>
            <w:tcW w:w="2891" w:type="dxa"/>
            <w:vAlign w:val="center"/>
          </w:tcPr>
          <w:p>
            <w:pPr>
              <w:pStyle w:val="12"/>
            </w:pPr>
            <w:r>
              <w:t>使用单位满意度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3406F"/>
    <w:multiLevelType w:val="singleLevel"/>
    <w:tmpl w:val="B58340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YxYjljMTJhOTA4MzhhNDUyNWVlOGI0ZDQ5ZjIifQ=="/>
  </w:docVars>
  <w:rsids>
    <w:rsidRoot w:val="00AF0BBE"/>
    <w:rsid w:val="002527B6"/>
    <w:rsid w:val="00671DDE"/>
    <w:rsid w:val="00711318"/>
    <w:rsid w:val="008814C6"/>
    <w:rsid w:val="00901D04"/>
    <w:rsid w:val="00904002"/>
    <w:rsid w:val="009100FB"/>
    <w:rsid w:val="00AF0BBE"/>
    <w:rsid w:val="00B2315C"/>
    <w:rsid w:val="00B47169"/>
    <w:rsid w:val="00C27A19"/>
    <w:rsid w:val="34C129EA"/>
    <w:rsid w:val="3F455567"/>
    <w:rsid w:val="439F28C3"/>
    <w:rsid w:val="49CF10DE"/>
    <w:rsid w:val="534F670E"/>
    <w:rsid w:val="547B7E04"/>
    <w:rsid w:val="54AB6112"/>
    <w:rsid w:val="5E441C14"/>
    <w:rsid w:val="633A1AF9"/>
    <w:rsid w:val="7A5173D7"/>
    <w:rsid w:val="7B67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B65DF79-3D18-4BF9-8E39-503425F35181}">
  <ds:schemaRefs/>
</ds:datastoreItem>
</file>

<file path=customXml/itemProps11.xml><?xml version="1.0" encoding="utf-8"?>
<ds:datastoreItem xmlns:ds="http://schemas.openxmlformats.org/officeDocument/2006/customXml" ds:itemID="{469331DD-03D3-4106-909F-8055DE66E25F}">
  <ds:schemaRefs/>
</ds:datastoreItem>
</file>

<file path=customXml/itemProps12.xml><?xml version="1.0" encoding="utf-8"?>
<ds:datastoreItem xmlns:ds="http://schemas.openxmlformats.org/officeDocument/2006/customXml" ds:itemID="{AD91A535-5077-40EF-811B-417D5444B27E}">
  <ds:schemaRefs/>
</ds:datastoreItem>
</file>

<file path=customXml/itemProps13.xml><?xml version="1.0" encoding="utf-8"?>
<ds:datastoreItem xmlns:ds="http://schemas.openxmlformats.org/officeDocument/2006/customXml" ds:itemID="{705AF812-C3EA-4F2F-9D27-17EF12C3299A}">
  <ds:schemaRefs/>
</ds:datastoreItem>
</file>

<file path=customXml/itemProps14.xml><?xml version="1.0" encoding="utf-8"?>
<ds:datastoreItem xmlns:ds="http://schemas.openxmlformats.org/officeDocument/2006/customXml" ds:itemID="{6CCA3DD6-1270-45C5-ACA4-7D29E877F07A}">
  <ds:schemaRefs/>
</ds:datastoreItem>
</file>

<file path=customXml/itemProps15.xml><?xml version="1.0" encoding="utf-8"?>
<ds:datastoreItem xmlns:ds="http://schemas.openxmlformats.org/officeDocument/2006/customXml" ds:itemID="{3A8829B8-C922-4EE0-80E8-29400FB23B3A}">
  <ds:schemaRefs/>
</ds:datastoreItem>
</file>

<file path=customXml/itemProps16.xml><?xml version="1.0" encoding="utf-8"?>
<ds:datastoreItem xmlns:ds="http://schemas.openxmlformats.org/officeDocument/2006/customXml" ds:itemID="{C35859DE-BF46-46D6-A15C-067A3EE578AA}">
  <ds:schemaRefs/>
</ds:datastoreItem>
</file>

<file path=customXml/itemProps17.xml><?xml version="1.0" encoding="utf-8"?>
<ds:datastoreItem xmlns:ds="http://schemas.openxmlformats.org/officeDocument/2006/customXml" ds:itemID="{33A5256C-1FB7-4CD9-B97C-E50C8954648E}">
  <ds:schemaRefs/>
</ds:datastoreItem>
</file>

<file path=customXml/itemProps2.xml><?xml version="1.0" encoding="utf-8"?>
<ds:datastoreItem xmlns:ds="http://schemas.openxmlformats.org/officeDocument/2006/customXml" ds:itemID="{55FAD509-90F7-4736-BD91-155EC47CAA77}">
  <ds:schemaRefs/>
</ds:datastoreItem>
</file>

<file path=customXml/itemProps3.xml><?xml version="1.0" encoding="utf-8"?>
<ds:datastoreItem xmlns:ds="http://schemas.openxmlformats.org/officeDocument/2006/customXml" ds:itemID="{8B020BAC-5082-4FD4-8047-06EC26152765}">
  <ds:schemaRefs/>
</ds:datastoreItem>
</file>

<file path=customXml/itemProps4.xml><?xml version="1.0" encoding="utf-8"?>
<ds:datastoreItem xmlns:ds="http://schemas.openxmlformats.org/officeDocument/2006/customXml" ds:itemID="{71585376-337C-415F-821C-1C161F785344}">
  <ds:schemaRefs/>
</ds:datastoreItem>
</file>

<file path=customXml/itemProps5.xml><?xml version="1.0" encoding="utf-8"?>
<ds:datastoreItem xmlns:ds="http://schemas.openxmlformats.org/officeDocument/2006/customXml" ds:itemID="{DE8D9FA4-EBF7-4E9B-84D1-49867BF01C21}">
  <ds:schemaRefs/>
</ds:datastoreItem>
</file>

<file path=customXml/itemProps6.xml><?xml version="1.0" encoding="utf-8"?>
<ds:datastoreItem xmlns:ds="http://schemas.openxmlformats.org/officeDocument/2006/customXml" ds:itemID="{D1956B43-FE07-46BB-AB14-D86A945C52C3}">
  <ds:schemaRefs/>
</ds:datastoreItem>
</file>

<file path=customXml/itemProps7.xml><?xml version="1.0" encoding="utf-8"?>
<ds:datastoreItem xmlns:ds="http://schemas.openxmlformats.org/officeDocument/2006/customXml" ds:itemID="{7EC16294-29A7-4678-8280-5B9872247320}">
  <ds:schemaRefs/>
</ds:datastoreItem>
</file>

<file path=customXml/itemProps8.xml><?xml version="1.0" encoding="utf-8"?>
<ds:datastoreItem xmlns:ds="http://schemas.openxmlformats.org/officeDocument/2006/customXml" ds:itemID="{F358DF8C-81FA-4A7E-A3E5-949271949D03}">
  <ds:schemaRefs/>
</ds:datastoreItem>
</file>

<file path=customXml/itemProps9.xml><?xml version="1.0" encoding="utf-8"?>
<ds:datastoreItem xmlns:ds="http://schemas.openxmlformats.org/officeDocument/2006/customXml" ds:itemID="{EBA869F8-0440-4879-B32D-9A4C2CBC6D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3714</Words>
  <Characters>4088</Characters>
  <Lines>49</Lines>
  <Paragraphs>13</Paragraphs>
  <TotalTime>50</TotalTime>
  <ScaleCrop>false</ScaleCrop>
  <LinksUpToDate>false</LinksUpToDate>
  <CharactersWithSpaces>4127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2022-04-08T01:24:00Z</dcterms:created>
  <dc:creator>Administrator</dc:creator>
  <cp:lastModifiedBy>李科生</cp:lastModifiedBy>
  <dcterms:modified xsi:type="dcterms:W3CDTF">2024-01-16T02:30:52Z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9E32EE91646A4E81AB43A2E36F2F927D</vt:lpwstr>
  </property>
</Properties>
</file>