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_GBK" w:hAnsi="方正小标宋_GBK" w:eastAsia="方正小标宋_GBK" w:cs="方正小标宋_GBK"/>
          <w:color w:val="000000"/>
          <w:sz w:val="72"/>
        </w:rPr>
        <w:t>县委网信办</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县委网信办编制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XXX财政（厅/局）审核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1.购买舆情监测服务绩效目标表</w:t>
      </w:r>
      <w:r>
        <w:tab/>
      </w:r>
      <w:r>
        <w:fldChar w:fldCharType="begin"/>
      </w:r>
      <w:r>
        <w:instrText xml:space="preserve">PAGEREF _Toc_4_4_0000000004 \h</w:instrText>
      </w:r>
      <w:r>
        <w:fldChar w:fldCharType="separate"/>
      </w:r>
      <w:r>
        <w:t>4</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2.网络强军工程和网络宣传绩效目标表</w:t>
      </w:r>
      <w:r>
        <w:tab/>
      </w:r>
      <w:r>
        <w:fldChar w:fldCharType="begin"/>
      </w:r>
      <w:r>
        <w:instrText xml:space="preserve">PAGEREF _Toc_4_4_0000000005 \h</w:instrText>
      </w:r>
      <w:r>
        <w:fldChar w:fldCharType="separate"/>
      </w:r>
      <w:r>
        <w:t>5</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3.网信乐亭绩效目标表</w:t>
      </w:r>
      <w:r>
        <w:tab/>
      </w:r>
      <w:r>
        <w:fldChar w:fldCharType="begin"/>
      </w:r>
      <w:r>
        <w:instrText xml:space="preserve">PAGEREF _Toc_4_4_0000000006 \h</w:instrText>
      </w:r>
      <w:r>
        <w:fldChar w:fldCharType="separate"/>
      </w:r>
      <w:r>
        <w:t>6</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深入学习宣传习近平总书记重要讲话以及重大会议精神以及各项政策，协调处理网络安全和信息化重大突发事件与有关应急工作，统筹协调组织互联网宣传管理和舆论引导工作，组织开展网上评论，指导推动网络评论队伍建设，维护互联网意识形态安全；完成国家互联网信息办公室，省、市互联网信息办公室和县委、县政府，县委网络安全和信息化委员会、县委宣传部交办的各项工作。营造乐亭县积极向上的网络空间。</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1、开发网信乐亭平台功能，增加平台板块栏目，维护平台正常运营。畅通政务发布渠道，建立便民网络通道，走好网上群众路线，持续提高干群满意度。</w:t>
      </w:r>
    </w:p>
    <w:p>
      <w:pPr>
        <w:pStyle w:val="8"/>
      </w:pPr>
      <w:r>
        <w:t>2、组织各级网评员学习培训，提高受训人员的新媒体制作、应急处置、舆论引导水平。与各网络媒体合作，制作新媒体宣传品宣传推介乐亭，提高乐亭的影响力和美誉度。</w:t>
      </w:r>
    </w:p>
    <w:p>
      <w:pPr>
        <w:pStyle w:val="8"/>
      </w:pPr>
      <w:r>
        <w:t>3、通过购买常规舆情监测服务，监测和研判重大网络事件和舆情、舆情处置。能够及时发现涉及我县重大网络舆情事件，避免重大舆情事件炒作。</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（一）完善制度建设。制定完善预算绩效管理制度、资金管理办法、工作保障制度等，为全年预算绩效目标的实现奠定制度基础。</w:t>
      </w:r>
    </w:p>
    <w:p>
      <w:pPr>
        <w:pStyle w:val="9"/>
      </w:pPr>
      <w:r>
        <w:t>（二）加强支出管理。通过优化支出结构、加快履行政府采购手续、尽快启动项目、及时支付资金、按规定及时下达资金等多种措施，确保支出进度达标，保障全县网络安全，保持社会的稳定发展。</w:t>
      </w:r>
    </w:p>
    <w:p>
      <w:pPr>
        <w:pStyle w:val="9"/>
      </w:pPr>
      <w:r>
        <w:t>（三）加强绩效运行监控。开展绩效运行监控，发现问题及时采取措施，确保绩效目标如期保质实现。</w:t>
      </w:r>
    </w:p>
    <w:p>
      <w:pPr>
        <w:pStyle w:val="9"/>
      </w:pPr>
      <w:r>
        <w:t>（四）做好绩效自评。开展2020部门预算绩效自评和重点评价工作，对评价中发现的问题及时整改，调整优化支出结构，提高财政资金使用效益。</w:t>
      </w:r>
    </w:p>
    <w:p>
      <w:pPr>
        <w:pStyle w:val="9"/>
      </w:pPr>
      <w:r>
        <w:t>（五）规范财务资产管理。完善财务管理制度，严格审批程序，加强固定资产登记、使用和报废处置管理，做到支出合理，物尽其用。</w:t>
      </w:r>
    </w:p>
    <w:p>
      <w:pPr>
        <w:pStyle w:val="9"/>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9"/>
      </w:pPr>
      <w:r>
        <w:t>（七）加强宣传培训调研等。加强人员培训，提高本部门职工业务素质；加强调研，提出优化财政资金配置、提高资金使用效益的</w:t>
      </w:r>
      <w:bookmarkStart w:id="6" w:name="_GoBack"/>
      <w:bookmarkEnd w:id="6"/>
      <w:r>
        <w:t>意见；加大宣传力度，强化预算绩效管理意识，促进预算绩效管理水平进一步提升。</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1.购买舆情监测服务绩效目标表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224002中共乐亭县委网络安全和信息化委员会办公室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13022522P002H4T100074</w:t>
            </w:r>
          </w:p>
        </w:tc>
        <w:tc>
          <w:tcPr>
            <w:tcW w:w="1587" w:type="dxa"/>
            <w:vAlign w:val="center"/>
          </w:tcPr>
          <w:p>
            <w:pPr>
              <w:pStyle w:val="13"/>
            </w:pPr>
            <w:r>
              <w:t>项目名称</w:t>
            </w:r>
          </w:p>
        </w:tc>
        <w:tc>
          <w:tcPr>
            <w:tcW w:w="4422" w:type="dxa"/>
            <w:gridSpan w:val="3"/>
            <w:vAlign w:val="center"/>
          </w:tcPr>
          <w:p>
            <w:pPr>
              <w:pStyle w:val="12"/>
            </w:pPr>
            <w:r>
              <w:t>购买舆情监测服务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w:t>
            </w:r>
          </w:p>
        </w:tc>
        <w:tc>
          <w:tcPr>
            <w:tcW w:w="1587" w:type="dxa"/>
            <w:vAlign w:val="center"/>
          </w:tcPr>
          <w:p>
            <w:pPr>
              <w:pStyle w:val="13"/>
            </w:pPr>
            <w:r>
              <w:t>其中：财政    资金</w:t>
            </w:r>
          </w:p>
        </w:tc>
        <w:tc>
          <w:tcPr>
            <w:tcW w:w="1304" w:type="dxa"/>
            <w:vAlign w:val="center"/>
          </w:tcPr>
          <w:p>
            <w:pPr>
              <w:pStyle w:val="12"/>
            </w:pPr>
            <w:r>
              <w:t>50.00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购买常规舆情监测服务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1.监测和研判重大网络事件和舆情、舆情处置。能够及时发现涉及我县重大网络舆情事件，避免重大舆情事件炒作。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互联网重大突发事件应急处置率</w:t>
            </w:r>
          </w:p>
        </w:tc>
        <w:tc>
          <w:tcPr>
            <w:tcW w:w="2891" w:type="dxa"/>
            <w:vAlign w:val="center"/>
          </w:tcPr>
          <w:p>
            <w:pPr>
              <w:pStyle w:val="12"/>
            </w:pPr>
            <w:r>
              <w:t>有害信息处置情况</w:t>
            </w:r>
          </w:p>
        </w:tc>
        <w:tc>
          <w:tcPr>
            <w:tcW w:w="1276" w:type="dxa"/>
            <w:vAlign w:val="center"/>
          </w:tcPr>
          <w:p>
            <w:pPr>
              <w:pStyle w:val="12"/>
            </w:pPr>
            <w:r>
              <w:t>≥90%</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监测舆情事件</w:t>
            </w:r>
          </w:p>
        </w:tc>
        <w:tc>
          <w:tcPr>
            <w:tcW w:w="2891" w:type="dxa"/>
            <w:vAlign w:val="center"/>
          </w:tcPr>
          <w:p>
            <w:pPr>
              <w:pStyle w:val="12"/>
            </w:pPr>
            <w:r>
              <w:t>涉及我县的 重大舆情</w:t>
            </w:r>
          </w:p>
        </w:tc>
        <w:tc>
          <w:tcPr>
            <w:tcW w:w="1276" w:type="dxa"/>
            <w:vAlign w:val="center"/>
          </w:tcPr>
          <w:p>
            <w:pPr>
              <w:pStyle w:val="12"/>
            </w:pPr>
            <w:r>
              <w:t>避免发生重大舆情炒作</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专项资金使用率</w:t>
            </w:r>
          </w:p>
        </w:tc>
        <w:tc>
          <w:tcPr>
            <w:tcW w:w="2891" w:type="dxa"/>
            <w:vAlign w:val="center"/>
          </w:tcPr>
          <w:p>
            <w:pPr>
              <w:pStyle w:val="12"/>
            </w:pPr>
            <w:r>
              <w:t>项目资金使用情况</w:t>
            </w:r>
          </w:p>
        </w:tc>
        <w:tc>
          <w:tcPr>
            <w:tcW w:w="1276" w:type="dxa"/>
            <w:vAlign w:val="center"/>
          </w:tcPr>
          <w:p>
            <w:pPr>
              <w:pStyle w:val="12"/>
            </w:pPr>
            <w:r>
              <w:t>≤50万元</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处置的及时率</w:t>
            </w:r>
          </w:p>
        </w:tc>
        <w:tc>
          <w:tcPr>
            <w:tcW w:w="2891" w:type="dxa"/>
            <w:vAlign w:val="center"/>
          </w:tcPr>
          <w:p>
            <w:pPr>
              <w:pStyle w:val="12"/>
            </w:pPr>
            <w:r>
              <w:t>发现及处置</w:t>
            </w:r>
          </w:p>
        </w:tc>
        <w:tc>
          <w:tcPr>
            <w:tcW w:w="1276" w:type="dxa"/>
            <w:vAlign w:val="center"/>
          </w:tcPr>
          <w:p>
            <w:pPr>
              <w:pStyle w:val="12"/>
            </w:pPr>
            <w:r>
              <w:t>≥98%</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持续监测网络舆情</w:t>
            </w:r>
          </w:p>
        </w:tc>
        <w:tc>
          <w:tcPr>
            <w:tcW w:w="2891" w:type="dxa"/>
            <w:vAlign w:val="center"/>
          </w:tcPr>
          <w:p>
            <w:pPr>
              <w:pStyle w:val="12"/>
            </w:pPr>
            <w:r>
              <w:t>持续监测网络舆情，减少影响</w:t>
            </w:r>
          </w:p>
        </w:tc>
        <w:tc>
          <w:tcPr>
            <w:tcW w:w="1276" w:type="dxa"/>
            <w:vAlign w:val="center"/>
          </w:tcPr>
          <w:p>
            <w:pPr>
              <w:pStyle w:val="12"/>
            </w:pPr>
            <w:r>
              <w:t>避免重大舆情炒作</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维护社会网络安全</w:t>
            </w:r>
          </w:p>
        </w:tc>
        <w:tc>
          <w:tcPr>
            <w:tcW w:w="1276" w:type="dxa"/>
            <w:vAlign w:val="center"/>
          </w:tcPr>
          <w:p>
            <w:pPr>
              <w:pStyle w:val="12"/>
            </w:pPr>
            <w:r>
              <w:t>长期</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网络生态空间</w:t>
            </w:r>
          </w:p>
        </w:tc>
        <w:tc>
          <w:tcPr>
            <w:tcW w:w="2891" w:type="dxa"/>
            <w:vAlign w:val="center"/>
          </w:tcPr>
          <w:p>
            <w:pPr>
              <w:pStyle w:val="12"/>
            </w:pPr>
            <w:r>
              <w:t>净化网络生态空间</w:t>
            </w:r>
          </w:p>
        </w:tc>
        <w:tc>
          <w:tcPr>
            <w:tcW w:w="1276" w:type="dxa"/>
            <w:vAlign w:val="center"/>
          </w:tcPr>
          <w:p>
            <w:pPr>
              <w:pStyle w:val="12"/>
            </w:pPr>
            <w:r>
              <w:t>持续净化</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维护经济发展</w:t>
            </w:r>
          </w:p>
        </w:tc>
        <w:tc>
          <w:tcPr>
            <w:tcW w:w="2891" w:type="dxa"/>
            <w:vAlign w:val="center"/>
          </w:tcPr>
          <w:p>
            <w:pPr>
              <w:pStyle w:val="12"/>
            </w:pPr>
            <w:r>
              <w:t>网络社会稳定，促进经济发展</w:t>
            </w:r>
          </w:p>
        </w:tc>
        <w:tc>
          <w:tcPr>
            <w:tcW w:w="1276" w:type="dxa"/>
            <w:vAlign w:val="center"/>
          </w:tcPr>
          <w:p>
            <w:pPr>
              <w:pStyle w:val="12"/>
            </w:pPr>
            <w:r>
              <w:t>不断提升</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干群满意度</w:t>
            </w:r>
          </w:p>
        </w:tc>
        <w:tc>
          <w:tcPr>
            <w:tcW w:w="1276" w:type="dxa"/>
            <w:vAlign w:val="center"/>
          </w:tcPr>
          <w:p>
            <w:pPr>
              <w:pStyle w:val="12"/>
            </w:pPr>
            <w:r>
              <w:t>≥90%</w:t>
            </w:r>
          </w:p>
        </w:tc>
        <w:tc>
          <w:tcPr>
            <w:tcW w:w="1843" w:type="dxa"/>
            <w:vAlign w:val="center"/>
          </w:tcPr>
          <w:p>
            <w:pPr>
              <w:pStyle w:val="12"/>
            </w:pPr>
            <w:r>
              <w:t>年初工作计划</w:t>
            </w:r>
          </w:p>
          <w:p>
            <w:pPr>
              <w:pStyle w:val="12"/>
            </w:pP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2.网络强军工程和网络宣传绩效目标表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224002中共乐亭县委网络安全和信息化委员会办公室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13022522P002H4T10006G</w:t>
            </w:r>
          </w:p>
        </w:tc>
        <w:tc>
          <w:tcPr>
            <w:tcW w:w="1587" w:type="dxa"/>
            <w:vAlign w:val="center"/>
          </w:tcPr>
          <w:p>
            <w:pPr>
              <w:pStyle w:val="13"/>
            </w:pPr>
            <w:r>
              <w:t>项目名称</w:t>
            </w:r>
          </w:p>
        </w:tc>
        <w:tc>
          <w:tcPr>
            <w:tcW w:w="4422" w:type="dxa"/>
            <w:gridSpan w:val="3"/>
            <w:vAlign w:val="center"/>
          </w:tcPr>
          <w:p>
            <w:pPr>
              <w:pStyle w:val="12"/>
            </w:pPr>
            <w:r>
              <w:t>网络强军工程和网络宣传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35.00</w:t>
            </w:r>
          </w:p>
        </w:tc>
        <w:tc>
          <w:tcPr>
            <w:tcW w:w="1587" w:type="dxa"/>
            <w:vAlign w:val="center"/>
          </w:tcPr>
          <w:p>
            <w:pPr>
              <w:pStyle w:val="13"/>
            </w:pPr>
            <w:r>
              <w:t>其中：财政    资金</w:t>
            </w:r>
          </w:p>
        </w:tc>
        <w:tc>
          <w:tcPr>
            <w:tcW w:w="1304" w:type="dxa"/>
            <w:vAlign w:val="center"/>
          </w:tcPr>
          <w:p>
            <w:pPr>
              <w:pStyle w:val="12"/>
            </w:pPr>
            <w:r>
              <w:t>35.00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组织各级网评员学习培训；与各网络媒体合作，制作新媒体宣传品宣传推介乐亭；开展网络宣传活动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1.组织各级网评员学习培训，提高受训人员的新媒体制作、应急处置、舆论引导水平。与各网络媒体合作，制作新媒体宣传品宣传推介乐亭，提高乐亭的影响力和美誉度。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网评员队伍规模</w:t>
            </w:r>
          </w:p>
        </w:tc>
        <w:tc>
          <w:tcPr>
            <w:tcW w:w="2891" w:type="dxa"/>
            <w:vAlign w:val="center"/>
          </w:tcPr>
          <w:p>
            <w:pPr>
              <w:pStyle w:val="12"/>
            </w:pPr>
            <w:r>
              <w:t>扩大网评员队伍规模</w:t>
            </w:r>
          </w:p>
        </w:tc>
        <w:tc>
          <w:tcPr>
            <w:tcW w:w="1276" w:type="dxa"/>
            <w:vAlign w:val="center"/>
          </w:tcPr>
          <w:p>
            <w:pPr>
              <w:pStyle w:val="12"/>
            </w:pPr>
            <w:r>
              <w:t>≥200人</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活动开展情况</w:t>
            </w:r>
          </w:p>
        </w:tc>
        <w:tc>
          <w:tcPr>
            <w:tcW w:w="2891" w:type="dxa"/>
            <w:vAlign w:val="center"/>
          </w:tcPr>
          <w:p>
            <w:pPr>
              <w:pStyle w:val="12"/>
            </w:pPr>
            <w:r>
              <w:t>组织开展网络宣传活动</w:t>
            </w:r>
          </w:p>
        </w:tc>
        <w:tc>
          <w:tcPr>
            <w:tcW w:w="1276" w:type="dxa"/>
            <w:vAlign w:val="center"/>
          </w:tcPr>
          <w:p>
            <w:pPr>
              <w:pStyle w:val="12"/>
            </w:pPr>
            <w:r>
              <w:t>≥10场</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合格率</w:t>
            </w:r>
          </w:p>
        </w:tc>
        <w:tc>
          <w:tcPr>
            <w:tcW w:w="2891" w:type="dxa"/>
            <w:vAlign w:val="center"/>
          </w:tcPr>
          <w:p>
            <w:pPr>
              <w:pStyle w:val="12"/>
            </w:pPr>
            <w:r>
              <w:t>网评员培训合格率</w:t>
            </w:r>
          </w:p>
        </w:tc>
        <w:tc>
          <w:tcPr>
            <w:tcW w:w="1276" w:type="dxa"/>
            <w:vAlign w:val="center"/>
          </w:tcPr>
          <w:p>
            <w:pPr>
              <w:pStyle w:val="12"/>
            </w:pPr>
            <w:r>
              <w:t>≥96%</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专项资金使用率</w:t>
            </w:r>
          </w:p>
        </w:tc>
        <w:tc>
          <w:tcPr>
            <w:tcW w:w="2891" w:type="dxa"/>
            <w:vAlign w:val="center"/>
          </w:tcPr>
          <w:p>
            <w:pPr>
              <w:pStyle w:val="12"/>
            </w:pPr>
            <w:r>
              <w:t>专项资金使用情况</w:t>
            </w:r>
          </w:p>
        </w:tc>
        <w:tc>
          <w:tcPr>
            <w:tcW w:w="1276" w:type="dxa"/>
            <w:vAlign w:val="center"/>
          </w:tcPr>
          <w:p>
            <w:pPr>
              <w:pStyle w:val="12"/>
            </w:pPr>
            <w:r>
              <w:t>≤35万</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网评工作的及时性</w:t>
            </w:r>
          </w:p>
        </w:tc>
        <w:tc>
          <w:tcPr>
            <w:tcW w:w="2891" w:type="dxa"/>
            <w:vAlign w:val="center"/>
          </w:tcPr>
          <w:p>
            <w:pPr>
              <w:pStyle w:val="12"/>
            </w:pPr>
            <w:r>
              <w:t>按照上级要求开展网评作业</w:t>
            </w:r>
          </w:p>
        </w:tc>
        <w:tc>
          <w:tcPr>
            <w:tcW w:w="1276" w:type="dxa"/>
            <w:vAlign w:val="center"/>
          </w:tcPr>
          <w:p>
            <w:pPr>
              <w:pStyle w:val="12"/>
            </w:pPr>
            <w:r>
              <w:t>及时完成</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持续宣传</w:t>
            </w:r>
          </w:p>
        </w:tc>
        <w:tc>
          <w:tcPr>
            <w:tcW w:w="2891" w:type="dxa"/>
            <w:vAlign w:val="center"/>
          </w:tcPr>
          <w:p>
            <w:pPr>
              <w:pStyle w:val="12"/>
            </w:pPr>
            <w:r>
              <w:t>持续宣传</w:t>
            </w:r>
          </w:p>
        </w:tc>
        <w:tc>
          <w:tcPr>
            <w:tcW w:w="1276" w:type="dxa"/>
            <w:vAlign w:val="center"/>
          </w:tcPr>
          <w:p>
            <w:pPr>
              <w:pStyle w:val="12"/>
            </w:pPr>
            <w:r>
              <w:t>不断增强</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提升乐亭的美誉度</w:t>
            </w:r>
          </w:p>
        </w:tc>
        <w:tc>
          <w:tcPr>
            <w:tcW w:w="1276" w:type="dxa"/>
            <w:vAlign w:val="center"/>
          </w:tcPr>
          <w:p>
            <w:pPr>
              <w:pStyle w:val="12"/>
            </w:pPr>
            <w:r>
              <w:t>长期</w:t>
            </w:r>
          </w:p>
        </w:tc>
        <w:tc>
          <w:tcPr>
            <w:tcW w:w="1843"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干群满意度</w:t>
            </w:r>
          </w:p>
        </w:tc>
        <w:tc>
          <w:tcPr>
            <w:tcW w:w="1276" w:type="dxa"/>
            <w:vAlign w:val="center"/>
          </w:tcPr>
          <w:p>
            <w:pPr>
              <w:pStyle w:val="12"/>
            </w:pPr>
            <w:r>
              <w:t>≥98%</w:t>
            </w:r>
          </w:p>
        </w:tc>
        <w:tc>
          <w:tcPr>
            <w:tcW w:w="1843" w:type="dxa"/>
            <w:vAlign w:val="center"/>
          </w:tcPr>
          <w:p>
            <w:pPr>
              <w:pStyle w:val="12"/>
            </w:pPr>
            <w:r>
              <w:t>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3.网信乐亭绩效目标表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224002中共乐亭县委网络安全和信息化委员会办公室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13022522P002H4T10005W</w:t>
            </w:r>
          </w:p>
        </w:tc>
        <w:tc>
          <w:tcPr>
            <w:tcW w:w="1587" w:type="dxa"/>
            <w:vAlign w:val="center"/>
          </w:tcPr>
          <w:p>
            <w:pPr>
              <w:pStyle w:val="13"/>
            </w:pPr>
            <w:r>
              <w:t>项目名称</w:t>
            </w:r>
          </w:p>
        </w:tc>
        <w:tc>
          <w:tcPr>
            <w:tcW w:w="4422" w:type="dxa"/>
            <w:gridSpan w:val="3"/>
            <w:vAlign w:val="center"/>
          </w:tcPr>
          <w:p>
            <w:pPr>
              <w:pStyle w:val="12"/>
            </w:pPr>
            <w:r>
              <w:t>网信乐亭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与自媒体合作，制作H5、短视频、海报等新媒体作品，开发维护后台平稳运行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1.开发网信乐亭平台功能，增加平台板块栏目，维护平台正常运营。畅通政务发布渠道，建立便民网络通道，走好网上群众路线，持续提高干群满意度。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开办宣传专栏数</w:t>
            </w:r>
          </w:p>
        </w:tc>
        <w:tc>
          <w:tcPr>
            <w:tcW w:w="2891" w:type="dxa"/>
            <w:vAlign w:val="center"/>
          </w:tcPr>
          <w:p>
            <w:pPr>
              <w:pStyle w:val="12"/>
            </w:pPr>
            <w:r>
              <w:t>根据工作要求开设专栏</w:t>
            </w:r>
          </w:p>
        </w:tc>
        <w:tc>
          <w:tcPr>
            <w:tcW w:w="1276" w:type="dxa"/>
            <w:vAlign w:val="center"/>
          </w:tcPr>
          <w:p>
            <w:pPr>
              <w:pStyle w:val="12"/>
            </w:pPr>
            <w:r>
              <w:t>中长期</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宣传稿件刊登率</w:t>
            </w:r>
          </w:p>
        </w:tc>
        <w:tc>
          <w:tcPr>
            <w:tcW w:w="2891" w:type="dxa"/>
            <w:vAlign w:val="center"/>
          </w:tcPr>
          <w:p>
            <w:pPr>
              <w:pStyle w:val="12"/>
            </w:pPr>
            <w:r>
              <w:t>宣传稿件质量</w:t>
            </w:r>
          </w:p>
        </w:tc>
        <w:tc>
          <w:tcPr>
            <w:tcW w:w="1276" w:type="dxa"/>
            <w:vAlign w:val="center"/>
          </w:tcPr>
          <w:p>
            <w:pPr>
              <w:pStyle w:val="12"/>
            </w:pPr>
            <w:r>
              <w:t>100%</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发布时间</w:t>
            </w:r>
          </w:p>
        </w:tc>
        <w:tc>
          <w:tcPr>
            <w:tcW w:w="2891" w:type="dxa"/>
            <w:vAlign w:val="center"/>
          </w:tcPr>
          <w:p>
            <w:pPr>
              <w:pStyle w:val="12"/>
            </w:pPr>
            <w:r>
              <w:t>作品发表时限</w:t>
            </w:r>
          </w:p>
        </w:tc>
        <w:tc>
          <w:tcPr>
            <w:tcW w:w="1276" w:type="dxa"/>
            <w:vAlign w:val="center"/>
          </w:tcPr>
          <w:p>
            <w:pPr>
              <w:pStyle w:val="12"/>
            </w:pPr>
            <w:r>
              <w:t>及时发布</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项目实际成本</w:t>
            </w:r>
          </w:p>
        </w:tc>
        <w:tc>
          <w:tcPr>
            <w:tcW w:w="2891" w:type="dxa"/>
            <w:vAlign w:val="center"/>
          </w:tcPr>
          <w:p>
            <w:pPr>
              <w:pStyle w:val="12"/>
            </w:pPr>
            <w:r>
              <w:t>项目实际成本</w:t>
            </w:r>
          </w:p>
        </w:tc>
        <w:tc>
          <w:tcPr>
            <w:tcW w:w="1276" w:type="dxa"/>
            <w:vAlign w:val="center"/>
          </w:tcPr>
          <w:p>
            <w:pPr>
              <w:pStyle w:val="12"/>
            </w:pPr>
            <w:r>
              <w:t>≤2万</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持续服务率(%)</w:t>
            </w:r>
          </w:p>
        </w:tc>
        <w:tc>
          <w:tcPr>
            <w:tcW w:w="2891" w:type="dxa"/>
            <w:vAlign w:val="center"/>
          </w:tcPr>
          <w:p>
            <w:pPr>
              <w:pStyle w:val="12"/>
            </w:pPr>
            <w:r>
              <w:t>建立便民渠道，畅通信息</w:t>
            </w:r>
          </w:p>
        </w:tc>
        <w:tc>
          <w:tcPr>
            <w:tcW w:w="1276" w:type="dxa"/>
            <w:vAlign w:val="center"/>
          </w:tcPr>
          <w:p>
            <w:pPr>
              <w:pStyle w:val="12"/>
            </w:pPr>
            <w:r>
              <w:t>中长期</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社会影响力</w:t>
            </w:r>
          </w:p>
        </w:tc>
        <w:tc>
          <w:tcPr>
            <w:tcW w:w="1276" w:type="dxa"/>
            <w:vAlign w:val="center"/>
          </w:tcPr>
          <w:p>
            <w:pPr>
              <w:pStyle w:val="12"/>
            </w:pPr>
            <w:r>
              <w:t>长期</w:t>
            </w:r>
          </w:p>
        </w:tc>
        <w:tc>
          <w:tcPr>
            <w:tcW w:w="1843"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干群满意度</w:t>
            </w:r>
          </w:p>
        </w:tc>
        <w:tc>
          <w:tcPr>
            <w:tcW w:w="1276" w:type="dxa"/>
            <w:vAlign w:val="center"/>
          </w:tcPr>
          <w:p>
            <w:pPr>
              <w:pStyle w:val="12"/>
            </w:pPr>
            <w:r>
              <w:t>≥95%</w:t>
            </w:r>
          </w:p>
        </w:tc>
        <w:tc>
          <w:tcPr>
            <w:tcW w:w="1843" w:type="dxa"/>
            <w:vAlign w:val="center"/>
          </w:tcPr>
          <w:p>
            <w:pPr>
              <w:pStyle w:val="12"/>
            </w:pPr>
            <w:r>
              <w:t>年初工作计划</w:t>
            </w:r>
          </w:p>
          <w:p>
            <w:pPr>
              <w:pStyle w:val="12"/>
            </w:pP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k4ZDViOTk5Y2VjMjkzYjJlMzg1MTM2ZmNmMDdmNTgifQ=="/>
  </w:docVars>
  <w:rsids>
    <w:rsidRoot w:val="00903B51"/>
    <w:rsid w:val="005D30C3"/>
    <w:rsid w:val="00903B51"/>
    <w:rsid w:val="00A141C5"/>
    <w:rsid w:val="20AB2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autoRedefine/>
    <w:qFormat/>
    <w:uiPriority w:val="0"/>
    <w:pPr>
      <w:spacing w:line="500" w:lineRule="exact"/>
      <w:ind w:firstLine="560"/>
    </w:pPr>
    <w:rPr>
      <w:rFonts w:eastAsia="方正仿宋_GBK"/>
      <w:sz w:val="28"/>
    </w:rPr>
  </w:style>
  <w:style w:type="paragraph" w:customStyle="1" w:styleId="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1">
    <w:name w:val="单元格样式5"/>
    <w:basedOn w:val="1"/>
    <w:autoRedefine/>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TOC 2"/>
    <w:basedOn w:val="1"/>
    <w:autoRedefine/>
    <w:qFormat/>
    <w:uiPriority w:val="0"/>
    <w:pPr>
      <w:ind w:left="240"/>
    </w:pPr>
  </w:style>
  <w:style w:type="paragraph" w:customStyle="1" w:styleId="16">
    <w:name w:val="TOC 4"/>
    <w:basedOn w:val="1"/>
    <w:autoRedefine/>
    <w:qFormat/>
    <w:uiPriority w:val="0"/>
    <w:pPr>
      <w:ind w:left="720"/>
    </w:pPr>
  </w:style>
  <w:style w:type="paragraph" w:customStyle="1" w:styleId="17">
    <w:name w:val="TOC 1"/>
    <w:basedOn w:val="1"/>
    <w:autoRedefine/>
    <w:qFormat/>
    <w:uiPriority w:val="0"/>
    <w:pPr>
      <w:spacing w:before="120"/>
    </w:pPr>
    <w:rPr>
      <w:rFonts w:eastAsia="方正仿宋_GBK"/>
      <w:color w:val="000000"/>
      <w:sz w:val="28"/>
    </w:rPr>
  </w:style>
  <w:style w:type="character" w:customStyle="1" w:styleId="18">
    <w:name w:val="页眉 Char"/>
    <w:basedOn w:val="6"/>
    <w:link w:val="3"/>
    <w:autoRedefine/>
    <w:semiHidden/>
    <w:qFormat/>
    <w:uiPriority w:val="99"/>
    <w:rPr>
      <w:rFonts w:eastAsia="Times New Roman"/>
      <w:sz w:val="18"/>
      <w:szCs w:val="18"/>
      <w:lang w:eastAsia="uk-UA"/>
    </w:rPr>
  </w:style>
  <w:style w:type="character" w:customStyle="1" w:styleId="19">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2022-04-08T09:06:00Z</dcterms:created>
  <dcterms:modified xsi:type="dcterms:W3CDTF">2022-04-08T01:06:00Z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2022-04-08T09:06:00Z</dcterms:created>
  <dcterms:modified xsi:type="dcterms:W3CDTF">2022-04-08T01:06:00Z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2022-04-08T09:06:00Z</dcterms:created>
  <dcterms:modified xsi:type="dcterms:W3CDTF">2022-04-08T01:06:00Z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2022-04-08T09:06:00Z</dcterms:created>
  <dcterms:modified xsi:type="dcterms:W3CDTF">2022-04-08T01:06:00Z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2022-04-08T09:06:01Z</dcterms:created>
  <dcterms:modified xsi:type="dcterms:W3CDTF">2022-04-08T01:06:01Z</dcterms:modified>
</cp:coreProperties>
</file>

<file path=customXml/itemProps1.xml><?xml version="1.0" encoding="utf-8"?>
<ds:datastoreItem xmlns:ds="http://schemas.openxmlformats.org/officeDocument/2006/customXml" ds:itemID="{BF6855FB-1DD2-4E66-BFE5-8BCBD8A3B54C}">
  <ds:schemaRefs/>
</ds:datastoreItem>
</file>

<file path=customXml/itemProps10.xml><?xml version="1.0" encoding="utf-8"?>
<ds:datastoreItem xmlns:ds="http://schemas.openxmlformats.org/officeDocument/2006/customXml" ds:itemID="{27FD2E33-C4DE-450D-8A8C-BCEFC96ECB55}">
  <ds:schemaRefs/>
</ds:datastoreItem>
</file>

<file path=customXml/itemProps2.xml><?xml version="1.0" encoding="utf-8"?>
<ds:datastoreItem xmlns:ds="http://schemas.openxmlformats.org/officeDocument/2006/customXml" ds:itemID="{5D25E431-0196-4623-B204-FB409CA8C843}">
  <ds:schemaRefs/>
</ds:datastoreItem>
</file>

<file path=customXml/itemProps3.xml><?xml version="1.0" encoding="utf-8"?>
<ds:datastoreItem xmlns:ds="http://schemas.openxmlformats.org/officeDocument/2006/customXml" ds:itemID="{FB6B9DF2-D635-4CD2-9AD5-D4B72E3378EB}">
  <ds:schemaRefs/>
</ds:datastoreItem>
</file>

<file path=customXml/itemProps4.xml><?xml version="1.0" encoding="utf-8"?>
<ds:datastoreItem xmlns:ds="http://schemas.openxmlformats.org/officeDocument/2006/customXml" ds:itemID="{0D339054-2F6A-4579-A77B-58AD3D686265}">
  <ds:schemaRefs/>
</ds:datastoreItem>
</file>

<file path=customXml/itemProps5.xml><?xml version="1.0" encoding="utf-8"?>
<ds:datastoreItem xmlns:ds="http://schemas.openxmlformats.org/officeDocument/2006/customXml" ds:itemID="{F75FB5FE-F628-46F2-921C-52DA7B4A8A5A}">
  <ds:schemaRefs/>
</ds:datastoreItem>
</file>

<file path=customXml/itemProps6.xml><?xml version="1.0" encoding="utf-8"?>
<ds:datastoreItem xmlns:ds="http://schemas.openxmlformats.org/officeDocument/2006/customXml" ds:itemID="{3BD5094A-1447-4779-B99B-3FC83C95C3AD}">
  <ds:schemaRefs/>
</ds:datastoreItem>
</file>

<file path=customXml/itemProps7.xml><?xml version="1.0" encoding="utf-8"?>
<ds:datastoreItem xmlns:ds="http://schemas.openxmlformats.org/officeDocument/2006/customXml" ds:itemID="{DD7E1BF8-246D-4F4E-A315-B3ED96FBB572}">
  <ds:schemaRefs/>
</ds:datastoreItem>
</file>

<file path=customXml/itemProps8.xml><?xml version="1.0" encoding="utf-8"?>
<ds:datastoreItem xmlns:ds="http://schemas.openxmlformats.org/officeDocument/2006/customXml" ds:itemID="{4B7CEB53-652D-4261-9C3E-F5B9CECF408A}">
  <ds:schemaRefs/>
</ds:datastoreItem>
</file>

<file path=customXml/itemProps9.xml><?xml version="1.0" encoding="utf-8"?>
<ds:datastoreItem xmlns:ds="http://schemas.openxmlformats.org/officeDocument/2006/customXml" ds:itemID="{AAAC721D-6CA1-4338-820A-527B97A58CD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534</Words>
  <Characters>3049</Characters>
  <Lines>25</Lines>
  <Paragraphs>7</Paragraphs>
  <TotalTime>0</TotalTime>
  <ScaleCrop>false</ScaleCrop>
  <LinksUpToDate>false</LinksUpToDate>
  <CharactersWithSpaces>3576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2022-04-08T01:05:00Z</dcterms:created>
  <dc:creator>Administrator</dc:creator>
  <cp:lastModifiedBy>甜大宝儿</cp:lastModifiedBy>
  <dcterms:modified xsi:type="dcterms:W3CDTF">2024-01-15T02:45:09Z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08A6A3490098404D9D5010010EDA0BAD_12</vt:lpwstr>
  </property>
</Properties>
</file>