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宋体-方正超大字符集" w:hAnsi="宋体-方正超大字符集"/>
          <w:b/>
          <w:bCs/>
          <w:sz w:val="36"/>
          <w:szCs w:val="36"/>
          <w:lang w:eastAsia="zh-CN"/>
        </w:rPr>
        <w:t>乐亭县发展和改革局</w:t>
      </w:r>
      <w:r>
        <w:rPr>
          <w:rFonts w:ascii="宋体-方正超大字符集" w:hAnsi="宋体-方正超大字符集"/>
          <w:b/>
          <w:bCs/>
          <w:sz w:val="36"/>
          <w:szCs w:val="36"/>
        </w:rPr>
        <w:t>2021年单位预算信息公开目录</w:t>
      </w:r>
    </w:p>
    <w:p>
      <w:pPr>
        <w:jc w:val="left"/>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eastAsia="zh-CN"/>
        </w:rPr>
        <w:t>单位</w:t>
      </w:r>
      <w:r>
        <w:rPr>
          <w:rFonts w:hint="eastAsia" w:asciiTheme="minorEastAsia" w:hAnsiTheme="minorEastAsia" w:eastAsiaTheme="minorEastAsia" w:cstheme="minorEastAsia"/>
          <w:b/>
          <w:sz w:val="28"/>
        </w:rPr>
        <w:t>预算公开表</w:t>
      </w:r>
    </w:p>
    <w:p>
      <w:pPr>
        <w:pStyle w:val="6"/>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fldChar w:fldCharType="begin"/>
      </w:r>
      <w:r>
        <w:instrText xml:space="preserve"> HYPERLINK \l "_Toc65763868" </w:instrText>
      </w:r>
      <w:r>
        <w:fldChar w:fldCharType="separate"/>
      </w:r>
      <w:r>
        <w:rPr>
          <w:rStyle w:val="11"/>
          <w:rFonts w:hint="eastAsia" w:ascii="Times New Roman" w:eastAsia="方正仿宋_GBK"/>
          <w:sz w:val="28"/>
          <w:u w:val="none"/>
          <w:lang w:eastAsia="zh-CN"/>
        </w:rPr>
        <w:t>单位</w:t>
      </w:r>
      <w:r>
        <w:rPr>
          <w:rStyle w:val="11"/>
          <w:rFonts w:hint="eastAsia" w:ascii="Times New Roman" w:eastAsia="方正仿宋_GBK"/>
          <w:sz w:val="28"/>
          <w:u w:val="none"/>
        </w:rPr>
        <w:t>预算收支总表</w:t>
      </w:r>
      <w:r>
        <w:rPr>
          <w:rStyle w:val="11"/>
          <w:rFonts w:hint="eastAsia" w:eastAsia="方正仿宋_GBK"/>
          <w:sz w:val="28"/>
          <w:u w:val="none"/>
          <w:lang w:val="en-US" w:eastAsia="zh-CN"/>
        </w:rPr>
        <w:t>...............................................................................................................................................................</w:t>
      </w:r>
      <w:r>
        <w:rPr>
          <w:rFonts w:hint="eastAsia" w:ascii="Times New Roman" w:eastAsia="方正仿宋_GBK"/>
          <w:sz w:val="28"/>
        </w:rPr>
        <w:t>2</w:t>
      </w:r>
      <w:r>
        <w:rPr>
          <w:rFonts w:hint="eastAsia"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"_Toc65763869" </w:instrText>
      </w:r>
      <w:r>
        <w:fldChar w:fldCharType="separate"/>
      </w:r>
      <w:r>
        <w:rPr>
          <w:rStyle w:val="11"/>
          <w:rFonts w:hint="eastAsia" w:ascii="Times New Roman" w:eastAsia="方正仿宋_GBK"/>
          <w:sz w:val="28"/>
          <w:u w:val="none"/>
          <w:lang w:eastAsia="zh-CN"/>
        </w:rPr>
        <w:t>单位</w:t>
      </w:r>
      <w:r>
        <w:rPr>
          <w:rStyle w:val="11"/>
          <w:rFonts w:hint="eastAsia" w:ascii="Times New Roman" w:eastAsia="方正仿宋_GBK"/>
          <w:sz w:val="28"/>
          <w:u w:val="none"/>
        </w:rPr>
        <w:t>预算收入总表</w:t>
      </w:r>
      <w:r>
        <w:rPr>
          <w:rStyle w:val="11"/>
          <w:rFonts w:hint="eastAsia" w:eastAsia="方正仿宋_GBK"/>
          <w:sz w:val="28"/>
          <w:u w:val="none"/>
          <w:lang w:val="en-US" w:eastAsia="zh-CN"/>
        </w:rPr>
        <w:t>...............................................................................................................................................................</w:t>
      </w:r>
      <w:r>
        <w:rPr>
          <w:rFonts w:hint="eastAsia" w:eastAsia="方正仿宋_GBK"/>
          <w:sz w:val="28"/>
          <w:lang w:val="en-US" w:eastAsia="zh-CN"/>
        </w:rPr>
        <w:t>4</w:t>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"_Toc65763870" </w:instrText>
      </w:r>
      <w:r>
        <w:fldChar w:fldCharType="separate"/>
      </w:r>
      <w:r>
        <w:rPr>
          <w:rStyle w:val="11"/>
          <w:rFonts w:hint="eastAsia" w:ascii="Times New Roman" w:eastAsia="方正仿宋_GBK"/>
          <w:sz w:val="28"/>
          <w:u w:val="none"/>
          <w:lang w:eastAsia="zh-CN"/>
        </w:rPr>
        <w:t>单位</w:t>
      </w:r>
      <w:r>
        <w:rPr>
          <w:rStyle w:val="11"/>
          <w:rFonts w:hint="eastAsia" w:ascii="Times New Roman" w:eastAsia="方正仿宋_GBK"/>
          <w:sz w:val="28"/>
          <w:u w:val="none"/>
        </w:rPr>
        <w:t>预算支出总表</w:t>
      </w:r>
      <w:r>
        <w:rPr>
          <w:rFonts w:ascii="Times New Roman" w:eastAsia="方正仿宋_GBK"/>
          <w:sz w:val="28"/>
        </w:rPr>
        <w:fldChar w:fldCharType="end"/>
      </w:r>
      <w:r>
        <w:rPr>
          <w:rFonts w:hint="eastAsia" w:eastAsia="方正仿宋_GBK"/>
          <w:sz w:val="28"/>
          <w:lang w:val="en-US" w:eastAsia="zh-CN"/>
        </w:rPr>
        <w:t>...............................................................................................................................................................6</w:t>
      </w:r>
      <w:r>
        <w:fldChar w:fldCharType="begin"/>
      </w:r>
      <w:r>
        <w:instrText xml:space="preserve"> HYPERLINK \l "_Toc65763871" </w:instrText>
      </w:r>
      <w:r>
        <w:fldChar w:fldCharType="separate"/>
      </w:r>
      <w:r>
        <w:rPr>
          <w:rStyle w:val="11"/>
          <w:rFonts w:hint="eastAsia" w:ascii="Times New Roman" w:eastAsia="方正仿宋_GBK"/>
          <w:sz w:val="28"/>
          <w:u w:val="none"/>
          <w:lang w:eastAsia="zh-CN"/>
        </w:rPr>
        <w:t>单位</w:t>
      </w:r>
      <w:r>
        <w:rPr>
          <w:rStyle w:val="11"/>
          <w:rFonts w:hint="eastAsia" w:ascii="Times New Roman" w:eastAsia="方正仿宋_GBK"/>
          <w:sz w:val="28"/>
          <w:u w:val="none"/>
        </w:rPr>
        <w:t>预算财政拨款收支总表</w:t>
      </w:r>
      <w:r>
        <w:rPr>
          <w:rStyle w:val="11"/>
          <w:rFonts w:hint="eastAsia" w:eastAsia="方正仿宋_GBK"/>
          <w:sz w:val="28"/>
          <w:u w:val="none"/>
          <w:lang w:val="en-US" w:eastAsia="zh-CN"/>
        </w:rPr>
        <w:t>...............................................................................................................................................</w:t>
      </w:r>
      <w:r>
        <w:rPr>
          <w:rFonts w:hint="eastAsia" w:eastAsia="方正仿宋_GBK"/>
          <w:sz w:val="28"/>
          <w:lang w:val="en-US" w:eastAsia="zh-CN"/>
        </w:rPr>
        <w:t>8</w:t>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"_Toc65763872" </w:instrText>
      </w:r>
      <w:r>
        <w:fldChar w:fldCharType="separate"/>
      </w:r>
      <w:r>
        <w:rPr>
          <w:rStyle w:val="11"/>
          <w:rFonts w:hint="eastAsia" w:ascii="Times New Roman" w:eastAsia="方正仿宋_GBK"/>
          <w:sz w:val="28"/>
          <w:u w:val="none"/>
          <w:lang w:eastAsia="zh-CN"/>
        </w:rPr>
        <w:t>单位</w:t>
      </w:r>
      <w:r>
        <w:rPr>
          <w:rStyle w:val="11"/>
          <w:rFonts w:hint="eastAsia" w:ascii="Times New Roman" w:eastAsia="方正仿宋_GBK"/>
          <w:sz w:val="28"/>
          <w:u w:val="none"/>
        </w:rPr>
        <w:t>预算一般公共预算财政拨款支出表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_Toc65763872 \h </w:instrText>
      </w:r>
      <w:r>
        <w:rPr>
          <w:rFonts w:ascii="Times New Roman" w:eastAsia="方正仿宋_GBK"/>
          <w:sz w:val="28"/>
        </w:rPr>
        <w:fldChar w:fldCharType="separate"/>
      </w:r>
      <w:r>
        <w:rPr>
          <w:rFonts w:ascii="Times New Roman" w:eastAsia="方正仿宋_GBK"/>
          <w:sz w:val="28"/>
        </w:rPr>
        <w:t>10</w:t>
      </w:r>
      <w:r>
        <w:rPr>
          <w:rFonts w:ascii="Times New Roman" w:eastAsia="方正仿宋_GBK"/>
          <w:sz w:val="28"/>
        </w:rPr>
        <w:fldChar w:fldCharType="end"/>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"_Toc65763873" </w:instrText>
      </w:r>
      <w:r>
        <w:fldChar w:fldCharType="separate"/>
      </w:r>
      <w:r>
        <w:rPr>
          <w:rStyle w:val="11"/>
          <w:rFonts w:hint="eastAsia" w:ascii="Times New Roman" w:eastAsia="方正仿宋_GBK"/>
          <w:sz w:val="28"/>
          <w:u w:val="none"/>
          <w:lang w:eastAsia="zh-CN"/>
        </w:rPr>
        <w:t>单位</w:t>
      </w:r>
      <w:r>
        <w:rPr>
          <w:rStyle w:val="11"/>
          <w:rFonts w:hint="eastAsia" w:ascii="Times New Roman" w:eastAsia="方正仿宋_GBK"/>
          <w:sz w:val="28"/>
          <w:u w:val="none"/>
        </w:rPr>
        <w:t>预算一般公共预算财政拨款基本支出表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_Toc65763873 \h </w:instrText>
      </w:r>
      <w:r>
        <w:rPr>
          <w:rFonts w:ascii="Times New Roman" w:eastAsia="方正仿宋_GBK"/>
          <w:sz w:val="28"/>
        </w:rPr>
        <w:fldChar w:fldCharType="separate"/>
      </w:r>
      <w:r>
        <w:rPr>
          <w:rFonts w:ascii="Times New Roman" w:eastAsia="方正仿宋_GBK"/>
          <w:sz w:val="28"/>
        </w:rPr>
        <w:t>12</w:t>
      </w:r>
      <w:r>
        <w:rPr>
          <w:rFonts w:ascii="Times New Roman" w:eastAsia="方正仿宋_GBK"/>
          <w:sz w:val="28"/>
        </w:rPr>
        <w:fldChar w:fldCharType="end"/>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"_Toc65763874" </w:instrText>
      </w:r>
      <w:r>
        <w:fldChar w:fldCharType="separate"/>
      </w:r>
      <w:r>
        <w:rPr>
          <w:rStyle w:val="11"/>
          <w:rFonts w:hint="eastAsia" w:ascii="Times New Roman" w:eastAsia="方正仿宋_GBK"/>
          <w:sz w:val="28"/>
          <w:u w:val="none"/>
          <w:lang w:eastAsia="zh-CN"/>
        </w:rPr>
        <w:t>单位</w:t>
      </w:r>
      <w:r>
        <w:rPr>
          <w:rStyle w:val="11"/>
          <w:rFonts w:hint="eastAsia" w:ascii="Times New Roman" w:eastAsia="方正仿宋_GBK"/>
          <w:sz w:val="28"/>
          <w:u w:val="none"/>
        </w:rPr>
        <w:t>预算政府基金预算财政拨款支出表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_Toc65763874 \h </w:instrText>
      </w:r>
      <w:r>
        <w:rPr>
          <w:rFonts w:ascii="Times New Roman" w:eastAsia="方正仿宋_GBK"/>
          <w:sz w:val="28"/>
        </w:rPr>
        <w:fldChar w:fldCharType="separate"/>
      </w:r>
      <w:r>
        <w:rPr>
          <w:rFonts w:ascii="Times New Roman" w:eastAsia="方正仿宋_GBK"/>
          <w:sz w:val="28"/>
        </w:rPr>
        <w:t>14</w:t>
      </w:r>
      <w:r>
        <w:rPr>
          <w:rFonts w:ascii="Times New Roman" w:eastAsia="方正仿宋_GBK"/>
          <w:sz w:val="28"/>
        </w:rPr>
        <w:fldChar w:fldCharType="end"/>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"_Toc65763875" </w:instrText>
      </w:r>
      <w:r>
        <w:fldChar w:fldCharType="separate"/>
      </w:r>
      <w:r>
        <w:rPr>
          <w:rStyle w:val="11"/>
          <w:rFonts w:hint="eastAsia" w:ascii="Times New Roman" w:eastAsia="方正仿宋_GBK"/>
          <w:sz w:val="28"/>
          <w:u w:val="none"/>
          <w:lang w:eastAsia="zh-CN"/>
        </w:rPr>
        <w:t>单位</w:t>
      </w:r>
      <w:r>
        <w:rPr>
          <w:rStyle w:val="11"/>
          <w:rFonts w:hint="eastAsia" w:ascii="Times New Roman" w:eastAsia="方正仿宋_GBK"/>
          <w:sz w:val="28"/>
          <w:u w:val="none"/>
        </w:rPr>
        <w:t>预算国有资本经营预算财政拨款支出表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_Toc65763875 \h </w:instrText>
      </w:r>
      <w:r>
        <w:rPr>
          <w:rFonts w:ascii="Times New Roman" w:eastAsia="方正仿宋_GBK"/>
          <w:sz w:val="28"/>
        </w:rPr>
        <w:fldChar w:fldCharType="separate"/>
      </w:r>
      <w:r>
        <w:rPr>
          <w:rFonts w:ascii="Times New Roman" w:eastAsia="方正仿宋_GBK"/>
          <w:sz w:val="28"/>
        </w:rPr>
        <w:t>15</w:t>
      </w:r>
      <w:r>
        <w:rPr>
          <w:rFonts w:ascii="Times New Roman" w:eastAsia="方正仿宋_GBK"/>
          <w:sz w:val="28"/>
        </w:rPr>
        <w:fldChar w:fldCharType="end"/>
      </w:r>
      <w:r>
        <w:rPr>
          <w:rFonts w:ascii="Times New Roman" w:eastAsia="方正仿宋_GBK"/>
          <w:sz w:val="28"/>
        </w:rPr>
        <w:fldChar w:fldCharType="end"/>
      </w:r>
    </w:p>
    <w:p>
      <w:pPr>
        <w:pStyle w:val="6"/>
        <w:tabs>
          <w:tab w:val="right" w:leader="dot" w:pos="14789"/>
        </w:tabs>
        <w:jc w:val="center"/>
        <w:rPr>
          <w:rFonts w:ascii="Times New Roman" w:eastAsia="方正仿宋_GBK"/>
          <w:sz w:val="28"/>
        </w:rPr>
      </w:pPr>
      <w:r>
        <w:fldChar w:fldCharType="begin"/>
      </w:r>
      <w:r>
        <w:instrText xml:space="preserve"> HYPERLINK \l "_Toc65763876" </w:instrText>
      </w:r>
      <w:r>
        <w:fldChar w:fldCharType="separate"/>
      </w:r>
      <w:r>
        <w:rPr>
          <w:rStyle w:val="11"/>
          <w:rFonts w:hint="eastAsia" w:ascii="Times New Roman" w:eastAsia="方正仿宋_GBK"/>
          <w:sz w:val="28"/>
          <w:u w:val="none"/>
          <w:lang w:eastAsia="zh-CN"/>
        </w:rPr>
        <w:t>单位</w:t>
      </w:r>
      <w:r>
        <w:rPr>
          <w:rStyle w:val="11"/>
          <w:rFonts w:hint="eastAsia" w:ascii="Times New Roman" w:eastAsia="方正仿宋_GBK"/>
          <w:sz w:val="28"/>
          <w:u w:val="none"/>
        </w:rPr>
        <w:t>预算财政拨款“三公”经费支出表</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_Toc65763876 \h </w:instrText>
      </w:r>
      <w:r>
        <w:rPr>
          <w:rFonts w:ascii="Times New Roman" w:eastAsia="方正仿宋_GBK"/>
          <w:sz w:val="28"/>
        </w:rPr>
        <w:fldChar w:fldCharType="separate"/>
      </w:r>
      <w:r>
        <w:rPr>
          <w:rFonts w:ascii="Times New Roman" w:eastAsia="方正仿宋_GBK"/>
          <w:sz w:val="28"/>
        </w:rPr>
        <w:t>16</w:t>
      </w:r>
      <w:r>
        <w:rPr>
          <w:rFonts w:ascii="Times New Roman" w:eastAsia="方正仿宋_GBK"/>
          <w:sz w:val="28"/>
        </w:rPr>
        <w:fldChar w:fldCharType="end"/>
      </w:r>
      <w:r>
        <w:rPr>
          <w:rFonts w:ascii="Times New Roman" w:eastAsia="方正仿宋_GBK"/>
          <w:sz w:val="28"/>
        </w:rPr>
        <w:fldChar w:fldCharType="end"/>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eastAsia="zh-CN"/>
        </w:rPr>
        <w:t>单位</w:t>
      </w:r>
      <w:r>
        <w:rPr>
          <w:rFonts w:hint="eastAsia" w:asciiTheme="minorEastAsia" w:hAnsiTheme="minorEastAsia" w:eastAsiaTheme="minorEastAsia" w:cstheme="minorEastAsia"/>
          <w:b/>
          <w:sz w:val="28"/>
        </w:rPr>
        <w:t>预算信息公开情况说明</w:t>
      </w:r>
    </w:p>
    <w:p>
      <w:pPr>
        <w:pStyle w:val="3"/>
        <w:tabs>
          <w:tab w:val="right" w:leader="dot" w:pos="14789"/>
        </w:tabs>
        <w:ind w:left="420" w:leftChars="200"/>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fldChar w:fldCharType="begin"/>
      </w:r>
      <w:r>
        <w:instrText xml:space="preserve"> HYPERLINK \l "_Toc65763877" </w:instrText>
      </w:r>
      <w:r>
        <w:fldChar w:fldCharType="separate"/>
      </w:r>
      <w:r>
        <w:rPr>
          <w:rStyle w:val="11"/>
          <w:rFonts w:hint="eastAsia" w:ascii="Times New Roman" w:hAnsi="黑体" w:eastAsia="方正仿宋_GBK"/>
          <w:sz w:val="28"/>
          <w:u w:val="none"/>
        </w:rPr>
        <w:t>一、</w:t>
      </w:r>
      <w:r>
        <w:rPr>
          <w:rStyle w:val="11"/>
          <w:rFonts w:hint="eastAsia" w:ascii="Times New Roman" w:hAnsi="黑体" w:eastAsia="方正仿宋_GBK"/>
          <w:sz w:val="28"/>
          <w:u w:val="none"/>
          <w:lang w:eastAsia="zh-CN"/>
        </w:rPr>
        <w:t>单位</w:t>
      </w:r>
      <w:r>
        <w:rPr>
          <w:rStyle w:val="11"/>
          <w:rFonts w:hint="eastAsia" w:ascii="Times New Roman" w:hAnsi="黑体" w:eastAsia="方正仿宋_GBK"/>
          <w:sz w:val="28"/>
          <w:u w:val="none"/>
        </w:rPr>
        <w:t>职责及机构设置情况</w:t>
      </w:r>
      <w:r>
        <w:rPr>
          <w:rStyle w:val="11"/>
          <w:rFonts w:hint="eastAsia" w:hAnsi="黑体"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_Toc65763877 \h </w:instrText>
      </w:r>
      <w:r>
        <w:rPr>
          <w:rFonts w:ascii="Times New Roman" w:eastAsia="方正仿宋_GBK"/>
          <w:sz w:val="28"/>
        </w:rPr>
        <w:fldChar w:fldCharType="separate"/>
      </w:r>
      <w:r>
        <w:rPr>
          <w:rFonts w:ascii="Times New Roman" w:eastAsia="方正仿宋_GBK"/>
          <w:sz w:val="28"/>
        </w:rPr>
        <w:t>17</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"_Toc65763878" </w:instrText>
      </w:r>
      <w:r>
        <w:fldChar w:fldCharType="separate"/>
      </w:r>
      <w:r>
        <w:rPr>
          <w:rStyle w:val="11"/>
          <w:rFonts w:hint="eastAsia" w:ascii="Times New Roman" w:hAnsi="黑体" w:eastAsia="方正仿宋_GBK"/>
          <w:sz w:val="28"/>
          <w:u w:val="none"/>
        </w:rPr>
        <w:t>二、</w:t>
      </w:r>
      <w:r>
        <w:rPr>
          <w:rStyle w:val="11"/>
          <w:rFonts w:hint="eastAsia" w:ascii="Times New Roman" w:hAnsi="黑体" w:eastAsia="方正仿宋_GBK"/>
          <w:sz w:val="28"/>
          <w:u w:val="none"/>
          <w:lang w:eastAsia="zh-CN"/>
        </w:rPr>
        <w:t>单位</w:t>
      </w:r>
      <w:r>
        <w:rPr>
          <w:rStyle w:val="11"/>
          <w:rFonts w:hint="eastAsia" w:ascii="Times New Roman" w:hAnsi="黑体" w:eastAsia="方正仿宋_GBK"/>
          <w:sz w:val="28"/>
          <w:u w:val="none"/>
        </w:rPr>
        <w:t>预算安排的总体情况</w:t>
      </w:r>
      <w:r>
        <w:rPr>
          <w:rStyle w:val="11"/>
          <w:rFonts w:hint="eastAsia" w:hAnsi="黑体" w:eastAsia="方正仿宋_GBK"/>
          <w:sz w:val="28"/>
          <w:u w:val="none"/>
          <w:lang w:val="en-US" w:eastAsia="zh-CN"/>
        </w:rPr>
        <w:t>.........................................................................................................................................</w:t>
      </w:r>
      <w:r>
        <w:rPr>
          <w:rFonts w:hint="eastAsia" w:ascii="Times New Roman" w:eastAsia="方正仿宋_GBK"/>
          <w:sz w:val="28"/>
        </w:rPr>
        <w:t>2</w:t>
      </w:r>
      <w:r>
        <w:rPr>
          <w:rFonts w:hint="eastAsia" w:eastAsia="方正仿宋_GBK"/>
          <w:sz w:val="28"/>
          <w:lang w:val="en-US" w:eastAsia="zh-CN"/>
        </w:rPr>
        <w:t>1</w:t>
      </w:r>
      <w:r>
        <w:rPr>
          <w:rFonts w:hint="eastAsia"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"_Toc65763879" </w:instrText>
      </w:r>
      <w:r>
        <w:fldChar w:fldCharType="separate"/>
      </w:r>
      <w:r>
        <w:rPr>
          <w:rStyle w:val="11"/>
          <w:rFonts w:hint="eastAsia" w:ascii="Times New Roman" w:hAnsi="黑体" w:eastAsia="方正仿宋_GBK"/>
          <w:sz w:val="28"/>
          <w:u w:val="none"/>
        </w:rPr>
        <w:t>三、机关运行经费安排情况</w:t>
      </w:r>
      <w:r>
        <w:rPr>
          <w:rStyle w:val="11"/>
          <w:rFonts w:hint="eastAsia" w:hAnsi="黑体" w:eastAsia="方正仿宋_GBK"/>
          <w:sz w:val="28"/>
          <w:u w:val="none"/>
          <w:lang w:val="en-US" w:eastAsia="zh-CN"/>
        </w:rPr>
        <w:t>.............................................................................................................................................2</w:t>
      </w:r>
      <w:r>
        <w:rPr>
          <w:rFonts w:hint="eastAsia" w:eastAsia="方正仿宋_GBK"/>
          <w:sz w:val="28"/>
          <w:lang w:val="en-US" w:eastAsia="zh-CN"/>
        </w:rPr>
        <w:t>2</w:t>
      </w:r>
      <w:r>
        <w:rPr>
          <w:rFonts w:hint="eastAsia"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"_Toc65763880" </w:instrText>
      </w:r>
      <w:r>
        <w:fldChar w:fldCharType="separate"/>
      </w:r>
      <w:r>
        <w:rPr>
          <w:rStyle w:val="11"/>
          <w:rFonts w:hint="eastAsia" w:ascii="Times New Roman" w:hAnsi="黑体" w:eastAsia="方正仿宋_GBK"/>
          <w:sz w:val="28"/>
          <w:u w:val="none"/>
        </w:rPr>
        <w:t>四、财政拨款</w:t>
      </w:r>
      <w:r>
        <w:rPr>
          <w:rStyle w:val="11"/>
          <w:rFonts w:ascii="Times New Roman" w:hAnsi="黑体" w:eastAsia="方正仿宋_GBK"/>
          <w:sz w:val="28"/>
          <w:u w:val="none"/>
        </w:rPr>
        <w:t>“</w:t>
      </w:r>
      <w:r>
        <w:rPr>
          <w:rStyle w:val="11"/>
          <w:rFonts w:hint="eastAsia" w:ascii="Times New Roman" w:hAnsi="黑体" w:eastAsia="方正仿宋_GBK"/>
          <w:sz w:val="28"/>
          <w:u w:val="none"/>
        </w:rPr>
        <w:t>三公</w:t>
      </w:r>
      <w:r>
        <w:rPr>
          <w:rStyle w:val="11"/>
          <w:rFonts w:ascii="Times New Roman" w:hAnsi="黑体" w:eastAsia="方正仿宋_GBK"/>
          <w:sz w:val="28"/>
          <w:u w:val="none"/>
        </w:rPr>
        <w:t>”</w:t>
      </w:r>
      <w:r>
        <w:rPr>
          <w:rStyle w:val="11"/>
          <w:rFonts w:hint="eastAsia" w:ascii="Times New Roman" w:hAnsi="黑体" w:eastAsia="方正仿宋_GBK"/>
          <w:sz w:val="28"/>
          <w:u w:val="none"/>
        </w:rPr>
        <w:t>经费预算情况及增减变化原因</w:t>
      </w:r>
      <w:r>
        <w:rPr>
          <w:rStyle w:val="11"/>
          <w:rFonts w:hint="eastAsia" w:hAnsi="黑体" w:eastAsia="方正仿宋_GBK"/>
          <w:sz w:val="28"/>
          <w:u w:val="none"/>
          <w:lang w:val="en-US" w:eastAsia="zh-CN"/>
        </w:rPr>
        <w:t>.................................................................................................</w:t>
      </w:r>
      <w:r>
        <w:rPr>
          <w:rFonts w:hint="eastAsia" w:ascii="Times New Roman" w:eastAsia="方正仿宋_GBK"/>
          <w:sz w:val="28"/>
        </w:rPr>
        <w:t>2</w:t>
      </w:r>
      <w:r>
        <w:rPr>
          <w:rFonts w:hint="eastAsia" w:eastAsia="方正仿宋_GBK"/>
          <w:sz w:val="28"/>
          <w:lang w:val="en-US" w:eastAsia="zh-CN"/>
        </w:rPr>
        <w:t>3</w:t>
      </w:r>
      <w:r>
        <w:rPr>
          <w:rFonts w:hint="eastAsia"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"_Toc65763881" </w:instrText>
      </w:r>
      <w:r>
        <w:fldChar w:fldCharType="separate"/>
      </w:r>
      <w:r>
        <w:rPr>
          <w:rStyle w:val="11"/>
          <w:rFonts w:hint="eastAsia" w:ascii="Times New Roman" w:hAnsi="黑体" w:eastAsia="方正仿宋_GBK"/>
          <w:sz w:val="28"/>
          <w:u w:val="none"/>
        </w:rPr>
        <w:t>五、预算绩效信息</w:t>
      </w:r>
      <w:r>
        <w:rPr>
          <w:rStyle w:val="11"/>
          <w:rFonts w:hint="eastAsia" w:hAnsi="黑体" w:eastAsia="方正仿宋_GBK"/>
          <w:sz w:val="28"/>
          <w:u w:val="none"/>
          <w:lang w:val="en-US" w:eastAsia="zh-CN"/>
        </w:rPr>
        <w:t>.............................................................................................................................................................</w:t>
      </w:r>
      <w:r>
        <w:rPr>
          <w:rFonts w:hint="eastAsia" w:ascii="Times New Roman" w:eastAsia="方正仿宋_GBK"/>
          <w:sz w:val="28"/>
        </w:rPr>
        <w:t>2</w:t>
      </w:r>
      <w:r>
        <w:rPr>
          <w:rFonts w:hint="eastAsia" w:eastAsia="方正仿宋_GBK"/>
          <w:sz w:val="28"/>
          <w:lang w:val="en-US" w:eastAsia="zh-CN"/>
        </w:rPr>
        <w:t>3</w:t>
      </w:r>
      <w:r>
        <w:rPr>
          <w:rFonts w:hint="eastAsia" w:ascii="Times New Roman" w:eastAsia="方正仿宋_GBK"/>
          <w:sz w:val="28"/>
        </w:rPr>
        <w:fldChar w:fldCharType="end"/>
      </w:r>
    </w:p>
    <w:p>
      <w:pPr>
        <w:pStyle w:val="3"/>
        <w:tabs>
          <w:tab w:val="right" w:leader="dot" w:pos="14789"/>
        </w:tabs>
        <w:ind w:left="420" w:leftChars="200"/>
        <w:jc w:val="center"/>
      </w:pPr>
      <w:r>
        <w:fldChar w:fldCharType="begin"/>
      </w:r>
      <w:r>
        <w:instrText xml:space="preserve"> HYPERLINK \l "_Toc65763882" </w:instrText>
      </w:r>
      <w:r>
        <w:fldChar w:fldCharType="separate"/>
      </w:r>
      <w:r>
        <w:rPr>
          <w:rStyle w:val="11"/>
          <w:rFonts w:hint="eastAsia" w:ascii="Times New Roman" w:eastAsia="方正仿宋_GBK"/>
          <w:sz w:val="28"/>
          <w:u w:val="none"/>
        </w:rPr>
        <w:t>六、</w:t>
      </w:r>
      <w:r>
        <w:rPr>
          <w:rStyle w:val="11"/>
          <w:rFonts w:hint="eastAsia" w:eastAsia="方正仿宋_GBK"/>
          <w:sz w:val="28"/>
          <w:u w:val="none"/>
          <w:lang w:eastAsia="zh-CN"/>
        </w:rPr>
        <w:t>政府采购预算</w:t>
      </w:r>
      <w:r>
        <w:rPr>
          <w:rStyle w:val="11"/>
          <w:rFonts w:hint="eastAsia" w:ascii="Times New Roman" w:eastAsia="方正仿宋_GBK"/>
          <w:sz w:val="28"/>
          <w:u w:val="none"/>
        </w:rPr>
        <w:t>情况</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_Toc65763882 \h </w:instrText>
      </w:r>
      <w:r>
        <w:rPr>
          <w:rFonts w:ascii="Times New Roman" w:eastAsia="方正仿宋_GBK"/>
          <w:sz w:val="28"/>
        </w:rPr>
        <w:fldChar w:fldCharType="separate"/>
      </w:r>
      <w:r>
        <w:rPr>
          <w:rFonts w:hint="eastAsia" w:ascii="Times New Roman" w:eastAsia="方正仿宋_GBK"/>
          <w:sz w:val="28"/>
        </w:rPr>
        <w:t>3</w:t>
      </w:r>
      <w:r>
        <w:rPr>
          <w:rFonts w:ascii="Times New Roman" w:eastAsia="方正仿宋_GBK"/>
          <w:sz w:val="28"/>
        </w:rPr>
        <w:t>7</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"_Toc65763882" </w:instrText>
      </w:r>
      <w:r>
        <w:fldChar w:fldCharType="separate"/>
      </w:r>
      <w:r>
        <w:rPr>
          <w:rStyle w:val="11"/>
          <w:rFonts w:hint="eastAsia" w:ascii="Times New Roman" w:eastAsia="方正仿宋_GBK"/>
          <w:sz w:val="28"/>
          <w:u w:val="none"/>
          <w:lang w:eastAsia="zh-CN"/>
        </w:rPr>
        <w:t>七</w:t>
      </w:r>
      <w:r>
        <w:rPr>
          <w:rStyle w:val="11"/>
          <w:rFonts w:hint="eastAsia" w:ascii="Times New Roman" w:eastAsia="方正仿宋_GBK"/>
          <w:sz w:val="28"/>
          <w:u w:val="none"/>
        </w:rPr>
        <w:t>、</w:t>
      </w:r>
      <w:r>
        <w:rPr>
          <w:rStyle w:val="11"/>
          <w:rFonts w:hint="eastAsia" w:eastAsia="方正仿宋_GBK"/>
          <w:sz w:val="28"/>
          <w:u w:val="none"/>
          <w:lang w:eastAsia="zh-CN"/>
        </w:rPr>
        <w:t>国有资产信息</w:t>
      </w:r>
      <w:r>
        <w:rPr>
          <w:rStyle w:val="11"/>
          <w:rFonts w:hint="eastAsia"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_Toc65763882 \h </w:instrText>
      </w:r>
      <w:r>
        <w:rPr>
          <w:rFonts w:ascii="Times New Roman" w:eastAsia="方正仿宋_GBK"/>
          <w:sz w:val="28"/>
        </w:rPr>
        <w:fldChar w:fldCharType="separate"/>
      </w:r>
      <w:r>
        <w:rPr>
          <w:rFonts w:hint="eastAsia" w:ascii="Times New Roman" w:eastAsia="方正仿宋_GBK"/>
          <w:sz w:val="28"/>
        </w:rPr>
        <w:t>3</w:t>
      </w:r>
      <w:r>
        <w:rPr>
          <w:rFonts w:hint="eastAsia" w:eastAsia="方正仿宋_GBK"/>
          <w:sz w:val="28"/>
          <w:lang w:val="en-US" w:eastAsia="zh-CN"/>
        </w:rPr>
        <w:t>8</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"_Toc65763883" </w:instrText>
      </w:r>
      <w:r>
        <w:fldChar w:fldCharType="separate"/>
      </w:r>
      <w:r>
        <w:rPr>
          <w:rStyle w:val="11"/>
          <w:rFonts w:hint="eastAsia" w:ascii="Times New Roman" w:hAnsi="黑体" w:eastAsia="方正仿宋_GBK"/>
          <w:sz w:val="28"/>
          <w:u w:val="none"/>
          <w:lang w:eastAsia="zh-CN"/>
        </w:rPr>
        <w:t>八</w:t>
      </w:r>
      <w:r>
        <w:rPr>
          <w:rStyle w:val="11"/>
          <w:rFonts w:hint="eastAsia" w:ascii="Times New Roman" w:hAnsi="黑体" w:eastAsia="方正仿宋_GBK"/>
          <w:sz w:val="28"/>
          <w:u w:val="none"/>
        </w:rPr>
        <w:t>、</w:t>
      </w:r>
      <w:r>
        <w:rPr>
          <w:rStyle w:val="11"/>
          <w:rFonts w:hint="eastAsia" w:hAnsi="黑体" w:eastAsia="方正仿宋_GBK"/>
          <w:sz w:val="28"/>
          <w:u w:val="none"/>
          <w:lang w:eastAsia="zh-CN"/>
        </w:rPr>
        <w:t>名词解释</w:t>
      </w:r>
      <w:r>
        <w:rPr>
          <w:rStyle w:val="11"/>
          <w:rFonts w:hint="eastAsia" w:hAnsi="黑体"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_Toc65763883 \h </w:instrText>
      </w:r>
      <w:r>
        <w:rPr>
          <w:rFonts w:ascii="Times New Roman" w:eastAsia="方正仿宋_GBK"/>
          <w:sz w:val="28"/>
        </w:rPr>
        <w:fldChar w:fldCharType="separate"/>
      </w:r>
      <w:r>
        <w:rPr>
          <w:rFonts w:hint="eastAsia" w:ascii="Times New Roman" w:eastAsia="方正仿宋_GBK"/>
          <w:sz w:val="28"/>
        </w:rPr>
        <w:t>3</w:t>
      </w:r>
      <w:r>
        <w:rPr>
          <w:rFonts w:hint="eastAsia" w:eastAsia="方正仿宋_GBK"/>
          <w:sz w:val="28"/>
          <w:lang w:val="en-US" w:eastAsia="zh-CN"/>
        </w:rPr>
        <w:t>9</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rPr>
          <w:rFonts w:ascii="Times New Roman" w:eastAsia="方正仿宋_GBK"/>
          <w:sz w:val="28"/>
        </w:rPr>
      </w:pPr>
      <w:r>
        <w:fldChar w:fldCharType="begin"/>
      </w:r>
      <w:r>
        <w:instrText xml:space="preserve"> HYPERLINK \l "_Toc65763884" </w:instrText>
      </w:r>
      <w:r>
        <w:fldChar w:fldCharType="separate"/>
      </w:r>
      <w:r>
        <w:rPr>
          <w:rStyle w:val="11"/>
          <w:rFonts w:hint="eastAsia" w:ascii="Times New Roman" w:hAnsi="黑体" w:eastAsia="方正仿宋_GBK"/>
          <w:sz w:val="28"/>
          <w:u w:val="none"/>
          <w:lang w:eastAsia="zh-CN"/>
        </w:rPr>
        <w:t>九</w:t>
      </w:r>
      <w:r>
        <w:rPr>
          <w:rStyle w:val="11"/>
          <w:rFonts w:hint="eastAsia" w:ascii="Times New Roman" w:hAnsi="黑体" w:eastAsia="方正仿宋_GBK"/>
          <w:sz w:val="28"/>
          <w:u w:val="none"/>
        </w:rPr>
        <w:t>、</w:t>
      </w:r>
      <w:r>
        <w:rPr>
          <w:rStyle w:val="11"/>
          <w:rFonts w:hint="eastAsia" w:hAnsi="黑体" w:eastAsia="方正仿宋_GBK"/>
          <w:sz w:val="28"/>
          <w:u w:val="none"/>
          <w:lang w:eastAsia="zh-CN"/>
        </w:rPr>
        <w:t>项目绩效申报情况</w:t>
      </w:r>
      <w:r>
        <w:rPr>
          <w:rStyle w:val="11"/>
          <w:rFonts w:hint="eastAsia" w:hAnsi="黑体" w:eastAsia="方正仿宋_GBK"/>
          <w:sz w:val="28"/>
          <w:u w:val="none"/>
          <w:lang w:val="en-US" w:eastAsia="zh-CN"/>
        </w:rPr>
        <w:t>.......................................................................................................................................................</w:t>
      </w:r>
      <w:r>
        <w:rPr>
          <w:rFonts w:ascii="Times New Roman" w:eastAsia="方正仿宋_GBK"/>
          <w:sz w:val="28"/>
        </w:rPr>
        <w:fldChar w:fldCharType="begin"/>
      </w:r>
      <w:r>
        <w:rPr>
          <w:rFonts w:ascii="Times New Roman" w:eastAsia="方正仿宋_GBK"/>
          <w:sz w:val="28"/>
        </w:rPr>
        <w:instrText xml:space="preserve"> PAGEREF _Toc65763884 \h </w:instrText>
      </w:r>
      <w:r>
        <w:rPr>
          <w:rFonts w:ascii="Times New Roman" w:eastAsia="方正仿宋_GBK"/>
          <w:sz w:val="28"/>
        </w:rPr>
        <w:fldChar w:fldCharType="separate"/>
      </w:r>
      <w:r>
        <w:rPr>
          <w:rFonts w:hint="eastAsia" w:ascii="Times New Roman" w:eastAsia="方正仿宋_GBK"/>
          <w:sz w:val="28"/>
        </w:rPr>
        <w:t>3</w:t>
      </w:r>
      <w:r>
        <w:rPr>
          <w:rFonts w:hint="eastAsia" w:eastAsia="方正仿宋_GBK"/>
          <w:sz w:val="28"/>
          <w:lang w:val="en-US" w:eastAsia="zh-CN"/>
        </w:rPr>
        <w:t>9</w:t>
      </w:r>
      <w:r>
        <w:rPr>
          <w:rFonts w:ascii="Times New Roman" w:eastAsia="方正仿宋_GBK"/>
          <w:sz w:val="28"/>
        </w:rPr>
        <w:fldChar w:fldCharType="end"/>
      </w:r>
      <w:r>
        <w:rPr>
          <w:rFonts w:ascii="Times New Roman" w:eastAsia="方正仿宋_GBK"/>
          <w:sz w:val="28"/>
        </w:rPr>
        <w:fldChar w:fldCharType="end"/>
      </w:r>
    </w:p>
    <w:p>
      <w:pPr>
        <w:pStyle w:val="3"/>
        <w:tabs>
          <w:tab w:val="right" w:leader="dot" w:pos="14789"/>
        </w:tabs>
        <w:ind w:left="420" w:leftChars="200"/>
        <w:jc w:val="center"/>
        <w:rPr>
          <w:rFonts w:hint="eastAsia" w:ascii="Times New Roman" w:eastAsia="方正仿宋_GBK"/>
          <w:sz w:val="28"/>
          <w:lang w:val="en-US" w:eastAsia="zh-CN"/>
        </w:rPr>
      </w:pPr>
      <w:r>
        <w:fldChar w:fldCharType="begin"/>
      </w:r>
      <w:r>
        <w:instrText xml:space="preserve"> HYPERLINK \l "_Toc65763885" </w:instrText>
      </w:r>
      <w:r>
        <w:fldChar w:fldCharType="separate"/>
      </w:r>
      <w:r>
        <w:rPr>
          <w:rStyle w:val="11"/>
          <w:rFonts w:hint="eastAsia" w:ascii="Times New Roman" w:hAnsi="黑体" w:eastAsia="方正仿宋_GBK"/>
          <w:sz w:val="28"/>
          <w:u w:val="none"/>
          <w:lang w:eastAsia="zh-CN"/>
        </w:rPr>
        <w:t>十</w:t>
      </w:r>
      <w:r>
        <w:rPr>
          <w:rStyle w:val="11"/>
          <w:rFonts w:hint="eastAsia" w:ascii="Times New Roman" w:hAnsi="黑体" w:eastAsia="方正仿宋_GBK"/>
          <w:sz w:val="28"/>
          <w:u w:val="none"/>
        </w:rPr>
        <w:t>、其他需要说明的事项</w:t>
      </w:r>
      <w:r>
        <w:rPr>
          <w:rStyle w:val="11"/>
          <w:rFonts w:hint="eastAsia" w:hAnsi="黑体" w:eastAsia="方正仿宋_GBK"/>
          <w:sz w:val="28"/>
          <w:u w:val="none"/>
          <w:lang w:val="en-US" w:eastAsia="zh-CN"/>
        </w:rPr>
        <w:t>..................................................................................................................................................</w:t>
      </w:r>
      <w:r>
        <w:rPr>
          <w:rFonts w:hint="eastAsia" w:eastAsia="方正仿宋_GBK"/>
          <w:sz w:val="28"/>
          <w:lang w:val="en-US" w:eastAsia="zh-CN"/>
        </w:rPr>
        <w:t>4</w:t>
      </w:r>
      <w:r>
        <w:rPr>
          <w:rFonts w:ascii="Times New Roman" w:eastAsia="方正仿宋_GBK"/>
          <w:sz w:val="28"/>
        </w:rPr>
        <w:fldChar w:fldCharType="end"/>
      </w:r>
      <w:r>
        <w:rPr>
          <w:rFonts w:hint="eastAsia" w:eastAsia="方正仿宋_GBK"/>
          <w:sz w:val="28"/>
          <w:lang w:val="en-US" w:eastAsia="zh-CN"/>
        </w:rPr>
        <w:t>2</w:t>
      </w:r>
    </w:p>
    <w:p>
      <w:pPr>
        <w:autoSpaceDE w:val="0"/>
        <w:autoSpaceDN w:val="0"/>
        <w:adjustRightInd w:val="0"/>
        <w:ind w:firstLine="560" w:firstLineChars="200"/>
        <w:jc w:val="left"/>
        <w:rPr>
          <w:rFonts w:ascii="仿宋_GB2312" w:hAnsi="仿宋_GB2312"/>
          <w:sz w:val="30"/>
          <w:szCs w:val="30"/>
        </w:rPr>
      </w:pPr>
      <w:r>
        <w:rPr>
          <w:rFonts w:ascii="Times New Roman" w:eastAsia="方正仿宋_GBK"/>
          <w:sz w:val="28"/>
        </w:rPr>
        <w:fldChar w:fldCharType="end"/>
      </w: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pStyle w:val="2"/>
        <w:rPr>
          <w:rFonts w:ascii="仿宋_GB2312" w:hAnsi="仿宋_GB2312"/>
          <w:sz w:val="30"/>
          <w:szCs w:val="30"/>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rPr>
          <w:rFonts w:ascii="仿宋_GB2312" w:hAnsi="仿宋_GB2312"/>
          <w:sz w:val="30"/>
          <w:szCs w:val="30"/>
        </w:rPr>
      </w:pPr>
    </w:p>
    <w:p>
      <w:pPr>
        <w:pStyle w:val="2"/>
        <w:rPr>
          <w:rFonts w:ascii="仿宋_GB2312" w:hAnsi="仿宋_GB2312"/>
          <w:sz w:val="30"/>
          <w:szCs w:val="30"/>
        </w:rPr>
      </w:pPr>
    </w:p>
    <w:p>
      <w:pPr>
        <w:autoSpaceDE w:val="0"/>
        <w:autoSpaceDN w:val="0"/>
        <w:adjustRightInd w:val="0"/>
        <w:ind w:firstLine="1440" w:firstLineChars="200"/>
        <w:jc w:val="center"/>
        <w:rPr>
          <w:rFonts w:hint="eastAsia" w:ascii="仿宋_GB2312" w:hAnsi="仿宋_GB2312" w:eastAsia="宋体"/>
          <w:sz w:val="30"/>
          <w:szCs w:val="30"/>
          <w:lang w:eastAsia="zh-CN"/>
        </w:rPr>
      </w:pPr>
      <w:r>
        <w:rPr>
          <w:rFonts w:hint="eastAsia" w:ascii="方正小标宋_GBK" w:hAnsi="方正小标宋_GBK" w:cs="方正小标宋_GBK"/>
          <w:color w:val="000000"/>
          <w:sz w:val="72"/>
          <w:lang w:eastAsia="zh-CN"/>
        </w:rPr>
        <w:t>预算公开表</w:t>
      </w: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pStyle w:val="2"/>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p>
      <w:pPr>
        <w:autoSpaceDE w:val="0"/>
        <w:autoSpaceDN w:val="0"/>
        <w:adjustRightInd w:val="0"/>
        <w:ind w:firstLine="600" w:firstLineChars="200"/>
        <w:jc w:val="left"/>
        <w:rPr>
          <w:rFonts w:ascii="仿宋_GB2312" w:hAnsi="仿宋_GB2312"/>
          <w:sz w:val="30"/>
          <w:szCs w:val="30"/>
        </w:rPr>
      </w:pPr>
    </w:p>
    <w:tbl>
      <w:tblPr>
        <w:tblStyle w:val="9"/>
        <w:tblW w:w="5000" w:type="pct"/>
        <w:tblInd w:w="0" w:type="dxa"/>
        <w:tblLayout w:type="autofit"/>
        <w:tblCellMar>
          <w:top w:w="0" w:type="dxa"/>
          <w:left w:w="108" w:type="dxa"/>
          <w:bottom w:w="0" w:type="dxa"/>
          <w:right w:w="108" w:type="dxa"/>
        </w:tblCellMar>
      </w:tblPr>
      <w:tblGrid>
        <w:gridCol w:w="1142"/>
        <w:gridCol w:w="3597"/>
        <w:gridCol w:w="3597"/>
        <w:gridCol w:w="4162"/>
        <w:gridCol w:w="1676"/>
      </w:tblGrid>
      <w:tr>
        <w:tblPrEx>
          <w:tblCellMar>
            <w:top w:w="0" w:type="dxa"/>
            <w:left w:w="108" w:type="dxa"/>
            <w:bottom w:w="0" w:type="dxa"/>
            <w:right w:w="108" w:type="dxa"/>
          </w:tblCellMar>
        </w:tblPrEx>
        <w:trPr>
          <w:trHeight w:val="552" w:hRule="atLeast"/>
        </w:trPr>
        <w:tc>
          <w:tcPr>
            <w:tcW w:w="5000" w:type="pct"/>
            <w:gridSpan w:val="5"/>
            <w:tcBorders>
              <w:top w:val="nil"/>
              <w:left w:val="nil"/>
              <w:bottom w:val="nil"/>
              <w:right w:val="nil"/>
            </w:tcBorders>
            <w:shd w:val="clear" w:color="auto" w:fill="FFFFFF"/>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单位预算收支总表</w:t>
            </w:r>
          </w:p>
        </w:tc>
      </w:tr>
      <w:tr>
        <w:tblPrEx>
          <w:tblCellMar>
            <w:top w:w="0" w:type="dxa"/>
            <w:left w:w="108" w:type="dxa"/>
            <w:bottom w:w="0" w:type="dxa"/>
            <w:right w:w="108" w:type="dxa"/>
          </w:tblCellMar>
        </w:tblPrEx>
        <w:trPr>
          <w:trHeight w:val="288" w:hRule="atLeast"/>
        </w:trPr>
        <w:tc>
          <w:tcPr>
            <w:tcW w:w="2940" w:type="pct"/>
            <w:gridSpan w:val="3"/>
            <w:tcBorders>
              <w:top w:val="nil"/>
              <w:left w:val="nil"/>
              <w:bottom w:val="nil"/>
              <w:right w:val="nil"/>
            </w:tcBorders>
            <w:shd w:val="clear" w:color="auto"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预算单位编码及名称：[303002]乐亭县发展和改革局</w:t>
            </w:r>
          </w:p>
        </w:tc>
        <w:tc>
          <w:tcPr>
            <w:tcW w:w="1468" w:type="pct"/>
            <w:tcBorders>
              <w:top w:val="nil"/>
              <w:left w:val="nil"/>
              <w:bottom w:val="nil"/>
              <w:right w:val="nil"/>
            </w:tcBorders>
            <w:shd w:val="clear" w:color="auto"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592" w:type="pct"/>
            <w:tcBorders>
              <w:top w:val="nil"/>
              <w:left w:val="nil"/>
              <w:bottom w:val="nil"/>
              <w:right w:val="nil"/>
            </w:tcBorders>
            <w:shd w:val="clear" w:color="auto" w:fill="FFFFFF"/>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5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收入</w:t>
            </w:r>
          </w:p>
        </w:tc>
        <w:tc>
          <w:tcPr>
            <w:tcW w:w="206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88" w:hRule="atLeast"/>
        </w:trPr>
        <w:tc>
          <w:tcPr>
            <w:tcW w:w="4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预算数</w:t>
            </w:r>
          </w:p>
        </w:tc>
        <w:tc>
          <w:tcPr>
            <w:tcW w:w="14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一、一般公共预算拨款收入</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14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二、政府性基金预算拨款收入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三、国有资本经营预算拨款收入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四、财政专户管理资金收入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五、事业收入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六、事业单位经营收入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七、上级补助收入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八、附属单位上缴收入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九、其他收入</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九、社会保险基金支出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十、卫生健康支出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十一、节能环保支出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十二、城乡社区支出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十三、农林水支出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十四、交通运输支出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十五、资源勘探工业信息等支出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十六、商业服务业等支出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十七、金融支出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十八、援助其他地区支出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十九、自然资源海洋气象等支出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二十、住房保障支出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二十一、粮油物资储备支出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二十二、国有资本经营预算支出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二十三、灾害防治及应急管理支出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二十四、预备费</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二十五、其他支出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二十六、转移性支出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二十七、债务还本支出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二十八、债务付息支出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二十九、债务发行费用支出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三十、抗疫特别国债安排的支出</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上年结转结余</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年终结转结余</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收入总计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1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支出总计</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r>
    </w:tbl>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9"/>
        <w:tblpPr w:leftFromText="180" w:rightFromText="180" w:vertAnchor="text" w:horzAnchor="page" w:tblpX="1761" w:tblpY="309"/>
        <w:tblOverlap w:val="never"/>
        <w:tblW w:w="5103" w:type="pct"/>
        <w:tblInd w:w="0" w:type="dxa"/>
        <w:tblLayout w:type="fixed"/>
        <w:tblCellMar>
          <w:top w:w="0" w:type="dxa"/>
          <w:left w:w="108" w:type="dxa"/>
          <w:bottom w:w="0" w:type="dxa"/>
          <w:right w:w="108" w:type="dxa"/>
        </w:tblCellMar>
      </w:tblPr>
      <w:tblGrid>
        <w:gridCol w:w="607"/>
        <w:gridCol w:w="1232"/>
        <w:gridCol w:w="4360"/>
        <w:gridCol w:w="1232"/>
        <w:gridCol w:w="1232"/>
        <w:gridCol w:w="1232"/>
        <w:gridCol w:w="607"/>
        <w:gridCol w:w="607"/>
        <w:gridCol w:w="619"/>
        <w:gridCol w:w="607"/>
        <w:gridCol w:w="855"/>
        <w:gridCol w:w="579"/>
        <w:gridCol w:w="697"/>
      </w:tblGrid>
      <w:tr>
        <w:tblPrEx>
          <w:tblCellMar>
            <w:top w:w="0" w:type="dxa"/>
            <w:left w:w="108" w:type="dxa"/>
            <w:bottom w:w="0" w:type="dxa"/>
            <w:right w:w="108" w:type="dxa"/>
          </w:tblCellMar>
        </w:tblPrEx>
        <w:trPr>
          <w:trHeight w:val="552" w:hRule="atLeast"/>
        </w:trPr>
        <w:tc>
          <w:tcPr>
            <w:tcW w:w="5000" w:type="pct"/>
            <w:gridSpan w:val="13"/>
            <w:tcBorders>
              <w:top w:val="nil"/>
              <w:left w:val="nil"/>
              <w:bottom w:val="nil"/>
              <w:right w:val="nil"/>
            </w:tcBorders>
            <w:shd w:val="clear" w:color="FFFFFF" w:themeColor="background1" w:fill="auto"/>
            <w:vAlign w:val="center"/>
          </w:tcPr>
          <w:p>
            <w:pPr>
              <w:widowControl/>
              <w:jc w:val="center"/>
              <w:rPr>
                <w:rFonts w:ascii="宋体" w:hAnsi="宋体" w:cs="宋体"/>
                <w:b/>
                <w:bCs/>
                <w:color w:val="auto"/>
                <w:kern w:val="0"/>
                <w:sz w:val="44"/>
                <w:szCs w:val="44"/>
                <w:shd w:val="clear" w:color="auto" w:fill="auto"/>
              </w:rPr>
            </w:pPr>
            <w:r>
              <w:rPr>
                <w:rFonts w:hint="eastAsia" w:ascii="宋体" w:hAnsi="宋体" w:cs="宋体"/>
                <w:b/>
                <w:bCs/>
                <w:color w:val="auto"/>
                <w:kern w:val="0"/>
                <w:sz w:val="44"/>
                <w:szCs w:val="44"/>
                <w:shd w:val="clear" w:color="auto" w:fill="auto"/>
              </w:rPr>
              <w:t>单位预算收入总表</w:t>
            </w:r>
          </w:p>
        </w:tc>
      </w:tr>
      <w:tr>
        <w:tblPrEx>
          <w:tblCellMar>
            <w:top w:w="0" w:type="dxa"/>
            <w:left w:w="108" w:type="dxa"/>
            <w:bottom w:w="0" w:type="dxa"/>
            <w:right w:w="108" w:type="dxa"/>
          </w:tblCellMar>
        </w:tblPrEx>
        <w:trPr>
          <w:trHeight w:val="288" w:hRule="atLeast"/>
        </w:trPr>
        <w:tc>
          <w:tcPr>
            <w:tcW w:w="4053" w:type="pct"/>
            <w:gridSpan w:val="9"/>
            <w:tcBorders>
              <w:top w:val="nil"/>
              <w:left w:val="nil"/>
              <w:bottom w:val="nil"/>
              <w:right w:val="nil"/>
            </w:tcBorders>
            <w:shd w:val="clear" w:color="FFFFFF" w:themeColor="background1" w:fill="auto"/>
            <w:vAlign w:val="center"/>
          </w:tcPr>
          <w:p>
            <w:pPr>
              <w:widowControl/>
              <w:jc w:val="lef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预算单位编码及名称：[303002]乐亭县发展和改革局</w:t>
            </w:r>
          </w:p>
        </w:tc>
        <w:tc>
          <w:tcPr>
            <w:tcW w:w="505" w:type="pct"/>
            <w:gridSpan w:val="2"/>
            <w:tcBorders>
              <w:top w:val="nil"/>
              <w:left w:val="nil"/>
              <w:bottom w:val="nil"/>
              <w:right w:val="nil"/>
            </w:tcBorders>
            <w:shd w:val="clear" w:color="FFFFFF" w:themeColor="background1" w:fill="auto"/>
            <w:vAlign w:val="center"/>
          </w:tcPr>
          <w:p>
            <w:pPr>
              <w:widowControl/>
              <w:jc w:val="righ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预算年度：2021</w:t>
            </w:r>
          </w:p>
        </w:tc>
        <w:tc>
          <w:tcPr>
            <w:tcW w:w="440" w:type="pct"/>
            <w:gridSpan w:val="2"/>
            <w:tcBorders>
              <w:top w:val="nil"/>
              <w:left w:val="nil"/>
              <w:bottom w:val="nil"/>
              <w:right w:val="nil"/>
            </w:tcBorders>
            <w:shd w:val="clear" w:color="FFFFFF" w:themeColor="background1" w:fill="auto"/>
            <w:vAlign w:val="center"/>
          </w:tcPr>
          <w:p>
            <w:pPr>
              <w:widowControl/>
              <w:jc w:val="righ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金额单位：万元</w:t>
            </w:r>
          </w:p>
        </w:tc>
      </w:tr>
      <w:tr>
        <w:tblPrEx>
          <w:tblCellMar>
            <w:top w:w="0" w:type="dxa"/>
            <w:left w:w="108" w:type="dxa"/>
            <w:bottom w:w="0" w:type="dxa"/>
            <w:right w:w="108" w:type="dxa"/>
          </w:tblCellMar>
        </w:tblPrEx>
        <w:trPr>
          <w:trHeight w:val="288" w:hRule="atLeast"/>
        </w:trPr>
        <w:tc>
          <w:tcPr>
            <w:tcW w:w="209"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序号</w:t>
            </w:r>
          </w:p>
        </w:tc>
        <w:tc>
          <w:tcPr>
            <w:tcW w:w="1932"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功能分类科目</w:t>
            </w:r>
          </w:p>
        </w:tc>
        <w:tc>
          <w:tcPr>
            <w:tcW w:w="425"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合计</w:t>
            </w:r>
          </w:p>
        </w:tc>
        <w:tc>
          <w:tcPr>
            <w:tcW w:w="2190" w:type="pct"/>
            <w:gridSpan w:val="8"/>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本年收入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上年结转</w:t>
            </w:r>
          </w:p>
        </w:tc>
      </w:tr>
      <w:tr>
        <w:tblPrEx>
          <w:tblCellMar>
            <w:top w:w="0" w:type="dxa"/>
            <w:left w:w="108" w:type="dxa"/>
            <w:bottom w:w="0" w:type="dxa"/>
            <w:right w:w="108" w:type="dxa"/>
          </w:tblCellMar>
        </w:tblPrEx>
        <w:trPr>
          <w:trHeight w:val="1224" w:hRule="atLeast"/>
        </w:trPr>
        <w:tc>
          <w:tcPr>
            <w:tcW w:w="209"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auto"/>
                <w:kern w:val="0"/>
                <w:sz w:val="18"/>
                <w:szCs w:val="18"/>
                <w:shd w:val="clear" w:color="auto" w:fill="auto"/>
              </w:rPr>
            </w:pP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科目编码</w:t>
            </w:r>
          </w:p>
        </w:tc>
        <w:tc>
          <w:tcPr>
            <w:tcW w:w="15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科目名称</w:t>
            </w:r>
          </w:p>
        </w:tc>
        <w:tc>
          <w:tcPr>
            <w:tcW w:w="425"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auto"/>
                <w:kern w:val="0"/>
                <w:sz w:val="18"/>
                <w:szCs w:val="18"/>
                <w:shd w:val="clear" w:color="auto" w:fill="auto"/>
              </w:rPr>
            </w:pP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小计</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财政拨款收入</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财政专户收入</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事业收入</w:t>
            </w:r>
          </w:p>
        </w:tc>
        <w:tc>
          <w:tcPr>
            <w:tcW w:w="21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经营收入</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上级补助收入</w:t>
            </w:r>
          </w:p>
        </w:tc>
        <w:tc>
          <w:tcPr>
            <w:tcW w:w="29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附属单位上缴收入</w:t>
            </w:r>
          </w:p>
        </w:tc>
        <w:tc>
          <w:tcPr>
            <w:tcW w:w="200"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其他收入</w:t>
            </w:r>
          </w:p>
        </w:tc>
        <w:tc>
          <w:tcPr>
            <w:tcW w:w="240"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auto"/>
                <w:kern w:val="0"/>
                <w:sz w:val="18"/>
                <w:szCs w:val="18"/>
                <w:shd w:val="clear" w:color="auto" w:fill="auto"/>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栏次</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w:t>
            </w:r>
          </w:p>
        </w:tc>
        <w:tc>
          <w:tcPr>
            <w:tcW w:w="15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2</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3</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4</w:t>
            </w:r>
          </w:p>
        </w:tc>
        <w:tc>
          <w:tcPr>
            <w:tcW w:w="42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5</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6</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7</w:t>
            </w:r>
          </w:p>
        </w:tc>
        <w:tc>
          <w:tcPr>
            <w:tcW w:w="21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8</w:t>
            </w:r>
          </w:p>
        </w:tc>
        <w:tc>
          <w:tcPr>
            <w:tcW w:w="20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9</w:t>
            </w:r>
          </w:p>
        </w:tc>
        <w:tc>
          <w:tcPr>
            <w:tcW w:w="29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10</w:t>
            </w:r>
          </w:p>
        </w:tc>
        <w:tc>
          <w:tcPr>
            <w:tcW w:w="2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11</w:t>
            </w:r>
          </w:p>
        </w:tc>
        <w:tc>
          <w:tcPr>
            <w:tcW w:w="240" w:type="pct"/>
            <w:tcBorders>
              <w:top w:val="nil"/>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12</w:t>
            </w: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rPr>
            </w:pP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合计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1344.74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1344.74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1344.74</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auto"/>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发展与改革事务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2010408</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物价管理</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2010499</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其他发展与改革事务支出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2101103</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粮油物资储备支出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粮油事务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2220112</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粮食财务挂账利息补贴</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2220199</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其他粮油事务支出</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粮油储备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2220401</w:t>
            </w:r>
          </w:p>
        </w:tc>
        <w:tc>
          <w:tcPr>
            <w:tcW w:w="1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储备粮油补贴</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1144"/>
        <w:gridCol w:w="1144"/>
        <w:gridCol w:w="3498"/>
        <w:gridCol w:w="1398"/>
        <w:gridCol w:w="1398"/>
        <w:gridCol w:w="1398"/>
        <w:gridCol w:w="1398"/>
        <w:gridCol w:w="1398"/>
        <w:gridCol w:w="1398"/>
      </w:tblGrid>
      <w:tr>
        <w:tblPrEx>
          <w:tblCellMar>
            <w:top w:w="0" w:type="dxa"/>
            <w:left w:w="108" w:type="dxa"/>
            <w:bottom w:w="0" w:type="dxa"/>
            <w:right w:w="108" w:type="dxa"/>
          </w:tblCellMar>
        </w:tblPrEx>
        <w:trPr>
          <w:trHeight w:val="528" w:hRule="atLeast"/>
        </w:trPr>
        <w:tc>
          <w:tcPr>
            <w:tcW w:w="5000" w:type="pct"/>
            <w:gridSpan w:val="9"/>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单位预算支出总表</w:t>
            </w:r>
          </w:p>
        </w:tc>
      </w:tr>
      <w:tr>
        <w:tblPrEx>
          <w:tblCellMar>
            <w:top w:w="0" w:type="dxa"/>
            <w:left w:w="108" w:type="dxa"/>
            <w:bottom w:w="0" w:type="dxa"/>
            <w:right w:w="108" w:type="dxa"/>
          </w:tblCellMar>
        </w:tblPrEx>
        <w:trPr>
          <w:trHeight w:val="288" w:hRule="atLeast"/>
        </w:trPr>
        <w:tc>
          <w:tcPr>
            <w:tcW w:w="3028" w:type="pct"/>
            <w:gridSpan w:val="5"/>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预算单位编码及名称：[303002]乐亭县发展和改革局</w:t>
            </w:r>
          </w:p>
        </w:tc>
        <w:tc>
          <w:tcPr>
            <w:tcW w:w="986" w:type="pct"/>
            <w:gridSpan w:val="2"/>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986" w:type="pct"/>
            <w:gridSpan w:val="2"/>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404" w:type="pct"/>
            <w:vMerge w:val="restart"/>
            <w:tcBorders>
              <w:top w:val="single" w:color="000000" w:sz="4" w:space="0"/>
              <w:left w:val="single" w:color="000000" w:sz="4" w:space="0"/>
              <w:bottom w:val="nil"/>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637"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支出功能分类科目</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经营支出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上缴上级支出</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对附属单位补助支出</w:t>
            </w:r>
          </w:p>
        </w:tc>
      </w:tr>
      <w:tr>
        <w:tblPrEx>
          <w:tblCellMar>
            <w:top w:w="0" w:type="dxa"/>
            <w:left w:w="108" w:type="dxa"/>
            <w:bottom w:w="0" w:type="dxa"/>
            <w:right w:w="108" w:type="dxa"/>
          </w:tblCellMar>
        </w:tblPrEx>
        <w:trPr>
          <w:trHeight w:val="288" w:hRule="atLeast"/>
        </w:trPr>
        <w:tc>
          <w:tcPr>
            <w:tcW w:w="404" w:type="pct"/>
            <w:vMerge w:val="continue"/>
            <w:tcBorders>
              <w:top w:val="single" w:color="000000" w:sz="4" w:space="0"/>
              <w:left w:val="single" w:color="000000" w:sz="4" w:space="0"/>
              <w:bottom w:val="nil"/>
              <w:right w:val="nil"/>
            </w:tcBorders>
            <w:shd w:val="clear" w:color="FFFFFF" w:themeColor="background1" w:fill="auto"/>
            <w:vAlign w:val="center"/>
          </w:tcPr>
          <w:p>
            <w:pPr>
              <w:widowControl/>
              <w:jc w:val="left"/>
              <w:rPr>
                <w:rFonts w:ascii="宋体" w:hAnsi="宋体" w:cs="宋体"/>
                <w:color w:val="000000"/>
                <w:kern w:val="0"/>
                <w:sz w:val="18"/>
                <w:szCs w:val="18"/>
              </w:rPr>
            </w:pPr>
          </w:p>
        </w:tc>
        <w:tc>
          <w:tcPr>
            <w:tcW w:w="40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12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40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763.98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580.76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0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w:t>
            </w:r>
          </w:p>
        </w:tc>
        <w:tc>
          <w:tcPr>
            <w:tcW w:w="123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发展与改革事务</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246.00</w:t>
            </w: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2010408</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物价管理</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2010499</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其他发展与改革事务支出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2101103</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粮油物资储备支出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粮油事务</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2220112</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粮食财务挂账利息补贴</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2220199</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其他粮油事务支出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粮油储备</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2220401</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储备粮油补贴</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rPr>
          <w:rFonts w:hint="eastAsia"/>
        </w:rPr>
      </w:pPr>
    </w:p>
    <w:tbl>
      <w:tblPr>
        <w:tblStyle w:val="9"/>
        <w:tblW w:w="4999" w:type="pct"/>
        <w:tblInd w:w="0" w:type="dxa"/>
        <w:tblLayout w:type="fixed"/>
        <w:tblCellMar>
          <w:top w:w="0" w:type="dxa"/>
          <w:left w:w="108" w:type="dxa"/>
          <w:bottom w:w="0" w:type="dxa"/>
          <w:right w:w="108" w:type="dxa"/>
        </w:tblCellMar>
      </w:tblPr>
      <w:tblGrid>
        <w:gridCol w:w="637"/>
        <w:gridCol w:w="2389"/>
        <w:gridCol w:w="1296"/>
        <w:gridCol w:w="3012"/>
        <w:gridCol w:w="1116"/>
        <w:gridCol w:w="1812"/>
        <w:gridCol w:w="1944"/>
        <w:gridCol w:w="1966"/>
      </w:tblGrid>
      <w:tr>
        <w:tblPrEx>
          <w:tblCellMar>
            <w:top w:w="0" w:type="dxa"/>
            <w:left w:w="108" w:type="dxa"/>
            <w:bottom w:w="0" w:type="dxa"/>
            <w:right w:w="108" w:type="dxa"/>
          </w:tblCellMar>
        </w:tblPrEx>
        <w:trPr>
          <w:trHeight w:val="552" w:hRule="atLeast"/>
        </w:trPr>
        <w:tc>
          <w:tcPr>
            <w:tcW w:w="5000" w:type="pct"/>
            <w:gridSpan w:val="8"/>
            <w:tcBorders>
              <w:top w:val="nil"/>
              <w:left w:val="nil"/>
              <w:bottom w:val="nil"/>
              <w:right w:val="nil"/>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000000"/>
                <w:kern w:val="0"/>
                <w:sz w:val="44"/>
                <w:szCs w:val="44"/>
              </w:rPr>
            </w:pPr>
            <w:r>
              <w:rPr>
                <w:rFonts w:hint="eastAsia" w:ascii="宋体" w:hAnsi="宋体" w:cs="宋体"/>
                <w:b/>
                <w:bCs/>
                <w:color w:val="000000"/>
                <w:kern w:val="0"/>
                <w:sz w:val="44"/>
                <w:szCs w:val="44"/>
              </w:rPr>
              <w:t>单位预算财政拨款收支总表</w:t>
            </w:r>
          </w:p>
        </w:tc>
      </w:tr>
      <w:tr>
        <w:tblPrEx>
          <w:tblCellMar>
            <w:top w:w="0" w:type="dxa"/>
            <w:left w:w="108" w:type="dxa"/>
            <w:bottom w:w="0" w:type="dxa"/>
            <w:right w:w="108" w:type="dxa"/>
          </w:tblCellMar>
        </w:tblPrEx>
        <w:trPr>
          <w:trHeight w:val="288" w:hRule="atLeast"/>
        </w:trPr>
        <w:tc>
          <w:tcPr>
            <w:tcW w:w="2587" w:type="pct"/>
            <w:gridSpan w:val="4"/>
            <w:tcBorders>
              <w:top w:val="nil"/>
              <w:left w:val="nil"/>
              <w:bottom w:val="nil"/>
              <w:right w:val="nil"/>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预算单位编码及名称：[303002]乐亭县发展和改革局　</w:t>
            </w:r>
          </w:p>
        </w:tc>
        <w:tc>
          <w:tcPr>
            <w:tcW w:w="1033" w:type="pct"/>
            <w:gridSpan w:val="2"/>
            <w:tcBorders>
              <w:top w:val="nil"/>
              <w:left w:val="nil"/>
              <w:bottom w:val="nil"/>
              <w:right w:val="nil"/>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1379" w:type="pct"/>
            <w:gridSpan w:val="2"/>
            <w:tcBorders>
              <w:top w:val="nil"/>
              <w:left w:val="nil"/>
              <w:bottom w:val="nil"/>
              <w:right w:val="nil"/>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224"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序号</w:t>
            </w:r>
          </w:p>
        </w:tc>
        <w:tc>
          <w:tcPr>
            <w:tcW w:w="1300"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收入</w:t>
            </w:r>
          </w:p>
        </w:tc>
        <w:tc>
          <w:tcPr>
            <w:tcW w:w="3475"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648" w:hRule="atLeast"/>
        </w:trPr>
        <w:tc>
          <w:tcPr>
            <w:tcW w:w="224"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    目</w:t>
            </w:r>
          </w:p>
        </w:tc>
        <w:tc>
          <w:tcPr>
            <w:tcW w:w="45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金额</w:t>
            </w:r>
          </w:p>
        </w:tc>
        <w:tc>
          <w:tcPr>
            <w:tcW w:w="106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    目</w:t>
            </w:r>
          </w:p>
        </w:tc>
        <w:tc>
          <w:tcPr>
            <w:tcW w:w="3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合计</w:t>
            </w:r>
          </w:p>
        </w:tc>
        <w:tc>
          <w:tcPr>
            <w:tcW w:w="63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一般公共预算财政拨款</w:t>
            </w:r>
          </w:p>
        </w:tc>
        <w:tc>
          <w:tcPr>
            <w:tcW w:w="68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政府性基金预算财政拨款</w:t>
            </w:r>
          </w:p>
        </w:tc>
        <w:tc>
          <w:tcPr>
            <w:tcW w:w="6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国有资本经营预算财政拨款</w:t>
            </w: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栏次</w:t>
            </w:r>
          </w:p>
        </w:tc>
        <w:tc>
          <w:tcPr>
            <w:tcW w:w="84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45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06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3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w:t>
            </w:r>
          </w:p>
        </w:tc>
        <w:tc>
          <w:tcPr>
            <w:tcW w:w="63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68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69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一、一般公共预算拨款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773.62</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773.62</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二、政府性基金预算拨款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三、国有资本经营预算拨款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302"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42"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12</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87.41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87.41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14</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九、社会保险基金支出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十、卫生健康支出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95.79</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95.79</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十一、节能环保支出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十二、城乡社区支出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十三、农林水支出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十四、交通运输支出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十五、资源勘探工业信息等支出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十六、商业服务业等支出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22</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十七、金融支出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十八、援助其他地区支出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24</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十九、自然资源海洋气象等支出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二十、住房保障支出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53.16</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53.16</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二十一、粮油物资储备支出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334.76</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334.76</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二十二、国有资本经营预算支出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二十三、灾害防治及应急管理支出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二十四、预备费</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二十五、其他支出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二十六、转移性支出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32</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二十七、债务还本支出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二十八、债务付息支出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34</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二十九、债务发行费用支出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35</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三十、抗疫特别国债安排的支出</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36</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37</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年初财政拨款结转和结余</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年末财政拨款结转和结余</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38</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一、一般公共预算拨款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39</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二、政府性基金预算拨款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三、国有资本经营预算拨款</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41</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收入总计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18"/>
                <w:szCs w:val="18"/>
              </w:rPr>
            </w:pPr>
            <w:r>
              <w:rPr>
                <w:rFonts w:hint="eastAsia" w:ascii="宋体" w:hAnsi="宋体" w:cs="宋体"/>
                <w:color w:val="000000"/>
                <w:kern w:val="0"/>
                <w:sz w:val="18"/>
                <w:szCs w:val="18"/>
              </w:rPr>
              <w:t>支出总计</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r>
              <w:rPr>
                <w:rFonts w:hint="eastAsia" w:ascii="宋体" w:hAnsi="宋体" w:cs="宋体"/>
                <w:color w:val="000000"/>
                <w:kern w:val="0"/>
                <w:sz w:val="18"/>
                <w:szCs w:val="18"/>
              </w:rPr>
              <w:t>1344.74</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1241"/>
        <w:gridCol w:w="1242"/>
        <w:gridCol w:w="3955"/>
        <w:gridCol w:w="1562"/>
        <w:gridCol w:w="1562"/>
        <w:gridCol w:w="1562"/>
        <w:gridCol w:w="1227"/>
        <w:gridCol w:w="1823"/>
      </w:tblGrid>
      <w:tr>
        <w:tblPrEx>
          <w:tblCellMar>
            <w:top w:w="0" w:type="dxa"/>
            <w:left w:w="108" w:type="dxa"/>
            <w:bottom w:w="0" w:type="dxa"/>
            <w:right w:w="108" w:type="dxa"/>
          </w:tblCellMar>
        </w:tblPrEx>
        <w:trPr>
          <w:trHeight w:val="552" w:hRule="atLeast"/>
        </w:trPr>
        <w:tc>
          <w:tcPr>
            <w:tcW w:w="5000" w:type="pct"/>
            <w:gridSpan w:val="8"/>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单位预算一般公共预算财政拨款支出表</w:t>
            </w:r>
          </w:p>
        </w:tc>
      </w:tr>
      <w:tr>
        <w:tblPrEx>
          <w:tblCellMar>
            <w:top w:w="0" w:type="dxa"/>
            <w:left w:w="108" w:type="dxa"/>
            <w:bottom w:w="0" w:type="dxa"/>
            <w:right w:w="108" w:type="dxa"/>
          </w:tblCellMar>
        </w:tblPrEx>
        <w:trPr>
          <w:trHeight w:val="288" w:hRule="atLeast"/>
        </w:trPr>
        <w:tc>
          <w:tcPr>
            <w:tcW w:w="3373" w:type="pct"/>
            <w:gridSpan w:val="5"/>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预算单位编码及名称：[303002]乐亭县发展和改革局</w:t>
            </w:r>
          </w:p>
        </w:tc>
        <w:tc>
          <w:tcPr>
            <w:tcW w:w="984" w:type="pct"/>
            <w:gridSpan w:val="2"/>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64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438"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32"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支出功能分类科目</w:t>
            </w:r>
          </w:p>
        </w:tc>
        <w:tc>
          <w:tcPr>
            <w:tcW w:w="551" w:type="pct"/>
            <w:vMerge w:val="restart"/>
            <w:tcBorders>
              <w:top w:val="single" w:color="000000" w:sz="4" w:space="0"/>
              <w:left w:val="single" w:color="000000" w:sz="4" w:space="0"/>
              <w:bottom w:val="nil"/>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535" w:type="pct"/>
            <w:gridSpan w:val="3"/>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64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288" w:hRule="atLeast"/>
        </w:trPr>
        <w:tc>
          <w:tcPr>
            <w:tcW w:w="438"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139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551" w:type="pct"/>
            <w:vMerge w:val="continue"/>
            <w:tcBorders>
              <w:top w:val="single" w:color="000000" w:sz="4" w:space="0"/>
              <w:left w:val="single" w:color="000000" w:sz="4" w:space="0"/>
              <w:bottom w:val="nil"/>
              <w:right w:val="nil"/>
            </w:tcBorders>
            <w:shd w:val="clear" w:color="FFFFFF" w:themeColor="background1" w:fill="auto"/>
            <w:vAlign w:val="center"/>
          </w:tcPr>
          <w:p>
            <w:pPr>
              <w:widowControl/>
              <w:jc w:val="lef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w:t>
            </w:r>
          </w:p>
        </w:tc>
        <w:tc>
          <w:tcPr>
            <w:tcW w:w="43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w:t>
            </w:r>
          </w:p>
        </w:tc>
        <w:tc>
          <w:tcPr>
            <w:tcW w:w="64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9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51"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32"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4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38"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rPr>
                <w:rFonts w:ascii="宋体" w:hAnsi="宋体" w:cs="宋体"/>
                <w:color w:val="000000"/>
                <w:kern w:val="0"/>
                <w:sz w:val="18"/>
                <w:szCs w:val="18"/>
              </w:rPr>
            </w:pPr>
          </w:p>
        </w:tc>
        <w:tc>
          <w:tcPr>
            <w:tcW w:w="139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551"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1344.74</w:t>
            </w:r>
          </w:p>
        </w:tc>
        <w:tc>
          <w:tcPr>
            <w:tcW w:w="551"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763.98</w:t>
            </w:r>
          </w:p>
        </w:tc>
        <w:tc>
          <w:tcPr>
            <w:tcW w:w="551"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721.77</w:t>
            </w:r>
          </w:p>
        </w:tc>
        <w:tc>
          <w:tcPr>
            <w:tcW w:w="432"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643"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580.76</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485.41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发展与改革事务</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773.62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485.41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246.00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527.62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485.41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2010408</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物价管理</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26.00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2010499</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其他发展与改革事务支出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220.00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87.41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机关事业单位职业年金缴费支出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95.79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2101103</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粮油物资储备支出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334.76</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粮油事务</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234.76</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2220112</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粮食财务挂账利息补贴</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65.00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2220199</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其他粮油事务支出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粮油储备</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r>
      <w:tr>
        <w:tblPrEx>
          <w:tblCellMar>
            <w:top w:w="0" w:type="dxa"/>
            <w:left w:w="108" w:type="dxa"/>
            <w:bottom w:w="0" w:type="dxa"/>
            <w:right w:w="108" w:type="dxa"/>
          </w:tblCellMar>
        </w:tblPrEx>
        <w:trPr>
          <w:trHeight w:val="288" w:hRule="atLeast"/>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2220401</w:t>
            </w:r>
          </w:p>
        </w:tc>
        <w:tc>
          <w:tcPr>
            <w:tcW w:w="1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储备粮油补贴</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100.00</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1386"/>
        <w:gridCol w:w="1386"/>
        <w:gridCol w:w="4828"/>
        <w:gridCol w:w="2191"/>
        <w:gridCol w:w="2191"/>
        <w:gridCol w:w="2192"/>
      </w:tblGrid>
      <w:tr>
        <w:tblPrEx>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单位预算一般公共预算财政拨款基本支出表</w:t>
            </w:r>
          </w:p>
        </w:tc>
      </w:tr>
      <w:tr>
        <w:tblPrEx>
          <w:tblCellMar>
            <w:top w:w="0" w:type="dxa"/>
            <w:left w:w="108" w:type="dxa"/>
            <w:bottom w:w="0" w:type="dxa"/>
            <w:right w:w="108" w:type="dxa"/>
          </w:tblCellMar>
        </w:tblPrEx>
        <w:trPr>
          <w:trHeight w:val="288" w:hRule="atLeast"/>
        </w:trPr>
        <w:tc>
          <w:tcPr>
            <w:tcW w:w="3454" w:type="pct"/>
            <w:gridSpan w:val="4"/>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预算单位编码及名称：[303002]乐亭县发展和改革局</w:t>
            </w:r>
          </w:p>
        </w:tc>
        <w:tc>
          <w:tcPr>
            <w:tcW w:w="77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77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489"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192" w:type="pct"/>
            <w:gridSpan w:val="2"/>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支出部门经济分类科目</w:t>
            </w:r>
          </w:p>
        </w:tc>
        <w:tc>
          <w:tcPr>
            <w:tcW w:w="2319" w:type="pct"/>
            <w:gridSpan w:val="3"/>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一般公共预算基本支出</w:t>
            </w:r>
          </w:p>
        </w:tc>
      </w:tr>
      <w:tr>
        <w:tblPrEx>
          <w:tblCellMar>
            <w:top w:w="0" w:type="dxa"/>
            <w:left w:w="108" w:type="dxa"/>
            <w:bottom w:w="0" w:type="dxa"/>
            <w:right w:w="108" w:type="dxa"/>
          </w:tblCellMar>
        </w:tblPrEx>
        <w:trPr>
          <w:trHeight w:val="288" w:hRule="atLeast"/>
        </w:trPr>
        <w:tc>
          <w:tcPr>
            <w:tcW w:w="489"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48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170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48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70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7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763.98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721.77</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714.58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714.58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250.86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250.86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92.69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92.69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30103</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20.91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20.91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30107</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91.93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91.93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30108</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70.88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30109</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16.53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30110</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城镇职工基本医疗保险缴费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32.13</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63.66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其他社会保障缴费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4.94</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4.94</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30113</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53.16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30199</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16.89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16.89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42.21</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3.56</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30207</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7.78</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3.26</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30215</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30216</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2.17</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2.17</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30217</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30231</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5.67</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5.67</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30239</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17.28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17.28</w:t>
            </w: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7.19</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30302</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30305</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生活补助</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3.68</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30309</w:t>
            </w:r>
          </w:p>
        </w:tc>
        <w:tc>
          <w:tcPr>
            <w:tcW w:w="1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1.51</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3561"/>
        <w:gridCol w:w="2109"/>
        <w:gridCol w:w="2112"/>
        <w:gridCol w:w="2112"/>
        <w:gridCol w:w="2140"/>
        <w:gridCol w:w="2140"/>
      </w:tblGrid>
      <w:tr>
        <w:tblPrEx>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单位预算政府基金预算财政拨款支出表</w:t>
            </w:r>
          </w:p>
        </w:tc>
      </w:tr>
      <w:tr>
        <w:tblPrEx>
          <w:tblCellMar>
            <w:top w:w="0" w:type="dxa"/>
            <w:left w:w="108" w:type="dxa"/>
            <w:bottom w:w="0" w:type="dxa"/>
            <w:right w:w="108" w:type="dxa"/>
          </w:tblCellMar>
        </w:tblPrEx>
        <w:trPr>
          <w:trHeight w:val="288" w:hRule="atLeast"/>
        </w:trPr>
        <w:tc>
          <w:tcPr>
            <w:tcW w:w="3489" w:type="pct"/>
            <w:gridSpan w:val="4"/>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预算单位编码及名称：[303002]乐亭县发展和改革局</w:t>
            </w:r>
          </w:p>
        </w:tc>
        <w:tc>
          <w:tcPr>
            <w:tcW w:w="755"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755"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1256"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489" w:type="pct"/>
            <w:gridSpan w:val="2"/>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支出功能分类科目</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55"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755"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744"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744"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7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44"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5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5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256"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本年无政府基金预算，空表列示</w:t>
            </w: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4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55"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4065"/>
        <w:gridCol w:w="2004"/>
        <w:gridCol w:w="2004"/>
        <w:gridCol w:w="2004"/>
        <w:gridCol w:w="2050"/>
        <w:gridCol w:w="2047"/>
      </w:tblGrid>
      <w:tr>
        <w:tblPrEx>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单位预算国有资本经营预算财政拨款支出表</w:t>
            </w:r>
          </w:p>
        </w:tc>
      </w:tr>
      <w:tr>
        <w:tblPrEx>
          <w:tblCellMar>
            <w:top w:w="0" w:type="dxa"/>
            <w:left w:w="108" w:type="dxa"/>
            <w:bottom w:w="0" w:type="dxa"/>
            <w:right w:w="108" w:type="dxa"/>
          </w:tblCellMar>
        </w:tblPrEx>
        <w:trPr>
          <w:trHeight w:val="288" w:hRule="atLeast"/>
        </w:trPr>
        <w:tc>
          <w:tcPr>
            <w:tcW w:w="3555" w:type="pct"/>
            <w:gridSpan w:val="4"/>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预算单位编码及名称：[303002]乐亭县发展和改革局</w:t>
            </w:r>
          </w:p>
        </w:tc>
        <w:tc>
          <w:tcPr>
            <w:tcW w:w="72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723"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1434"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414" w:type="pct"/>
            <w:gridSpan w:val="2"/>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支出功能分类科目</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基本支出</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288" w:hRule="atLeast"/>
        </w:trPr>
        <w:tc>
          <w:tcPr>
            <w:tcW w:w="1434"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707"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707"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7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nil"/>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7"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2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2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1434"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本年无国有资本经营预算，空表列示</w:t>
            </w: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07"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c>
          <w:tcPr>
            <w:tcW w:w="723" w:type="pct"/>
            <w:tcBorders>
              <w:top w:val="nil"/>
              <w:left w:val="nil"/>
              <w:bottom w:val="nil"/>
              <w:right w:val="nil"/>
            </w:tcBorders>
            <w:shd w:val="clear" w:color="auto" w:fill="auto"/>
            <w:noWrap/>
          </w:tcPr>
          <w:p>
            <w:pPr>
              <w:widowControl/>
              <w:jc w:val="lef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9"/>
        <w:tblW w:w="5000" w:type="pct"/>
        <w:tblInd w:w="0" w:type="dxa"/>
        <w:tblLayout w:type="autofit"/>
        <w:tblCellMar>
          <w:top w:w="0" w:type="dxa"/>
          <w:left w:w="108" w:type="dxa"/>
          <w:bottom w:w="0" w:type="dxa"/>
          <w:right w:w="108" w:type="dxa"/>
        </w:tblCellMar>
      </w:tblPr>
      <w:tblGrid>
        <w:gridCol w:w="706"/>
        <w:gridCol w:w="4436"/>
        <w:gridCol w:w="2052"/>
        <w:gridCol w:w="2279"/>
        <w:gridCol w:w="2308"/>
        <w:gridCol w:w="2393"/>
      </w:tblGrid>
      <w:tr>
        <w:tblPrEx>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FFFFFF" w:themeColor="background1" w:fill="auto"/>
            <w:vAlign w:val="center"/>
          </w:tcPr>
          <w:p>
            <w:pPr>
              <w:widowControl/>
              <w:jc w:val="center"/>
              <w:rPr>
                <w:rFonts w:ascii="宋体" w:hAnsi="宋体" w:cs="宋体"/>
                <w:b/>
                <w:bCs/>
                <w:color w:val="000000"/>
                <w:kern w:val="0"/>
                <w:sz w:val="44"/>
                <w:szCs w:val="44"/>
              </w:rPr>
            </w:pPr>
            <w:r>
              <w:rPr>
                <w:rFonts w:hint="eastAsia" w:ascii="宋体" w:hAnsi="宋体" w:cs="宋体"/>
                <w:b/>
                <w:bCs/>
                <w:color w:val="000000"/>
                <w:kern w:val="0"/>
                <w:sz w:val="44"/>
                <w:szCs w:val="44"/>
              </w:rPr>
              <w:t>单位预算财政拨款“三公”经费支出表</w:t>
            </w:r>
          </w:p>
        </w:tc>
      </w:tr>
      <w:tr>
        <w:tblPrEx>
          <w:tblCellMar>
            <w:top w:w="0" w:type="dxa"/>
            <w:left w:w="108" w:type="dxa"/>
            <w:bottom w:w="0" w:type="dxa"/>
            <w:right w:w="108" w:type="dxa"/>
          </w:tblCellMar>
        </w:tblPrEx>
        <w:trPr>
          <w:trHeight w:val="288" w:hRule="atLeast"/>
        </w:trPr>
        <w:tc>
          <w:tcPr>
            <w:tcW w:w="3342" w:type="pct"/>
            <w:gridSpan w:val="4"/>
            <w:tcBorders>
              <w:top w:val="nil"/>
              <w:left w:val="nil"/>
              <w:bottom w:val="nil"/>
              <w:right w:val="nil"/>
            </w:tcBorders>
            <w:shd w:val="clear" w:color="FFFFFF" w:themeColor="background1"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预算单位编码及名称：[303002]乐亭县发展和改革局</w:t>
            </w:r>
          </w:p>
        </w:tc>
        <w:tc>
          <w:tcPr>
            <w:tcW w:w="814"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预算年度：2021</w:t>
            </w:r>
          </w:p>
        </w:tc>
        <w:tc>
          <w:tcPr>
            <w:tcW w:w="844" w:type="pct"/>
            <w:tcBorders>
              <w:top w:val="nil"/>
              <w:left w:val="nil"/>
              <w:bottom w:val="nil"/>
              <w:right w:val="nil"/>
            </w:tcBorders>
            <w:shd w:val="clear" w:color="FFFFFF" w:themeColor="background1"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8" w:hRule="atLeast"/>
        </w:trPr>
        <w:tc>
          <w:tcPr>
            <w:tcW w:w="249"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565" w:type="pct"/>
            <w:vMerge w:val="restart"/>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  目</w:t>
            </w:r>
          </w:p>
        </w:tc>
        <w:tc>
          <w:tcPr>
            <w:tcW w:w="3185" w:type="pct"/>
            <w:gridSpan w:val="4"/>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资金性质</w:t>
            </w:r>
          </w:p>
        </w:tc>
      </w:tr>
      <w:tr>
        <w:tblPrEx>
          <w:tblCellMar>
            <w:top w:w="0" w:type="dxa"/>
            <w:left w:w="108" w:type="dxa"/>
            <w:bottom w:w="0" w:type="dxa"/>
            <w:right w:w="108" w:type="dxa"/>
          </w:tblCellMar>
        </w:tblPrEx>
        <w:trPr>
          <w:trHeight w:val="432" w:hRule="atLeast"/>
        </w:trPr>
        <w:tc>
          <w:tcPr>
            <w:tcW w:w="249"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1565" w:type="pct"/>
            <w:vMerge w:val="continue"/>
            <w:tcBorders>
              <w:top w:val="single" w:color="000000" w:sz="4" w:space="0"/>
              <w:left w:val="single" w:color="000000" w:sz="4" w:space="0"/>
              <w:bottom w:val="nil"/>
              <w:right w:val="single" w:color="000000" w:sz="4" w:space="0"/>
            </w:tcBorders>
            <w:shd w:val="clear" w:color="FFFFFF" w:themeColor="background1" w:fill="auto"/>
            <w:vAlign w:val="center"/>
          </w:tcPr>
          <w:p>
            <w:pPr>
              <w:widowControl/>
              <w:jc w:val="left"/>
              <w:rPr>
                <w:rFonts w:ascii="宋体" w:hAnsi="宋体" w:cs="宋体"/>
                <w:color w:val="000000"/>
                <w:kern w:val="0"/>
                <w:sz w:val="18"/>
                <w:szCs w:val="18"/>
              </w:rPr>
            </w:pPr>
          </w:p>
        </w:tc>
        <w:tc>
          <w:tcPr>
            <w:tcW w:w="72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80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一般公共预算财政拨款</w:t>
            </w:r>
          </w:p>
        </w:tc>
        <w:tc>
          <w:tcPr>
            <w:tcW w:w="81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政府性基金财政拨款</w:t>
            </w:r>
          </w:p>
        </w:tc>
        <w:tc>
          <w:tcPr>
            <w:tcW w:w="8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国有资本经营预算财政拨款</w:t>
            </w: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565"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2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03"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1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41.52</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41.52</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一、因公出国（境）费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其中：教学科研人员因公出国（境）费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其他因公出国（境）费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二、公务用车购置及运维费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15.67</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15.67</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其中：公务用车购置费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公务用车运行维护费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15.67</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15.67</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三、公务接待费</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25.85</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25.85</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288"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before="100" w:beforeAutospacing="1" w:after="100" w:afterAutospacing="1" w:line="450" w:lineRule="atLeast"/>
        <w:jc w:val="center"/>
        <w:outlineLvl w:val="2"/>
        <w:rPr>
          <w:rFonts w:ascii="方正小标宋简体" w:hAnsi="Arial" w:cs="Arial"/>
          <w:b/>
          <w:bCs/>
          <w:color w:val="333333"/>
          <w:kern w:val="0"/>
          <w:sz w:val="40"/>
          <w:szCs w:val="40"/>
        </w:rPr>
      </w:pPr>
      <w:r>
        <w:rPr>
          <w:rFonts w:ascii="宋体" w:hAnsi="宋体" w:cs="Arial"/>
          <w:b/>
          <w:bCs/>
          <w:color w:val="333333"/>
          <w:kern w:val="0"/>
          <w:sz w:val="40"/>
          <w:szCs w:val="40"/>
        </w:rPr>
        <w:t>乐亭县发展和改革局</w:t>
      </w:r>
      <w:r>
        <w:rPr>
          <w:rFonts w:ascii="方正小标宋简体" w:hAnsi="Arial" w:cs="Arial"/>
          <w:b/>
          <w:bCs/>
          <w:color w:val="333333"/>
          <w:kern w:val="0"/>
          <w:sz w:val="40"/>
          <w:szCs w:val="40"/>
        </w:rPr>
        <w:t>202</w:t>
      </w:r>
      <w:r>
        <w:rPr>
          <w:rFonts w:hint="eastAsia" w:ascii="方正小标宋简体" w:hAnsi="方正小标宋简体" w:cs="Arial"/>
          <w:b/>
          <w:bCs/>
          <w:color w:val="333333"/>
          <w:kern w:val="0"/>
          <w:sz w:val="40"/>
          <w:szCs w:val="40"/>
        </w:rPr>
        <w:t>1</w:t>
      </w:r>
      <w:r>
        <w:rPr>
          <w:rFonts w:ascii="宋体" w:hAnsi="宋体" w:cs="Arial"/>
          <w:b/>
          <w:bCs/>
          <w:color w:val="333333"/>
          <w:kern w:val="0"/>
          <w:sz w:val="40"/>
          <w:szCs w:val="40"/>
        </w:rPr>
        <w:t>年</w:t>
      </w:r>
      <w:r>
        <w:rPr>
          <w:rFonts w:hint="eastAsia" w:ascii="宋体" w:hAnsi="宋体" w:cs="Arial"/>
          <w:b/>
          <w:bCs/>
          <w:color w:val="333333"/>
          <w:kern w:val="0"/>
          <w:sz w:val="40"/>
          <w:szCs w:val="40"/>
        </w:rPr>
        <w:t>单位</w:t>
      </w:r>
      <w:r>
        <w:rPr>
          <w:rFonts w:ascii="宋体" w:hAnsi="宋体" w:cs="Arial"/>
          <w:b/>
          <w:bCs/>
          <w:color w:val="333333"/>
          <w:kern w:val="0"/>
          <w:sz w:val="40"/>
          <w:szCs w:val="40"/>
        </w:rPr>
        <w:t>预算说明</w:t>
      </w:r>
    </w:p>
    <w:p>
      <w:pPr>
        <w:widowControl/>
        <w:spacing w:line="360" w:lineRule="auto"/>
        <w:ind w:firstLine="640"/>
        <w:rPr>
          <w:rFonts w:ascii="方正仿宋简体" w:hAnsi="宋体" w:cs="Arial"/>
          <w:color w:val="333333"/>
          <w:kern w:val="0"/>
          <w:sz w:val="32"/>
          <w:szCs w:val="32"/>
        </w:rPr>
      </w:pPr>
      <w:r>
        <w:rPr>
          <w:rFonts w:ascii="宋体" w:hAnsi="宋体" w:cs="Arial"/>
          <w:color w:val="333333"/>
          <w:kern w:val="0"/>
          <w:sz w:val="32"/>
          <w:szCs w:val="32"/>
        </w:rPr>
        <w:t>根据《中华人民共和国预算法》、《河北省委办公厅印发〈关于进一步推进预算公开工作的实施意见〉的通知》（冀办发</w:t>
      </w:r>
      <w:r>
        <w:rPr>
          <w:rFonts w:ascii="方正仿宋简体" w:hAnsi="宋体" w:cs="Arial"/>
          <w:color w:val="333333"/>
          <w:kern w:val="0"/>
          <w:sz w:val="32"/>
          <w:szCs w:val="32"/>
        </w:rPr>
        <w:t>[2016]29</w:t>
      </w:r>
      <w:r>
        <w:rPr>
          <w:rFonts w:ascii="宋体" w:hAnsi="宋体" w:cs="Arial"/>
          <w:color w:val="333333"/>
          <w:kern w:val="0"/>
          <w:sz w:val="32"/>
          <w:szCs w:val="32"/>
        </w:rPr>
        <w:t>号）、《河北省财政厅关于印发〈河北省预决算公开操作规程实施细则〉的通知》（冀财预</w:t>
      </w:r>
      <w:r>
        <w:rPr>
          <w:rFonts w:ascii="方正仿宋简体" w:hAnsi="方正仿宋简体" w:cs="Arial"/>
          <w:color w:val="333333"/>
          <w:kern w:val="0"/>
          <w:sz w:val="32"/>
          <w:szCs w:val="32"/>
        </w:rPr>
        <w:t>[2016]129</w:t>
      </w:r>
      <w:r>
        <w:rPr>
          <w:rFonts w:ascii="宋体" w:hAnsi="宋体" w:cs="Arial"/>
          <w:color w:val="333333"/>
          <w:kern w:val="0"/>
          <w:sz w:val="32"/>
          <w:szCs w:val="32"/>
        </w:rPr>
        <w:t>号）和政府信息公开制度等有关规定，以及《乐亭县财政局关于下达</w:t>
      </w:r>
      <w:r>
        <w:rPr>
          <w:rFonts w:ascii="方正仿宋简体" w:hAnsi="方正仿宋简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年部门支出预算的批复》（乐财预</w:t>
      </w:r>
      <w:r>
        <w:rPr>
          <w:rFonts w:ascii="方正仿宋简体" w:hAnsi="宋体" w:cs="Arial"/>
          <w:color w:val="333333"/>
          <w:kern w:val="0"/>
          <w:sz w:val="32"/>
          <w:szCs w:val="32"/>
        </w:rPr>
        <w:t>[202</w:t>
      </w:r>
      <w:r>
        <w:rPr>
          <w:rFonts w:hint="eastAsia" w:ascii="方正仿宋简体" w:hAnsi="方正仿宋简体" w:cs="Arial"/>
          <w:color w:val="333333"/>
          <w:kern w:val="0"/>
          <w:sz w:val="32"/>
          <w:szCs w:val="32"/>
        </w:rPr>
        <w:t>1</w:t>
      </w:r>
      <w:r>
        <w:rPr>
          <w:rFonts w:ascii="方正仿宋简体" w:hAnsi="宋体" w:cs="Arial"/>
          <w:color w:val="333333"/>
          <w:kern w:val="0"/>
          <w:sz w:val="32"/>
          <w:szCs w:val="32"/>
        </w:rPr>
        <w:t>]</w:t>
      </w:r>
      <w:r>
        <w:rPr>
          <w:rFonts w:hint="eastAsia" w:ascii="方正仿宋简体" w:hAnsi="方正仿宋简体" w:cs="Arial"/>
          <w:color w:val="333333"/>
          <w:kern w:val="0"/>
          <w:sz w:val="32"/>
          <w:szCs w:val="32"/>
        </w:rPr>
        <w:t>2</w:t>
      </w:r>
      <w:r>
        <w:rPr>
          <w:rFonts w:ascii="宋体" w:hAnsi="宋体" w:cs="Arial"/>
          <w:color w:val="333333"/>
          <w:kern w:val="0"/>
          <w:sz w:val="32"/>
          <w:szCs w:val="32"/>
        </w:rPr>
        <w:t>号），现将乐亭县发展和改革局</w:t>
      </w:r>
      <w:r>
        <w:rPr>
          <w:rFonts w:ascii="方正仿宋简体" w:hAnsi="宋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年度</w:t>
      </w:r>
      <w:r>
        <w:rPr>
          <w:rFonts w:hint="eastAsia" w:ascii="宋体" w:hAnsi="宋体" w:cs="Arial"/>
          <w:color w:val="333333"/>
          <w:kern w:val="0"/>
          <w:sz w:val="32"/>
          <w:szCs w:val="32"/>
        </w:rPr>
        <w:t>单位</w:t>
      </w:r>
      <w:r>
        <w:rPr>
          <w:rFonts w:ascii="宋体" w:hAnsi="宋体" w:cs="Arial"/>
          <w:color w:val="333333"/>
          <w:kern w:val="0"/>
          <w:sz w:val="32"/>
          <w:szCs w:val="32"/>
        </w:rPr>
        <w:t>预算及“三公”经费信息有关情况说明如下</w:t>
      </w:r>
      <w:r>
        <w:rPr>
          <w:rFonts w:ascii="方正仿宋简体" w:hAnsi="方正仿宋简体" w:cs="Arial"/>
          <w:color w:val="333333"/>
          <w:kern w:val="0"/>
          <w:sz w:val="32"/>
          <w:szCs w:val="32"/>
        </w:rPr>
        <w:t>:</w:t>
      </w:r>
    </w:p>
    <w:p>
      <w:pPr>
        <w:widowControl/>
        <w:spacing w:line="360" w:lineRule="auto"/>
        <w:ind w:firstLine="640"/>
        <w:jc w:val="left"/>
        <w:rPr>
          <w:rFonts w:ascii="方正黑体简体" w:hAnsi="方正黑体简体" w:cs="宋体"/>
          <w:b/>
          <w:bCs/>
          <w:color w:val="333333"/>
          <w:kern w:val="0"/>
          <w:sz w:val="32"/>
          <w:szCs w:val="32"/>
        </w:rPr>
      </w:pPr>
      <w:r>
        <w:rPr>
          <w:rFonts w:ascii="宋体" w:hAnsi="宋体"/>
          <w:b/>
          <w:bCs/>
          <w:color w:val="333333"/>
          <w:kern w:val="0"/>
          <w:sz w:val="32"/>
          <w:szCs w:val="32"/>
        </w:rPr>
        <w:t>一、</w:t>
      </w:r>
      <w:r>
        <w:rPr>
          <w:rFonts w:hint="eastAsia" w:ascii="宋体" w:hAnsi="宋体"/>
          <w:b/>
          <w:bCs/>
          <w:color w:val="333333"/>
          <w:kern w:val="0"/>
          <w:sz w:val="32"/>
          <w:szCs w:val="32"/>
        </w:rPr>
        <w:t>单位</w:t>
      </w:r>
      <w:r>
        <w:rPr>
          <w:rFonts w:ascii="宋体" w:hAnsi="宋体"/>
          <w:b/>
          <w:bCs/>
          <w:color w:val="333333"/>
          <w:kern w:val="0"/>
          <w:sz w:val="32"/>
          <w:szCs w:val="32"/>
        </w:rPr>
        <w:t>职责及机构设置情况</w:t>
      </w:r>
    </w:p>
    <w:p>
      <w:pPr>
        <w:widowControl/>
        <w:spacing w:line="360" w:lineRule="auto"/>
        <w:ind w:firstLine="640"/>
        <w:jc w:val="left"/>
        <w:rPr>
          <w:rFonts w:ascii="方正楷体简体" w:hAnsi="方正楷体简体"/>
          <w:color w:val="333333"/>
          <w:kern w:val="0"/>
          <w:sz w:val="32"/>
          <w:szCs w:val="32"/>
        </w:rPr>
      </w:pPr>
      <w:r>
        <w:rPr>
          <w:rFonts w:ascii="宋体" w:hAnsi="宋体"/>
          <w:color w:val="333333"/>
          <w:kern w:val="0"/>
          <w:sz w:val="32"/>
          <w:szCs w:val="32"/>
        </w:rPr>
        <w:t>（一）主要职责</w:t>
      </w:r>
    </w:p>
    <w:p>
      <w:pPr>
        <w:spacing w:line="560" w:lineRule="exact"/>
        <w:ind w:firstLine="640" w:firstLineChars="200"/>
        <w:rPr>
          <w:rFonts w:ascii="宋体" w:hAnsi="宋体" w:eastAsia="方正仿宋简体"/>
          <w:sz w:val="32"/>
          <w:szCs w:val="32"/>
        </w:rPr>
      </w:pPr>
      <w:r>
        <w:rPr>
          <w:rFonts w:ascii="宋体" w:hAnsi="宋体"/>
          <w:sz w:val="32"/>
          <w:szCs w:val="32"/>
        </w:rPr>
        <w:t>（一）拟订并组织实施全县国民经济和社会发展战略、中长期规划和年度计划。牵头组织统一规划体系建设。负责县级专项规划、区域规划、空间规划与全县发展规划的统筹衔接。起草国民经济和社会发展、经济体制改革和对外开放的有关规定草案，制定规范性文件。</w:t>
      </w:r>
    </w:p>
    <w:p>
      <w:pPr>
        <w:spacing w:line="560" w:lineRule="exact"/>
        <w:ind w:firstLine="640" w:firstLineChars="200"/>
        <w:rPr>
          <w:rFonts w:hint="eastAsia" w:ascii="宋体" w:hAnsi="宋体"/>
          <w:sz w:val="32"/>
          <w:szCs w:val="32"/>
        </w:rPr>
      </w:pPr>
      <w:r>
        <w:rPr>
          <w:rFonts w:ascii="宋体" w:hAnsi="宋体"/>
          <w:sz w:val="32"/>
          <w:szCs w:val="32"/>
        </w:rPr>
        <w:t>（二）提出加快建设全县现代化经济体系、推动高质量发展的总体目标、重大任务以及相关政策。组织开展重大战略规划、重大政策、重大工程等的评估督导，提出相关调整建议。</w:t>
      </w:r>
    </w:p>
    <w:p>
      <w:pPr>
        <w:spacing w:line="560" w:lineRule="exact"/>
        <w:ind w:firstLine="640" w:firstLineChars="200"/>
        <w:rPr>
          <w:rFonts w:ascii="宋体" w:hAnsi="宋体"/>
          <w:sz w:val="32"/>
          <w:szCs w:val="32"/>
        </w:rPr>
      </w:pPr>
      <w:r>
        <w:rPr>
          <w:rFonts w:ascii="宋体" w:hAnsi="宋体"/>
          <w:sz w:val="32"/>
          <w:szCs w:val="32"/>
        </w:rP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pPr>
        <w:spacing w:line="560" w:lineRule="exact"/>
        <w:ind w:firstLine="640" w:firstLineChars="200"/>
        <w:rPr>
          <w:rFonts w:ascii="宋体" w:hAnsi="宋体"/>
          <w:sz w:val="32"/>
          <w:szCs w:val="32"/>
        </w:rPr>
      </w:pPr>
      <w:r>
        <w:rPr>
          <w:rFonts w:ascii="宋体" w:hAnsi="宋体"/>
          <w:sz w:val="32"/>
          <w:szCs w:val="32"/>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r>
        <w:rPr>
          <w:rFonts w:ascii="宋体" w:hAnsi="宋体"/>
          <w:color w:val="000000"/>
          <w:sz w:val="32"/>
          <w:szCs w:val="32"/>
        </w:rPr>
        <w:t>牵头推进优化营商环境工作。</w:t>
      </w:r>
    </w:p>
    <w:p>
      <w:pPr>
        <w:spacing w:line="560" w:lineRule="exact"/>
        <w:ind w:firstLine="640" w:firstLineChars="200"/>
        <w:rPr>
          <w:rFonts w:ascii="宋体" w:hAnsi="宋体"/>
          <w:sz w:val="32"/>
          <w:szCs w:val="32"/>
        </w:rPr>
      </w:pPr>
      <w:r>
        <w:rPr>
          <w:rFonts w:ascii="宋体" w:hAnsi="宋体"/>
          <w:sz w:val="32"/>
          <w:szCs w:val="32"/>
        </w:rPr>
        <w:t>（五）提出全县利用外资和境外投资的战略、规划、总量平衡和结构优化政策。牵头推进实施全县</w:t>
      </w:r>
      <w:r>
        <w:rPr>
          <w:rFonts w:hint="eastAsia" w:ascii="宋体" w:hAnsi="宋体"/>
          <w:sz w:val="32"/>
          <w:szCs w:val="32"/>
        </w:rPr>
        <w:t>“一带一路”建设有关工作。承担统筹协调走出去有关工作。会同有关部门贯彻落实国家外商投资准入负面清单。负责全县全口径外债的总量控制、结构优化和监测工作。</w:t>
      </w:r>
    </w:p>
    <w:p>
      <w:pPr>
        <w:spacing w:line="560" w:lineRule="exact"/>
        <w:ind w:firstLine="640" w:firstLineChars="200"/>
        <w:rPr>
          <w:rFonts w:ascii="宋体" w:hAnsi="宋体"/>
          <w:sz w:val="32"/>
          <w:szCs w:val="32"/>
        </w:rPr>
      </w:pPr>
      <w:r>
        <w:rPr>
          <w:rFonts w:ascii="宋体" w:hAnsi="宋体"/>
          <w:sz w:val="32"/>
          <w:szCs w:val="32"/>
        </w:rP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pPr>
        <w:spacing w:line="560" w:lineRule="exact"/>
        <w:ind w:firstLine="640" w:firstLineChars="200"/>
        <w:rPr>
          <w:rFonts w:ascii="宋体" w:hAnsi="宋体"/>
          <w:sz w:val="32"/>
          <w:szCs w:val="32"/>
        </w:rPr>
      </w:pPr>
      <w:r>
        <w:rPr>
          <w:rFonts w:ascii="宋体" w:hAnsi="宋体"/>
          <w:sz w:val="32"/>
          <w:szCs w:val="32"/>
        </w:rPr>
        <w:t>（七）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pPr>
        <w:spacing w:line="560" w:lineRule="exact"/>
        <w:ind w:firstLine="640" w:firstLineChars="200"/>
        <w:rPr>
          <w:rFonts w:ascii="宋体" w:hAnsi="宋体"/>
          <w:sz w:val="32"/>
          <w:szCs w:val="32"/>
        </w:rPr>
      </w:pPr>
      <w:r>
        <w:rPr>
          <w:rFonts w:ascii="宋体" w:hAnsi="宋体"/>
          <w:sz w:val="32"/>
          <w:szCs w:val="32"/>
        </w:rP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spacing w:line="560" w:lineRule="exact"/>
        <w:ind w:firstLine="640" w:firstLineChars="200"/>
        <w:rPr>
          <w:rFonts w:ascii="宋体" w:hAnsi="宋体"/>
          <w:sz w:val="32"/>
          <w:szCs w:val="32"/>
        </w:rPr>
      </w:pPr>
      <w:r>
        <w:rPr>
          <w:rFonts w:ascii="宋体" w:hAnsi="宋体"/>
          <w:sz w:val="32"/>
          <w:szCs w:val="32"/>
        </w:rP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pPr>
        <w:spacing w:line="560" w:lineRule="exact"/>
        <w:ind w:firstLine="640" w:firstLineChars="200"/>
        <w:rPr>
          <w:rFonts w:ascii="宋体" w:hAnsi="宋体"/>
          <w:sz w:val="32"/>
          <w:szCs w:val="32"/>
        </w:rPr>
      </w:pPr>
      <w:r>
        <w:rPr>
          <w:rFonts w:ascii="宋体" w:hAnsi="宋体"/>
          <w:sz w:val="32"/>
          <w:szCs w:val="32"/>
        </w:rPr>
        <w:t>（十）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spacing w:line="560" w:lineRule="exact"/>
        <w:ind w:firstLine="640" w:firstLineChars="200"/>
        <w:rPr>
          <w:rFonts w:ascii="宋体" w:hAnsi="宋体"/>
          <w:sz w:val="32"/>
          <w:szCs w:val="32"/>
        </w:rPr>
      </w:pPr>
      <w:r>
        <w:rPr>
          <w:rFonts w:ascii="宋体" w:hAnsi="宋体"/>
          <w:sz w:val="32"/>
          <w:szCs w:val="32"/>
        </w:rPr>
        <w:t>（十一）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spacing w:line="560" w:lineRule="exact"/>
        <w:ind w:firstLine="640" w:firstLineChars="200"/>
        <w:rPr>
          <w:rFonts w:ascii="宋体" w:hAnsi="宋体"/>
          <w:sz w:val="32"/>
          <w:szCs w:val="32"/>
        </w:rPr>
      </w:pPr>
      <w:r>
        <w:rPr>
          <w:rFonts w:ascii="宋体" w:hAnsi="宋体"/>
          <w:sz w:val="32"/>
          <w:szCs w:val="32"/>
        </w:rP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pPr>
        <w:spacing w:line="560" w:lineRule="exact"/>
        <w:ind w:firstLine="640" w:firstLineChars="200"/>
        <w:rPr>
          <w:rFonts w:ascii="宋体" w:hAnsi="宋体"/>
          <w:sz w:val="32"/>
          <w:szCs w:val="32"/>
        </w:rPr>
      </w:pPr>
      <w:r>
        <w:rPr>
          <w:rFonts w:ascii="宋体" w:hAnsi="宋体"/>
          <w:sz w:val="32"/>
          <w:szCs w:val="32"/>
        </w:rPr>
        <w:t>（十三）组织拟订推进全县经济建设与国防建设协调发展的战略和规划，组织推进经济建设项目贯彻国防要求。</w:t>
      </w:r>
    </w:p>
    <w:p>
      <w:pPr>
        <w:spacing w:line="560" w:lineRule="exact"/>
        <w:ind w:firstLine="640" w:firstLineChars="200"/>
        <w:rPr>
          <w:rFonts w:ascii="宋体" w:hAnsi="宋体"/>
          <w:sz w:val="32"/>
          <w:szCs w:val="32"/>
        </w:rPr>
      </w:pPr>
      <w:r>
        <w:rPr>
          <w:rFonts w:ascii="宋体" w:hAnsi="宋体"/>
          <w:sz w:val="32"/>
          <w:szCs w:val="32"/>
        </w:rPr>
        <w:t>（十四）负责全县粮食物资和能源管理工作。</w:t>
      </w:r>
    </w:p>
    <w:p>
      <w:pPr>
        <w:spacing w:line="560" w:lineRule="exact"/>
        <w:ind w:firstLine="640" w:firstLineChars="200"/>
        <w:rPr>
          <w:rFonts w:ascii="宋体" w:hAnsi="宋体"/>
          <w:sz w:val="32"/>
          <w:szCs w:val="32"/>
        </w:rPr>
      </w:pPr>
      <w:r>
        <w:rPr>
          <w:rFonts w:ascii="宋体" w:hAnsi="宋体"/>
          <w:sz w:val="32"/>
          <w:szCs w:val="32"/>
        </w:rPr>
        <w:t>（十五）负责重要商品和服务价格定调价前期成本监审工作和重要产品成本调查工作。</w:t>
      </w:r>
    </w:p>
    <w:p>
      <w:pPr>
        <w:spacing w:line="560" w:lineRule="exact"/>
        <w:ind w:firstLine="640" w:firstLineChars="200"/>
        <w:rPr>
          <w:rFonts w:ascii="宋体" w:hAnsi="宋体"/>
          <w:sz w:val="32"/>
          <w:szCs w:val="32"/>
        </w:rPr>
      </w:pPr>
      <w:r>
        <w:rPr>
          <w:rFonts w:ascii="宋体" w:hAnsi="宋体"/>
          <w:sz w:val="32"/>
          <w:szCs w:val="32"/>
        </w:rPr>
        <w:t>（十六）负责全县地方铁路行业管理工作。牵头负责铁路沿线环境安全监管职责。</w:t>
      </w:r>
    </w:p>
    <w:p>
      <w:pPr>
        <w:spacing w:line="560" w:lineRule="exact"/>
        <w:ind w:firstLine="640" w:firstLineChars="200"/>
        <w:rPr>
          <w:rFonts w:ascii="宋体" w:hAnsi="宋体"/>
          <w:sz w:val="32"/>
          <w:szCs w:val="32"/>
        </w:rPr>
      </w:pPr>
      <w:r>
        <w:rPr>
          <w:rFonts w:ascii="宋体" w:hAnsi="宋体"/>
          <w:sz w:val="32"/>
          <w:szCs w:val="32"/>
        </w:rPr>
        <w:t>（十七）承担县委财经委员会、县推进京津冀协同发展工作领导小组、县重点建设领导小组、县钢铁煤炭行业化解过剩产能领导小组、县从事生产经营活动事业单位改革领导小组等有关具体工作。</w:t>
      </w:r>
    </w:p>
    <w:p>
      <w:pPr>
        <w:spacing w:line="560" w:lineRule="exact"/>
        <w:ind w:firstLine="640" w:firstLineChars="200"/>
        <w:rPr>
          <w:rFonts w:ascii="宋体" w:hAnsi="宋体"/>
          <w:sz w:val="32"/>
          <w:szCs w:val="32"/>
        </w:rPr>
      </w:pPr>
      <w:r>
        <w:rPr>
          <w:rFonts w:ascii="宋体" w:hAnsi="宋体"/>
          <w:sz w:val="32"/>
          <w:szCs w:val="32"/>
        </w:rPr>
        <w:t>（十八）完成县委、县政府交办的其他任务。</w:t>
      </w:r>
    </w:p>
    <w:p>
      <w:pPr>
        <w:widowControl/>
        <w:spacing w:line="360" w:lineRule="auto"/>
        <w:ind w:firstLine="480" w:firstLineChars="150"/>
        <w:rPr>
          <w:rFonts w:ascii="方正楷体简体" w:hAnsi="方正楷体简体"/>
          <w:color w:val="333333"/>
          <w:kern w:val="0"/>
          <w:sz w:val="32"/>
          <w:szCs w:val="32"/>
        </w:rPr>
      </w:pPr>
      <w:r>
        <w:rPr>
          <w:rFonts w:ascii="宋体" w:hAnsi="宋体"/>
          <w:color w:val="333333"/>
          <w:kern w:val="0"/>
          <w:sz w:val="32"/>
          <w:szCs w:val="32"/>
        </w:rPr>
        <w:t>（二）机构设置情况</w:t>
      </w:r>
    </w:p>
    <w:p>
      <w:pPr>
        <w:widowControl/>
        <w:spacing w:line="360" w:lineRule="auto"/>
        <w:ind w:firstLine="640" w:firstLineChars="200"/>
        <w:rPr>
          <w:rFonts w:hint="eastAsia" w:ascii="方正仿宋简体" w:hAnsi="宋体" w:cs="Arial"/>
          <w:color w:val="333333"/>
          <w:kern w:val="0"/>
          <w:sz w:val="32"/>
          <w:szCs w:val="32"/>
        </w:rPr>
      </w:pPr>
      <w:r>
        <w:rPr>
          <w:rFonts w:ascii="方正仿宋简体" w:hAnsi="宋体" w:cs="Arial"/>
          <w:color w:val="333333"/>
          <w:kern w:val="0"/>
          <w:sz w:val="32"/>
          <w:szCs w:val="32"/>
        </w:rPr>
        <w:t>1</w:t>
      </w:r>
      <w:r>
        <w:rPr>
          <w:rFonts w:ascii="宋体" w:hAnsi="宋体" w:cs="Arial"/>
          <w:color w:val="333333"/>
          <w:kern w:val="0"/>
          <w:sz w:val="32"/>
          <w:szCs w:val="32"/>
        </w:rPr>
        <w:t>、机构及组成单位情况</w:t>
      </w:r>
    </w:p>
    <w:p>
      <w:pPr>
        <w:widowControl/>
        <w:spacing w:line="360" w:lineRule="auto"/>
        <w:ind w:firstLine="640" w:firstLineChars="200"/>
        <w:rPr>
          <w:rFonts w:ascii="方正仿宋简体" w:hAnsi="宋体" w:cs="Arial"/>
          <w:color w:val="333333"/>
          <w:kern w:val="0"/>
          <w:sz w:val="32"/>
          <w:szCs w:val="32"/>
        </w:rPr>
      </w:pPr>
      <w:r>
        <w:rPr>
          <w:rFonts w:ascii="方正仿宋简体" w:hAnsi="宋体" w:cs="Arial"/>
          <w:color w:val="333333"/>
          <w:kern w:val="0"/>
          <w:sz w:val="32"/>
          <w:szCs w:val="32"/>
        </w:rPr>
        <w:t xml:space="preserve"> </w:t>
      </w:r>
      <w:r>
        <w:rPr>
          <w:rFonts w:hint="eastAsia" w:ascii="宋体" w:hAnsi="宋体" w:cs="Arial"/>
          <w:color w:val="333333"/>
          <w:kern w:val="0"/>
          <w:sz w:val="32"/>
          <w:szCs w:val="32"/>
        </w:rPr>
        <w:t>单位</w:t>
      </w:r>
      <w:r>
        <w:rPr>
          <w:rFonts w:ascii="宋体" w:hAnsi="宋体" w:cs="Arial"/>
          <w:color w:val="333333"/>
          <w:kern w:val="0"/>
          <w:sz w:val="32"/>
          <w:szCs w:val="32"/>
        </w:rPr>
        <w:t>机构设置情况</w:t>
      </w:r>
    </w:p>
    <w:tbl>
      <w:tblPr>
        <w:tblStyle w:val="9"/>
        <w:tblW w:w="3652" w:type="pct"/>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1728"/>
        <w:gridCol w:w="2322"/>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72" w:type="pct"/>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单位名称</w:t>
            </w:r>
          </w:p>
        </w:tc>
        <w:tc>
          <w:tcPr>
            <w:tcW w:w="834"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单位性质</w:t>
            </w:r>
          </w:p>
        </w:tc>
        <w:tc>
          <w:tcPr>
            <w:tcW w:w="1121"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单位规格</w:t>
            </w:r>
          </w:p>
        </w:tc>
        <w:tc>
          <w:tcPr>
            <w:tcW w:w="1571"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72" w:type="pct"/>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方正仿宋简体" w:hAnsi="宋体" w:cs="Arial"/>
                <w:color w:val="333333"/>
                <w:kern w:val="0"/>
                <w:sz w:val="30"/>
                <w:szCs w:val="30"/>
              </w:rPr>
            </w:pPr>
            <w:r>
              <w:rPr>
                <w:rFonts w:ascii="宋体" w:hAnsi="宋体" w:cs="Arial"/>
                <w:color w:val="333333"/>
                <w:kern w:val="0"/>
                <w:sz w:val="30"/>
                <w:szCs w:val="30"/>
              </w:rPr>
              <w:t>乐亭县发展和改革局</w:t>
            </w:r>
          </w:p>
        </w:tc>
        <w:tc>
          <w:tcPr>
            <w:tcW w:w="834"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行政</w:t>
            </w:r>
          </w:p>
        </w:tc>
        <w:tc>
          <w:tcPr>
            <w:tcW w:w="1121"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正科级</w:t>
            </w:r>
          </w:p>
        </w:tc>
        <w:tc>
          <w:tcPr>
            <w:tcW w:w="1571" w:type="pct"/>
            <w:tcBorders>
              <w:top w:val="single" w:color="auto" w:sz="4" w:space="0"/>
              <w:left w:val="nil"/>
              <w:bottom w:val="single" w:color="auto" w:sz="4" w:space="0"/>
              <w:right w:val="single" w:color="auto" w:sz="4" w:space="0"/>
            </w:tcBorders>
          </w:tcPr>
          <w:p>
            <w:pPr>
              <w:widowControl/>
              <w:spacing w:line="360" w:lineRule="auto"/>
              <w:jc w:val="center"/>
              <w:rPr>
                <w:rFonts w:ascii="方正仿宋简体" w:hAnsi="宋体" w:cs="Arial"/>
                <w:color w:val="333333"/>
                <w:kern w:val="0"/>
                <w:sz w:val="32"/>
                <w:szCs w:val="32"/>
              </w:rPr>
            </w:pPr>
            <w:r>
              <w:rPr>
                <w:rFonts w:ascii="宋体" w:hAnsi="宋体" w:cs="Arial"/>
                <w:color w:val="333333"/>
                <w:kern w:val="0"/>
                <w:sz w:val="32"/>
                <w:szCs w:val="32"/>
              </w:rPr>
              <w:t>财政拨款</w:t>
            </w:r>
          </w:p>
        </w:tc>
      </w:tr>
    </w:tbl>
    <w:p>
      <w:pPr>
        <w:widowControl/>
        <w:spacing w:line="360" w:lineRule="auto"/>
        <w:ind w:firstLine="640" w:firstLineChars="200"/>
        <w:rPr>
          <w:rFonts w:ascii="方正仿宋简体" w:hAnsi="宋体" w:cs="Arial"/>
          <w:color w:val="333333"/>
          <w:kern w:val="0"/>
          <w:sz w:val="32"/>
          <w:szCs w:val="32"/>
        </w:rPr>
      </w:pPr>
      <w:r>
        <w:rPr>
          <w:rFonts w:ascii="方正仿宋简体" w:hAnsi="宋体" w:cs="Arial"/>
          <w:color w:val="333333"/>
          <w:kern w:val="0"/>
          <w:sz w:val="32"/>
          <w:szCs w:val="32"/>
        </w:rPr>
        <w:t xml:space="preserve"> </w:t>
      </w:r>
    </w:p>
    <w:p>
      <w:pPr>
        <w:widowControl/>
        <w:spacing w:line="360" w:lineRule="auto"/>
        <w:ind w:firstLine="640" w:firstLineChars="200"/>
        <w:rPr>
          <w:rFonts w:ascii="方正仿宋简体" w:hAnsi="宋体" w:cs="Arial"/>
          <w:color w:val="333333"/>
          <w:kern w:val="0"/>
          <w:sz w:val="32"/>
          <w:szCs w:val="32"/>
        </w:rPr>
      </w:pPr>
      <w:r>
        <w:rPr>
          <w:rFonts w:ascii="宋体" w:hAnsi="宋体" w:cs="Arial"/>
          <w:color w:val="333333"/>
          <w:kern w:val="0"/>
          <w:sz w:val="32"/>
          <w:szCs w:val="32"/>
        </w:rPr>
        <w:t>乐亭县发展和改革局是独立编制预算机构，下设办公室、发展和规划科、工业和能源科、重点项目科、综改和财经科、价格调控科、粮食和物资管理科、重点项目服务中心、经济研究中心、节能检测中心、价格认证中心、粮食资产运营中心、</w:t>
      </w:r>
      <w:r>
        <w:rPr>
          <w:rFonts w:hint="eastAsia" w:ascii="宋体" w:hAnsi="宋体" w:cs="Arial"/>
          <w:color w:val="333333"/>
          <w:kern w:val="0"/>
          <w:sz w:val="32"/>
          <w:szCs w:val="32"/>
        </w:rPr>
        <w:t>粮食物资储备中心</w:t>
      </w:r>
      <w:r>
        <w:rPr>
          <w:rFonts w:ascii="宋体" w:hAnsi="宋体" w:cs="Arial"/>
          <w:color w:val="333333"/>
          <w:kern w:val="0"/>
          <w:sz w:val="32"/>
          <w:szCs w:val="32"/>
        </w:rPr>
        <w:t>。</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2</w:t>
      </w:r>
      <w:r>
        <w:rPr>
          <w:rFonts w:ascii="宋体" w:hAnsi="宋体" w:cs="Arial"/>
          <w:color w:val="333333"/>
          <w:kern w:val="0"/>
          <w:sz w:val="32"/>
          <w:szCs w:val="32"/>
        </w:rPr>
        <w:t>、人员构成情况</w:t>
      </w:r>
    </w:p>
    <w:p>
      <w:pPr>
        <w:widowControl/>
        <w:spacing w:line="360" w:lineRule="auto"/>
        <w:ind w:firstLine="640"/>
        <w:rPr>
          <w:rFonts w:ascii="方正仿宋简体" w:hAnsi="宋体" w:cs="Arial"/>
          <w:color w:val="333333"/>
          <w:kern w:val="0"/>
          <w:sz w:val="32"/>
          <w:szCs w:val="32"/>
        </w:rPr>
      </w:pPr>
      <w:r>
        <w:rPr>
          <w:rFonts w:ascii="宋体" w:hAnsi="宋体" w:cs="Arial"/>
          <w:color w:val="333333"/>
          <w:kern w:val="0"/>
          <w:sz w:val="32"/>
          <w:szCs w:val="32"/>
        </w:rPr>
        <w:t>乐亭县发展和改革局共有</w:t>
      </w:r>
      <w:r>
        <w:rPr>
          <w:rFonts w:ascii="方正仿宋简体" w:hAnsi="宋体" w:cs="Arial"/>
          <w:color w:val="333333"/>
          <w:kern w:val="0"/>
          <w:sz w:val="32"/>
          <w:szCs w:val="32"/>
        </w:rPr>
        <w:t>13</w:t>
      </w:r>
      <w:r>
        <w:rPr>
          <w:rFonts w:hint="eastAsia" w:ascii="方正仿宋简体" w:hAnsi="方正仿宋简体" w:cs="Arial"/>
          <w:color w:val="333333"/>
          <w:kern w:val="0"/>
          <w:sz w:val="32"/>
          <w:szCs w:val="32"/>
        </w:rPr>
        <w:t>5</w:t>
      </w:r>
      <w:r>
        <w:rPr>
          <w:rFonts w:ascii="宋体" w:hAnsi="宋体" w:cs="Arial"/>
          <w:color w:val="333333"/>
          <w:kern w:val="0"/>
          <w:sz w:val="32"/>
          <w:szCs w:val="32"/>
        </w:rPr>
        <w:t>人，其中：在职人员</w:t>
      </w:r>
      <w:r>
        <w:rPr>
          <w:rFonts w:hint="eastAsia" w:ascii="方正仿宋简体" w:hAnsi="方正仿宋简体" w:cs="Arial"/>
          <w:color w:val="333333"/>
          <w:kern w:val="0"/>
          <w:sz w:val="32"/>
          <w:szCs w:val="32"/>
        </w:rPr>
        <w:t>67</w:t>
      </w:r>
      <w:r>
        <w:rPr>
          <w:rFonts w:ascii="宋体" w:hAnsi="宋体" w:cs="Arial"/>
          <w:color w:val="333333"/>
          <w:kern w:val="0"/>
          <w:sz w:val="32"/>
          <w:szCs w:val="32"/>
        </w:rPr>
        <w:t>人，离退休人员</w:t>
      </w:r>
      <w:r>
        <w:rPr>
          <w:rFonts w:ascii="方正仿宋简体" w:hAnsi="宋体" w:cs="Arial"/>
          <w:color w:val="333333"/>
          <w:kern w:val="0"/>
          <w:sz w:val="32"/>
          <w:szCs w:val="32"/>
        </w:rPr>
        <w:t>6</w:t>
      </w:r>
      <w:r>
        <w:rPr>
          <w:rFonts w:hint="eastAsia" w:ascii="方正仿宋简体" w:hAnsi="方正仿宋简体" w:cs="Arial"/>
          <w:color w:val="333333"/>
          <w:kern w:val="0"/>
          <w:sz w:val="32"/>
          <w:szCs w:val="32"/>
        </w:rPr>
        <w:t>8</w:t>
      </w:r>
      <w:r>
        <w:rPr>
          <w:rFonts w:ascii="宋体" w:hAnsi="宋体" w:cs="Arial"/>
          <w:color w:val="333333"/>
          <w:kern w:val="0"/>
          <w:sz w:val="32"/>
          <w:szCs w:val="32"/>
        </w:rPr>
        <w:t>人。</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3</w:t>
      </w:r>
      <w:r>
        <w:rPr>
          <w:rFonts w:ascii="宋体" w:hAnsi="宋体" w:cs="Arial"/>
          <w:color w:val="333333"/>
          <w:kern w:val="0"/>
          <w:sz w:val="32"/>
          <w:szCs w:val="32"/>
        </w:rPr>
        <w:t>、资产情况</w:t>
      </w:r>
    </w:p>
    <w:p>
      <w:pPr>
        <w:widowControl/>
        <w:spacing w:line="360" w:lineRule="auto"/>
        <w:ind w:firstLine="640"/>
        <w:rPr>
          <w:rFonts w:ascii="方正仿宋简体" w:hAnsi="宋体" w:cs="Arial"/>
          <w:color w:val="333333"/>
          <w:kern w:val="0"/>
          <w:sz w:val="32"/>
          <w:szCs w:val="32"/>
        </w:rPr>
      </w:pPr>
      <w:r>
        <w:rPr>
          <w:rFonts w:ascii="宋体" w:hAnsi="宋体" w:cs="Arial"/>
          <w:color w:val="333333"/>
          <w:kern w:val="0"/>
          <w:sz w:val="32"/>
          <w:szCs w:val="32"/>
        </w:rPr>
        <w:t>房屋面积</w:t>
      </w:r>
      <w:r>
        <w:rPr>
          <w:rFonts w:hint="eastAsia" w:ascii="方正仿宋简体" w:hAnsi="方正仿宋简体" w:cs="Arial"/>
          <w:color w:val="333333"/>
          <w:kern w:val="0"/>
          <w:sz w:val="32"/>
          <w:szCs w:val="32"/>
        </w:rPr>
        <w:t>1475.70</w:t>
      </w:r>
      <w:r>
        <w:rPr>
          <w:rFonts w:ascii="宋体" w:hAnsi="宋体" w:cs="Arial"/>
          <w:color w:val="333333"/>
          <w:kern w:val="0"/>
          <w:sz w:val="32"/>
          <w:szCs w:val="32"/>
        </w:rPr>
        <w:t>平方米，机动车</w:t>
      </w:r>
      <w:r>
        <w:rPr>
          <w:rFonts w:ascii="方正仿宋简体" w:hAnsi="宋体" w:cs="Arial"/>
          <w:color w:val="333333"/>
          <w:kern w:val="0"/>
          <w:sz w:val="32"/>
          <w:szCs w:val="32"/>
        </w:rPr>
        <w:t xml:space="preserve">2 </w:t>
      </w:r>
      <w:r>
        <w:rPr>
          <w:rFonts w:ascii="宋体" w:hAnsi="宋体" w:cs="Arial"/>
          <w:color w:val="333333"/>
          <w:kern w:val="0"/>
          <w:sz w:val="32"/>
          <w:szCs w:val="32"/>
        </w:rPr>
        <w:t>辆，电话</w:t>
      </w:r>
      <w:r>
        <w:rPr>
          <w:rFonts w:ascii="方正仿宋简体" w:hAnsi="方正仿宋简体" w:cs="Arial"/>
          <w:color w:val="333333"/>
          <w:kern w:val="0"/>
          <w:sz w:val="32"/>
          <w:szCs w:val="32"/>
        </w:rPr>
        <w:t xml:space="preserve">50 </w:t>
      </w:r>
      <w:r>
        <w:rPr>
          <w:rFonts w:ascii="宋体" w:hAnsi="宋体" w:cs="Arial"/>
          <w:color w:val="333333"/>
          <w:kern w:val="0"/>
          <w:sz w:val="32"/>
          <w:szCs w:val="32"/>
        </w:rPr>
        <w:t>部。</w:t>
      </w:r>
    </w:p>
    <w:p>
      <w:pPr>
        <w:widowControl/>
        <w:spacing w:line="360" w:lineRule="auto"/>
        <w:ind w:firstLine="640"/>
        <w:rPr>
          <w:rFonts w:ascii="方正仿宋简体" w:hAnsi="宋体" w:cs="Arial"/>
          <w:b/>
          <w:bCs/>
          <w:color w:val="333333"/>
          <w:kern w:val="0"/>
          <w:sz w:val="32"/>
          <w:szCs w:val="32"/>
        </w:rPr>
      </w:pPr>
      <w:r>
        <w:rPr>
          <w:rFonts w:ascii="宋体" w:hAnsi="宋体"/>
          <w:b/>
          <w:bCs/>
          <w:color w:val="333333"/>
          <w:kern w:val="0"/>
          <w:sz w:val="32"/>
          <w:szCs w:val="32"/>
        </w:rPr>
        <w:t>二、</w:t>
      </w:r>
      <w:r>
        <w:rPr>
          <w:rFonts w:hint="eastAsia" w:ascii="宋体" w:hAnsi="宋体"/>
          <w:b/>
          <w:bCs/>
          <w:color w:val="333333"/>
          <w:kern w:val="0"/>
          <w:sz w:val="32"/>
          <w:szCs w:val="32"/>
        </w:rPr>
        <w:t>单位</w:t>
      </w:r>
      <w:r>
        <w:rPr>
          <w:rFonts w:ascii="宋体" w:hAnsi="宋体"/>
          <w:b/>
          <w:bCs/>
          <w:color w:val="333333"/>
          <w:kern w:val="0"/>
          <w:sz w:val="32"/>
          <w:szCs w:val="32"/>
        </w:rPr>
        <w:t>预算安排的总体情况（见附表</w:t>
      </w:r>
      <w:r>
        <w:rPr>
          <w:rFonts w:ascii="方正黑体简体" w:hAnsi="方正黑体简体"/>
          <w:b/>
          <w:bCs/>
          <w:color w:val="333333"/>
          <w:kern w:val="0"/>
          <w:sz w:val="32"/>
          <w:szCs w:val="32"/>
        </w:rPr>
        <w:t>1-9</w:t>
      </w:r>
      <w:r>
        <w:rPr>
          <w:rFonts w:ascii="宋体" w:hAnsi="宋体"/>
          <w:b/>
          <w:bCs/>
          <w:color w:val="333333"/>
          <w:kern w:val="0"/>
          <w:sz w:val="32"/>
          <w:szCs w:val="32"/>
        </w:rPr>
        <w:t>）</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1</w:t>
      </w:r>
      <w:r>
        <w:rPr>
          <w:rFonts w:ascii="宋体" w:hAnsi="宋体" w:cs="Arial"/>
          <w:color w:val="333333"/>
          <w:kern w:val="0"/>
          <w:sz w:val="32"/>
          <w:szCs w:val="32"/>
        </w:rPr>
        <w:t>、收入说明。</w:t>
      </w:r>
      <w:r>
        <w:rPr>
          <w:rFonts w:ascii="方正仿宋简体" w:hAnsi="方正仿宋简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年预算收入</w:t>
      </w:r>
      <w:r>
        <w:rPr>
          <w:rFonts w:hint="eastAsia" w:ascii="方正仿宋简体" w:hAnsi="方正仿宋简体" w:cs="Arial"/>
          <w:color w:val="333333"/>
          <w:kern w:val="0"/>
          <w:sz w:val="32"/>
          <w:szCs w:val="32"/>
        </w:rPr>
        <w:t>1344.74</w:t>
      </w:r>
      <w:r>
        <w:rPr>
          <w:rFonts w:ascii="宋体" w:hAnsi="宋体" w:cs="Arial"/>
          <w:color w:val="333333"/>
          <w:kern w:val="0"/>
          <w:sz w:val="32"/>
          <w:szCs w:val="32"/>
        </w:rPr>
        <w:t>万元，其中：财政拨款收入</w:t>
      </w:r>
      <w:r>
        <w:rPr>
          <w:rFonts w:hint="eastAsia" w:ascii="方正仿宋简体" w:hAnsi="方正仿宋简体" w:cs="Arial"/>
          <w:color w:val="333333"/>
          <w:kern w:val="0"/>
          <w:sz w:val="32"/>
          <w:szCs w:val="32"/>
        </w:rPr>
        <w:t>1344.74</w:t>
      </w:r>
      <w:r>
        <w:rPr>
          <w:rFonts w:ascii="方正仿宋简体" w:hAnsi="宋体" w:cs="Arial"/>
          <w:color w:val="333333"/>
          <w:kern w:val="0"/>
          <w:sz w:val="32"/>
          <w:szCs w:val="32"/>
        </w:rPr>
        <w:t xml:space="preserve"> </w:t>
      </w:r>
      <w:r>
        <w:rPr>
          <w:rFonts w:ascii="宋体" w:hAnsi="宋体" w:cs="Arial"/>
          <w:color w:val="333333"/>
          <w:kern w:val="0"/>
          <w:sz w:val="32"/>
          <w:szCs w:val="32"/>
        </w:rPr>
        <w:t>万元。</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2</w:t>
      </w:r>
      <w:r>
        <w:rPr>
          <w:rFonts w:ascii="宋体" w:hAnsi="宋体" w:cs="Arial"/>
          <w:color w:val="333333"/>
          <w:kern w:val="0"/>
          <w:sz w:val="32"/>
          <w:szCs w:val="32"/>
        </w:rPr>
        <w:t>、支出说明。</w:t>
      </w:r>
      <w:r>
        <w:rPr>
          <w:rFonts w:ascii="方正仿宋简体" w:hAnsi="方正仿宋简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年支出预算</w:t>
      </w:r>
      <w:r>
        <w:rPr>
          <w:rFonts w:hint="eastAsia" w:ascii="方正仿宋简体" w:hAnsi="方正仿宋简体" w:cs="Arial"/>
          <w:color w:val="333333"/>
          <w:kern w:val="0"/>
          <w:sz w:val="32"/>
          <w:szCs w:val="32"/>
        </w:rPr>
        <w:t>1344.74</w:t>
      </w:r>
      <w:r>
        <w:rPr>
          <w:rFonts w:ascii="宋体" w:hAnsi="宋体" w:cs="Arial"/>
          <w:color w:val="333333"/>
          <w:kern w:val="0"/>
          <w:sz w:val="32"/>
          <w:szCs w:val="32"/>
        </w:rPr>
        <w:t>万元，其中基本支出</w:t>
      </w:r>
      <w:r>
        <w:rPr>
          <w:rFonts w:hint="eastAsia" w:ascii="方正仿宋简体" w:hAnsi="方正仿宋简体" w:cs="Arial"/>
          <w:color w:val="333333"/>
          <w:kern w:val="0"/>
          <w:sz w:val="32"/>
          <w:szCs w:val="32"/>
        </w:rPr>
        <w:t>763.98</w:t>
      </w:r>
      <w:r>
        <w:rPr>
          <w:rFonts w:ascii="宋体" w:hAnsi="宋体" w:cs="Arial"/>
          <w:color w:val="333333"/>
          <w:kern w:val="0"/>
          <w:sz w:val="32"/>
          <w:szCs w:val="32"/>
        </w:rPr>
        <w:t>万元（包括人员经费</w:t>
      </w:r>
      <w:r>
        <w:rPr>
          <w:rFonts w:hint="eastAsia" w:ascii="方正仿宋简体" w:hAnsi="方正仿宋简体" w:cs="Arial"/>
          <w:color w:val="333333"/>
          <w:kern w:val="0"/>
          <w:sz w:val="32"/>
          <w:szCs w:val="32"/>
        </w:rPr>
        <w:t>721.77</w:t>
      </w:r>
      <w:r>
        <w:rPr>
          <w:rFonts w:ascii="宋体" w:hAnsi="宋体" w:cs="Arial"/>
          <w:color w:val="333333"/>
          <w:kern w:val="0"/>
          <w:sz w:val="32"/>
          <w:szCs w:val="32"/>
        </w:rPr>
        <w:t>万元，日常公用</w:t>
      </w:r>
      <w:r>
        <w:rPr>
          <w:rFonts w:hint="eastAsia" w:ascii="方正仿宋简体" w:hAnsi="方正仿宋简体" w:cs="Arial"/>
          <w:color w:val="333333"/>
          <w:kern w:val="0"/>
          <w:sz w:val="32"/>
          <w:szCs w:val="32"/>
        </w:rPr>
        <w:t>42.21</w:t>
      </w:r>
      <w:r>
        <w:rPr>
          <w:rFonts w:ascii="宋体" w:hAnsi="宋体" w:cs="Arial"/>
          <w:color w:val="333333"/>
          <w:kern w:val="0"/>
          <w:sz w:val="32"/>
          <w:szCs w:val="32"/>
        </w:rPr>
        <w:t>万元），项目支出</w:t>
      </w:r>
      <w:r>
        <w:rPr>
          <w:rFonts w:hint="eastAsia" w:ascii="方正仿宋简体" w:hAnsi="方正仿宋简体" w:cs="Arial"/>
          <w:color w:val="333333"/>
          <w:kern w:val="0"/>
          <w:sz w:val="32"/>
          <w:szCs w:val="32"/>
        </w:rPr>
        <w:t>580.76</w:t>
      </w:r>
      <w:r>
        <w:rPr>
          <w:rFonts w:ascii="宋体" w:hAnsi="宋体" w:cs="Arial"/>
          <w:color w:val="333333"/>
          <w:kern w:val="0"/>
          <w:sz w:val="32"/>
          <w:szCs w:val="32"/>
        </w:rPr>
        <w:t>万元。</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3</w:t>
      </w:r>
      <w:r>
        <w:rPr>
          <w:rFonts w:ascii="宋体" w:hAnsi="宋体" w:cs="Arial"/>
          <w:color w:val="333333"/>
          <w:kern w:val="0"/>
          <w:sz w:val="32"/>
          <w:szCs w:val="32"/>
        </w:rPr>
        <w:t>、比上年增减情况。</w:t>
      </w:r>
      <w:r>
        <w:rPr>
          <w:rFonts w:ascii="方正仿宋简体" w:hAnsi="方正仿宋简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年预算收支安排</w:t>
      </w:r>
      <w:r>
        <w:rPr>
          <w:rFonts w:hint="eastAsia" w:ascii="方正仿宋简体" w:hAnsi="方正仿宋简体" w:cs="Arial"/>
          <w:color w:val="333333"/>
          <w:kern w:val="0"/>
          <w:sz w:val="32"/>
          <w:szCs w:val="32"/>
        </w:rPr>
        <w:t>1344.74</w:t>
      </w:r>
      <w:r>
        <w:rPr>
          <w:rFonts w:ascii="宋体" w:hAnsi="宋体" w:cs="Arial"/>
          <w:color w:val="333333"/>
          <w:kern w:val="0"/>
          <w:sz w:val="32"/>
          <w:szCs w:val="32"/>
        </w:rPr>
        <w:t>万元，较</w:t>
      </w:r>
      <w:r>
        <w:rPr>
          <w:rFonts w:hint="eastAsia" w:ascii="方正仿宋简体" w:hAnsi="方正仿宋简体" w:cs="Arial"/>
          <w:color w:val="333333"/>
          <w:kern w:val="0"/>
          <w:sz w:val="32"/>
          <w:szCs w:val="32"/>
        </w:rPr>
        <w:t>2020</w:t>
      </w:r>
      <w:r>
        <w:rPr>
          <w:rFonts w:ascii="宋体" w:hAnsi="宋体" w:cs="Arial"/>
          <w:color w:val="333333"/>
          <w:kern w:val="0"/>
          <w:sz w:val="32"/>
          <w:szCs w:val="32"/>
        </w:rPr>
        <w:t>年预算</w:t>
      </w:r>
      <w:r>
        <w:rPr>
          <w:rFonts w:hint="eastAsia" w:ascii="宋体" w:hAnsi="宋体" w:cs="Arial"/>
          <w:color w:val="333333"/>
          <w:kern w:val="0"/>
          <w:sz w:val="32"/>
          <w:szCs w:val="32"/>
        </w:rPr>
        <w:t>减少</w:t>
      </w:r>
      <w:r>
        <w:rPr>
          <w:rFonts w:hint="eastAsia" w:ascii="方正仿宋简体" w:hAnsi="方正仿宋简体" w:cs="Arial"/>
          <w:color w:val="333333"/>
          <w:kern w:val="0"/>
          <w:sz w:val="32"/>
          <w:szCs w:val="32"/>
        </w:rPr>
        <w:t>2418.40</w:t>
      </w:r>
      <w:r>
        <w:rPr>
          <w:rFonts w:ascii="宋体" w:hAnsi="宋体" w:cs="Arial"/>
          <w:color w:val="333333"/>
          <w:kern w:val="0"/>
          <w:sz w:val="32"/>
          <w:szCs w:val="32"/>
        </w:rPr>
        <w:t>万元。其中：基本支出减少</w:t>
      </w:r>
      <w:r>
        <w:rPr>
          <w:rFonts w:hint="eastAsia" w:ascii="方正仿宋简体" w:hAnsi="方正仿宋简体" w:cs="Arial"/>
          <w:color w:val="333333"/>
          <w:kern w:val="0"/>
          <w:sz w:val="32"/>
          <w:szCs w:val="32"/>
        </w:rPr>
        <w:t>39.29</w:t>
      </w:r>
      <w:r>
        <w:rPr>
          <w:rFonts w:ascii="宋体" w:hAnsi="宋体" w:cs="Arial"/>
          <w:color w:val="333333"/>
          <w:kern w:val="0"/>
          <w:sz w:val="32"/>
          <w:szCs w:val="32"/>
        </w:rPr>
        <w:t>万元，主要是人员经费减少</w:t>
      </w:r>
      <w:r>
        <w:rPr>
          <w:rFonts w:hint="eastAsia" w:ascii="方正仿宋简体" w:hAnsi="方正仿宋简体" w:cs="Arial"/>
          <w:color w:val="333333"/>
          <w:kern w:val="0"/>
          <w:sz w:val="32"/>
          <w:szCs w:val="32"/>
        </w:rPr>
        <w:t>37.95</w:t>
      </w:r>
      <w:r>
        <w:rPr>
          <w:rFonts w:ascii="宋体" w:hAnsi="宋体" w:cs="Arial"/>
          <w:color w:val="333333"/>
          <w:kern w:val="0"/>
          <w:sz w:val="32"/>
          <w:szCs w:val="32"/>
        </w:rPr>
        <w:t>万元（人员减少，工资福利支出相应减少），日常公用减少</w:t>
      </w:r>
      <w:r>
        <w:rPr>
          <w:rFonts w:hint="eastAsia" w:ascii="方正仿宋简体" w:hAnsi="方正仿宋简体" w:cs="Arial"/>
          <w:color w:val="333333"/>
          <w:kern w:val="0"/>
          <w:sz w:val="32"/>
          <w:szCs w:val="32"/>
        </w:rPr>
        <w:t>1.34</w:t>
      </w:r>
      <w:r>
        <w:rPr>
          <w:rFonts w:ascii="宋体" w:hAnsi="宋体" w:cs="Arial"/>
          <w:color w:val="333333"/>
          <w:kern w:val="0"/>
          <w:sz w:val="32"/>
          <w:szCs w:val="32"/>
        </w:rPr>
        <w:t>万元（在职人员较</w:t>
      </w:r>
      <w:r>
        <w:rPr>
          <w:rFonts w:hint="eastAsia" w:ascii="方正仿宋简体" w:hAnsi="方正仿宋简体" w:cs="Arial"/>
          <w:color w:val="333333"/>
          <w:kern w:val="0"/>
          <w:sz w:val="32"/>
          <w:szCs w:val="32"/>
        </w:rPr>
        <w:t>2020</w:t>
      </w:r>
      <w:r>
        <w:rPr>
          <w:rFonts w:ascii="宋体" w:hAnsi="宋体" w:cs="Arial"/>
          <w:color w:val="333333"/>
          <w:kern w:val="0"/>
          <w:sz w:val="32"/>
          <w:szCs w:val="32"/>
        </w:rPr>
        <w:t>年减少</w:t>
      </w:r>
      <w:r>
        <w:rPr>
          <w:rFonts w:hint="eastAsia" w:ascii="方正仿宋简体" w:hAnsi="方正仿宋简体" w:cs="Arial"/>
          <w:color w:val="333333"/>
          <w:kern w:val="0"/>
          <w:sz w:val="32"/>
          <w:szCs w:val="32"/>
        </w:rPr>
        <w:t>4</w:t>
      </w:r>
      <w:r>
        <w:rPr>
          <w:rFonts w:ascii="宋体" w:hAnsi="宋体" w:cs="Arial"/>
          <w:color w:val="333333"/>
          <w:kern w:val="0"/>
          <w:sz w:val="32"/>
          <w:szCs w:val="32"/>
        </w:rPr>
        <w:t>人，公务补贴支出和日常公用支出相应减少）；项目支出</w:t>
      </w:r>
      <w:r>
        <w:rPr>
          <w:rFonts w:hint="eastAsia" w:ascii="宋体" w:hAnsi="宋体" w:cs="Arial"/>
          <w:color w:val="333333"/>
          <w:kern w:val="0"/>
          <w:sz w:val="32"/>
          <w:szCs w:val="32"/>
        </w:rPr>
        <w:t>减少</w:t>
      </w:r>
      <w:r>
        <w:rPr>
          <w:rFonts w:hint="eastAsia" w:ascii="方正仿宋简体" w:hAnsi="方正仿宋简体" w:cs="Arial"/>
          <w:color w:val="333333"/>
          <w:kern w:val="0"/>
          <w:sz w:val="32"/>
          <w:szCs w:val="32"/>
        </w:rPr>
        <w:t>2379.11</w:t>
      </w:r>
      <w:r>
        <w:rPr>
          <w:rFonts w:ascii="宋体" w:hAnsi="宋体" w:cs="Arial"/>
          <w:color w:val="333333"/>
          <w:kern w:val="0"/>
          <w:sz w:val="32"/>
          <w:szCs w:val="32"/>
        </w:rPr>
        <w:t>万元，主要为</w:t>
      </w:r>
      <w:r>
        <w:rPr>
          <w:rFonts w:hint="eastAsia" w:ascii="宋体" w:hAnsi="宋体" w:cs="Arial"/>
          <w:color w:val="333333"/>
          <w:kern w:val="0"/>
          <w:sz w:val="32"/>
          <w:szCs w:val="32"/>
        </w:rPr>
        <w:t>减少</w:t>
      </w:r>
      <w:r>
        <w:rPr>
          <w:rFonts w:ascii="宋体" w:hAnsi="宋体" w:cs="Arial"/>
          <w:color w:val="333333"/>
          <w:kern w:val="0"/>
          <w:sz w:val="32"/>
          <w:szCs w:val="32"/>
        </w:rPr>
        <w:t>上级财政提前通知转移支付及十四五编制规划等项目支出。</w:t>
      </w:r>
    </w:p>
    <w:p>
      <w:pPr>
        <w:widowControl/>
        <w:spacing w:line="360" w:lineRule="auto"/>
        <w:ind w:firstLine="640"/>
        <w:rPr>
          <w:rFonts w:ascii="方正黑体简体" w:hAnsi="方正黑体简体" w:cs="宋体"/>
          <w:b/>
          <w:bCs/>
          <w:color w:val="333333"/>
          <w:kern w:val="0"/>
          <w:sz w:val="32"/>
          <w:szCs w:val="32"/>
        </w:rPr>
      </w:pPr>
      <w:r>
        <w:rPr>
          <w:rFonts w:ascii="宋体" w:hAnsi="宋体"/>
          <w:b/>
          <w:bCs/>
          <w:color w:val="333333"/>
          <w:kern w:val="0"/>
          <w:sz w:val="32"/>
          <w:szCs w:val="32"/>
        </w:rPr>
        <w:t>三、机关运行经费安排情况</w:t>
      </w:r>
    </w:p>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202</w:t>
      </w:r>
      <w:r>
        <w:rPr>
          <w:rFonts w:hint="eastAsia" w:ascii="方正仿宋简体" w:hAnsi="方正仿宋简体" w:cs="Arial"/>
          <w:color w:val="333333"/>
          <w:kern w:val="0"/>
          <w:sz w:val="32"/>
          <w:szCs w:val="32"/>
        </w:rPr>
        <w:t>1</w:t>
      </w:r>
      <w:r>
        <w:rPr>
          <w:rFonts w:ascii="宋体" w:hAnsi="宋体" w:cs="Arial"/>
          <w:color w:val="333333"/>
          <w:kern w:val="0"/>
          <w:sz w:val="32"/>
          <w:szCs w:val="32"/>
        </w:rPr>
        <w:t>年</w:t>
      </w:r>
      <w:r>
        <w:rPr>
          <w:rFonts w:hint="eastAsia" w:ascii="宋体" w:hAnsi="宋体" w:cs="Arial"/>
          <w:color w:val="333333"/>
          <w:kern w:val="0"/>
          <w:sz w:val="32"/>
          <w:szCs w:val="32"/>
        </w:rPr>
        <w:t>单位</w:t>
      </w:r>
      <w:r>
        <w:rPr>
          <w:rFonts w:ascii="宋体" w:hAnsi="宋体" w:cs="Arial"/>
          <w:color w:val="333333"/>
          <w:kern w:val="0"/>
          <w:sz w:val="32"/>
          <w:szCs w:val="32"/>
        </w:rPr>
        <w:t>预算安排日常公用经费</w:t>
      </w:r>
      <w:r>
        <w:rPr>
          <w:rFonts w:hint="eastAsia" w:ascii="方正仿宋简体" w:hAnsi="方正仿宋简体" w:cs="Arial"/>
          <w:color w:val="333333"/>
          <w:kern w:val="0"/>
          <w:sz w:val="32"/>
          <w:szCs w:val="32"/>
        </w:rPr>
        <w:t>42.21</w:t>
      </w:r>
      <w:r>
        <w:rPr>
          <w:rFonts w:ascii="宋体" w:hAnsi="宋体" w:cs="Arial"/>
          <w:color w:val="333333"/>
          <w:kern w:val="0"/>
          <w:sz w:val="32"/>
          <w:szCs w:val="32"/>
        </w:rPr>
        <w:t>万元，</w:t>
      </w:r>
      <w:r>
        <w:rPr>
          <w:rFonts w:hint="eastAsia" w:ascii="方正仿宋简体" w:hAnsi="方正仿宋简体" w:cs="Arial"/>
          <w:color w:val="333333"/>
          <w:kern w:val="0"/>
          <w:sz w:val="32"/>
          <w:szCs w:val="32"/>
        </w:rPr>
        <w:t>2020</w:t>
      </w:r>
      <w:r>
        <w:rPr>
          <w:rFonts w:ascii="宋体" w:hAnsi="宋体" w:cs="Arial"/>
          <w:color w:val="333333"/>
          <w:kern w:val="0"/>
          <w:sz w:val="32"/>
          <w:szCs w:val="32"/>
        </w:rPr>
        <w:t>年实际支出</w:t>
      </w:r>
      <w:r>
        <w:rPr>
          <w:rFonts w:hint="eastAsia" w:ascii="方正仿宋简体" w:hAnsi="方正仿宋简体" w:cs="Arial"/>
          <w:color w:val="333333"/>
          <w:kern w:val="0"/>
          <w:sz w:val="32"/>
          <w:szCs w:val="32"/>
        </w:rPr>
        <w:t>67.11</w:t>
      </w:r>
      <w:r>
        <w:rPr>
          <w:rFonts w:ascii="宋体" w:hAnsi="宋体" w:cs="Arial"/>
          <w:color w:val="333333"/>
          <w:kern w:val="0"/>
          <w:sz w:val="32"/>
          <w:szCs w:val="32"/>
        </w:rPr>
        <w:t>万元，同比减少</w:t>
      </w:r>
      <w:r>
        <w:rPr>
          <w:rFonts w:hint="eastAsia" w:ascii="方正仿宋简体" w:hAnsi="方正仿宋简体" w:cs="Arial"/>
          <w:color w:val="333333"/>
          <w:kern w:val="0"/>
          <w:sz w:val="32"/>
          <w:szCs w:val="32"/>
        </w:rPr>
        <w:t>24.9</w:t>
      </w:r>
      <w:r>
        <w:rPr>
          <w:rFonts w:ascii="宋体" w:hAnsi="宋体" w:cs="Arial"/>
          <w:color w:val="333333"/>
          <w:kern w:val="0"/>
          <w:sz w:val="32"/>
          <w:szCs w:val="32"/>
        </w:rPr>
        <w:t>万元。减少的主要原因是人员减少相应减少日常公用支出。经费主要用于保证机关正常运转及印刷费、邮电费、差旅费、培训费、公务用车运行维护费等。</w:t>
      </w:r>
    </w:p>
    <w:p>
      <w:pPr>
        <w:widowControl/>
        <w:spacing w:line="360" w:lineRule="auto"/>
        <w:ind w:firstLine="640"/>
        <w:rPr>
          <w:rFonts w:ascii="方正黑体简体" w:hAnsi="方正黑体简体" w:cs="宋体"/>
          <w:b/>
          <w:bCs/>
          <w:color w:val="333333"/>
          <w:kern w:val="0"/>
          <w:sz w:val="32"/>
          <w:szCs w:val="32"/>
        </w:rPr>
      </w:pPr>
      <w:r>
        <w:rPr>
          <w:rFonts w:ascii="宋体" w:hAnsi="宋体"/>
          <w:b/>
          <w:bCs/>
          <w:color w:val="333333"/>
          <w:kern w:val="0"/>
          <w:sz w:val="32"/>
          <w:szCs w:val="32"/>
        </w:rPr>
        <w:t>四、财政拨款</w:t>
      </w:r>
      <w:r>
        <w:rPr>
          <w:rFonts w:ascii="方正黑体简体" w:hAnsi="方正黑体简体"/>
          <w:b/>
          <w:bCs/>
          <w:color w:val="333333"/>
          <w:kern w:val="0"/>
          <w:sz w:val="32"/>
          <w:szCs w:val="32"/>
        </w:rPr>
        <w:t>“</w:t>
      </w:r>
      <w:r>
        <w:rPr>
          <w:rFonts w:ascii="宋体" w:hAnsi="宋体"/>
          <w:b/>
          <w:bCs/>
          <w:color w:val="333333"/>
          <w:kern w:val="0"/>
          <w:sz w:val="32"/>
          <w:szCs w:val="32"/>
        </w:rPr>
        <w:t>三公</w:t>
      </w:r>
      <w:r>
        <w:rPr>
          <w:rFonts w:ascii="方正黑体简体" w:hAnsi="方正黑体简体"/>
          <w:b/>
          <w:bCs/>
          <w:color w:val="333333"/>
          <w:kern w:val="0"/>
          <w:sz w:val="32"/>
          <w:szCs w:val="32"/>
        </w:rPr>
        <w:t>”</w:t>
      </w:r>
      <w:r>
        <w:rPr>
          <w:rFonts w:ascii="宋体" w:hAnsi="宋体"/>
          <w:b/>
          <w:bCs/>
          <w:color w:val="333333"/>
          <w:kern w:val="0"/>
          <w:sz w:val="32"/>
          <w:szCs w:val="32"/>
        </w:rPr>
        <w:t>经费预算情况及增减变化原因</w:t>
      </w:r>
    </w:p>
    <w:p>
      <w:pPr>
        <w:ind w:firstLine="640" w:firstLineChars="200"/>
        <w:rPr>
          <w:rFonts w:ascii="方正仿宋简体" w:hAnsi="方正仿宋简体"/>
          <w:sz w:val="32"/>
          <w:szCs w:val="32"/>
        </w:rPr>
      </w:pPr>
      <w:r>
        <w:rPr>
          <w:rFonts w:ascii="方正仿宋简体" w:hAnsi="方正仿宋简体"/>
          <w:sz w:val="32"/>
          <w:szCs w:val="32"/>
        </w:rPr>
        <w:t>202</w:t>
      </w:r>
      <w:r>
        <w:rPr>
          <w:rFonts w:hint="eastAsia" w:ascii="方正仿宋简体" w:hAnsi="方正仿宋简体"/>
          <w:sz w:val="32"/>
          <w:szCs w:val="32"/>
        </w:rPr>
        <w:t>1</w:t>
      </w:r>
      <w:r>
        <w:rPr>
          <w:rFonts w:ascii="宋体" w:hAnsi="宋体"/>
          <w:sz w:val="32"/>
          <w:szCs w:val="32"/>
        </w:rPr>
        <w:t>年我</w:t>
      </w:r>
      <w:r>
        <w:rPr>
          <w:rFonts w:hint="eastAsia" w:ascii="宋体" w:hAnsi="宋体"/>
          <w:sz w:val="32"/>
          <w:szCs w:val="32"/>
        </w:rPr>
        <w:t>单位</w:t>
      </w:r>
      <w:r>
        <w:rPr>
          <w:rFonts w:ascii="方正仿宋简体" w:hAnsi="方正仿宋简体"/>
          <w:sz w:val="32"/>
          <w:szCs w:val="32"/>
        </w:rPr>
        <w:t>“</w:t>
      </w:r>
      <w:r>
        <w:rPr>
          <w:rFonts w:ascii="宋体" w:hAnsi="宋体"/>
          <w:sz w:val="32"/>
          <w:szCs w:val="32"/>
        </w:rPr>
        <w:t>三公</w:t>
      </w:r>
      <w:r>
        <w:rPr>
          <w:rFonts w:ascii="方正仿宋简体" w:hAnsi="方正仿宋简体"/>
          <w:sz w:val="32"/>
          <w:szCs w:val="32"/>
        </w:rPr>
        <w:t>”</w:t>
      </w:r>
      <w:r>
        <w:rPr>
          <w:rFonts w:ascii="宋体" w:hAnsi="宋体"/>
          <w:sz w:val="32"/>
          <w:szCs w:val="32"/>
        </w:rPr>
        <w:t>经费预算安排</w:t>
      </w:r>
      <w:r>
        <w:rPr>
          <w:rFonts w:hint="eastAsia" w:ascii="宋体" w:hAnsi="宋体"/>
          <w:sz w:val="32"/>
          <w:szCs w:val="32"/>
        </w:rPr>
        <w:t>41.52万</w:t>
      </w:r>
      <w:r>
        <w:rPr>
          <w:rFonts w:ascii="宋体" w:hAnsi="宋体"/>
          <w:sz w:val="32"/>
          <w:szCs w:val="32"/>
        </w:rPr>
        <w:t>元，较上年预算减少</w:t>
      </w:r>
      <w:r>
        <w:rPr>
          <w:rFonts w:hint="eastAsia" w:ascii="方正仿宋简体" w:hAnsi="方正仿宋简体"/>
          <w:sz w:val="32"/>
          <w:szCs w:val="32"/>
        </w:rPr>
        <w:t>25</w:t>
      </w:r>
      <w:r>
        <w:rPr>
          <w:rFonts w:ascii="宋体" w:hAnsi="宋体"/>
          <w:sz w:val="32"/>
          <w:szCs w:val="32"/>
        </w:rPr>
        <w:t>万元。具体安排情况为：</w:t>
      </w:r>
      <w:r>
        <w:rPr>
          <w:rFonts w:ascii="方正仿宋简体" w:hAnsi="方正仿宋简体"/>
          <w:sz w:val="32"/>
          <w:szCs w:val="32"/>
        </w:rPr>
        <w:t xml:space="preserve"> </w:t>
      </w:r>
    </w:p>
    <w:p>
      <w:pPr>
        <w:ind w:firstLine="480" w:firstLineChars="150"/>
        <w:rPr>
          <w:rFonts w:ascii="方正仿宋简体" w:hAnsi="方正仿宋简体"/>
          <w:sz w:val="32"/>
          <w:szCs w:val="32"/>
        </w:rPr>
      </w:pPr>
      <w:r>
        <w:rPr>
          <w:rFonts w:ascii="宋体" w:hAnsi="宋体"/>
          <w:sz w:val="32"/>
          <w:szCs w:val="32"/>
        </w:rPr>
        <w:t>（一）公务用车购置及运行费。共计安排</w:t>
      </w:r>
      <w:r>
        <w:rPr>
          <w:rFonts w:hint="eastAsia" w:ascii="方正仿宋简体" w:hAnsi="方正仿宋简体"/>
          <w:sz w:val="32"/>
          <w:szCs w:val="32"/>
        </w:rPr>
        <w:t>1</w:t>
      </w:r>
      <w:r>
        <w:rPr>
          <w:rFonts w:ascii="方正仿宋简体" w:hAnsi="方正仿宋简体"/>
          <w:sz w:val="32"/>
          <w:szCs w:val="32"/>
        </w:rPr>
        <w:t>5.67</w:t>
      </w:r>
      <w:r>
        <w:rPr>
          <w:rFonts w:ascii="宋体" w:hAnsi="宋体"/>
          <w:sz w:val="32"/>
          <w:szCs w:val="32"/>
        </w:rPr>
        <w:t>万元，</w:t>
      </w:r>
      <w:r>
        <w:rPr>
          <w:rFonts w:hint="eastAsia" w:ascii="宋体" w:hAnsi="宋体"/>
          <w:sz w:val="32"/>
          <w:szCs w:val="32"/>
        </w:rPr>
        <w:t>较上年减少</w:t>
      </w:r>
      <w:r>
        <w:rPr>
          <w:rFonts w:hint="eastAsia" w:ascii="方正仿宋简体" w:hAnsi="方正仿宋简体"/>
          <w:sz w:val="32"/>
          <w:szCs w:val="32"/>
        </w:rPr>
        <w:t>10</w:t>
      </w:r>
      <w:r>
        <w:rPr>
          <w:rFonts w:hint="eastAsia" w:ascii="宋体" w:hAnsi="宋体"/>
          <w:sz w:val="32"/>
          <w:szCs w:val="32"/>
        </w:rPr>
        <w:t>万元</w:t>
      </w:r>
      <w:r>
        <w:rPr>
          <w:rFonts w:ascii="宋体" w:hAnsi="宋体"/>
          <w:sz w:val="32"/>
          <w:szCs w:val="32"/>
        </w:rPr>
        <w:t>，主要原因是</w:t>
      </w:r>
      <w:r>
        <w:rPr>
          <w:rFonts w:hint="eastAsia" w:ascii="宋体" w:hAnsi="宋体"/>
          <w:sz w:val="32"/>
          <w:szCs w:val="32"/>
        </w:rPr>
        <w:t>节约开支</w:t>
      </w:r>
      <w:r>
        <w:rPr>
          <w:rFonts w:ascii="宋体" w:hAnsi="宋体"/>
          <w:sz w:val="32"/>
          <w:szCs w:val="32"/>
        </w:rPr>
        <w:t>。</w:t>
      </w:r>
    </w:p>
    <w:p>
      <w:pPr>
        <w:ind w:firstLine="640" w:firstLineChars="200"/>
        <w:rPr>
          <w:rFonts w:ascii="方正仿宋简体" w:hAnsi="方正仿宋简体"/>
          <w:sz w:val="32"/>
          <w:szCs w:val="32"/>
        </w:rPr>
      </w:pPr>
      <w:r>
        <w:rPr>
          <w:rFonts w:hint="eastAsia" w:ascii="宋体" w:hAnsi="宋体"/>
          <w:sz w:val="32"/>
          <w:szCs w:val="32"/>
        </w:rPr>
        <w:t>①</w:t>
      </w:r>
      <w:r>
        <w:rPr>
          <w:rFonts w:ascii="宋体" w:hAnsi="宋体"/>
          <w:sz w:val="32"/>
          <w:szCs w:val="32"/>
        </w:rPr>
        <w:t>公务用车购置安排</w:t>
      </w:r>
      <w:r>
        <w:rPr>
          <w:rFonts w:ascii="方正仿宋简体" w:hAnsi="方正仿宋简体"/>
          <w:sz w:val="32"/>
          <w:szCs w:val="32"/>
        </w:rPr>
        <w:t>0</w:t>
      </w:r>
      <w:r>
        <w:rPr>
          <w:rFonts w:ascii="宋体" w:hAnsi="宋体"/>
          <w:sz w:val="32"/>
          <w:szCs w:val="32"/>
        </w:rPr>
        <w:t>万元。与上年持平，无增减变化，主要原因是无公务用车购置预算安排。</w:t>
      </w:r>
    </w:p>
    <w:p>
      <w:pPr>
        <w:ind w:firstLine="640" w:firstLineChars="200"/>
        <w:rPr>
          <w:rFonts w:ascii="方正仿宋简体" w:hAnsi="方正仿宋简体"/>
          <w:sz w:val="32"/>
          <w:szCs w:val="32"/>
        </w:rPr>
      </w:pPr>
      <w:r>
        <w:rPr>
          <w:rFonts w:hint="eastAsia" w:ascii="宋体" w:hAnsi="宋体"/>
          <w:sz w:val="32"/>
          <w:szCs w:val="32"/>
        </w:rPr>
        <w:t>②</w:t>
      </w:r>
      <w:r>
        <w:rPr>
          <w:rFonts w:ascii="宋体" w:hAnsi="宋体"/>
          <w:sz w:val="32"/>
          <w:szCs w:val="32"/>
        </w:rPr>
        <w:t>公车运行维护经费安排</w:t>
      </w:r>
      <w:r>
        <w:rPr>
          <w:rFonts w:hint="eastAsia" w:ascii="方正仿宋简体" w:hAnsi="方正仿宋简体"/>
          <w:sz w:val="32"/>
          <w:szCs w:val="32"/>
        </w:rPr>
        <w:t>1</w:t>
      </w:r>
      <w:r>
        <w:rPr>
          <w:rFonts w:ascii="方正仿宋简体" w:hAnsi="方正仿宋简体"/>
          <w:sz w:val="32"/>
          <w:szCs w:val="32"/>
        </w:rPr>
        <w:t>5.67</w:t>
      </w:r>
      <w:r>
        <w:rPr>
          <w:rFonts w:ascii="宋体" w:hAnsi="宋体"/>
          <w:sz w:val="32"/>
          <w:szCs w:val="32"/>
        </w:rPr>
        <w:t>万元，</w:t>
      </w:r>
      <w:r>
        <w:rPr>
          <w:rFonts w:hint="eastAsia" w:ascii="宋体" w:hAnsi="宋体"/>
          <w:sz w:val="32"/>
          <w:szCs w:val="32"/>
        </w:rPr>
        <w:t>较上年减少</w:t>
      </w:r>
      <w:r>
        <w:rPr>
          <w:rFonts w:hint="eastAsia" w:ascii="方正仿宋简体" w:hAnsi="方正仿宋简体"/>
          <w:sz w:val="32"/>
          <w:szCs w:val="32"/>
        </w:rPr>
        <w:t>10</w:t>
      </w:r>
      <w:r>
        <w:rPr>
          <w:rFonts w:hint="eastAsia" w:ascii="宋体" w:hAnsi="宋体"/>
          <w:sz w:val="32"/>
          <w:szCs w:val="32"/>
        </w:rPr>
        <w:t>万元</w:t>
      </w:r>
      <w:r>
        <w:rPr>
          <w:rFonts w:ascii="宋体" w:hAnsi="宋体"/>
          <w:sz w:val="32"/>
          <w:szCs w:val="32"/>
        </w:rPr>
        <w:t>，主要原因是</w:t>
      </w:r>
      <w:r>
        <w:rPr>
          <w:rFonts w:hint="eastAsia" w:ascii="宋体" w:hAnsi="宋体"/>
          <w:sz w:val="32"/>
          <w:szCs w:val="32"/>
        </w:rPr>
        <w:t>节约开支</w:t>
      </w:r>
      <w:r>
        <w:rPr>
          <w:rFonts w:ascii="宋体" w:hAnsi="宋体"/>
          <w:sz w:val="32"/>
          <w:szCs w:val="32"/>
        </w:rPr>
        <w:t>。</w:t>
      </w:r>
    </w:p>
    <w:p>
      <w:pPr>
        <w:ind w:firstLine="640" w:firstLineChars="200"/>
        <w:rPr>
          <w:rFonts w:ascii="方正仿宋简体" w:hAnsi="方正仿宋简体"/>
          <w:sz w:val="32"/>
          <w:szCs w:val="32"/>
        </w:rPr>
      </w:pPr>
      <w:r>
        <w:rPr>
          <w:rFonts w:ascii="宋体" w:hAnsi="宋体"/>
          <w:sz w:val="32"/>
          <w:szCs w:val="32"/>
        </w:rPr>
        <w:t>（二）公务接待费安排</w:t>
      </w:r>
      <w:r>
        <w:rPr>
          <w:rFonts w:hint="eastAsia" w:ascii="方正仿宋简体" w:hAnsi="方正仿宋简体"/>
          <w:sz w:val="32"/>
          <w:szCs w:val="32"/>
        </w:rPr>
        <w:t>25</w:t>
      </w:r>
      <w:r>
        <w:rPr>
          <w:rFonts w:ascii="方正仿宋简体" w:hAnsi="方正仿宋简体"/>
          <w:sz w:val="32"/>
          <w:szCs w:val="32"/>
        </w:rPr>
        <w:t>.85</w:t>
      </w:r>
      <w:r>
        <w:rPr>
          <w:rFonts w:ascii="宋体" w:hAnsi="宋体"/>
          <w:sz w:val="32"/>
          <w:szCs w:val="32"/>
        </w:rPr>
        <w:t>万元，较上年预算减少</w:t>
      </w:r>
      <w:r>
        <w:rPr>
          <w:rFonts w:hint="eastAsia" w:ascii="方正仿宋简体" w:hAnsi="方正仿宋简体"/>
          <w:sz w:val="32"/>
          <w:szCs w:val="32"/>
        </w:rPr>
        <w:t>15</w:t>
      </w:r>
      <w:r>
        <w:rPr>
          <w:rFonts w:ascii="宋体" w:hAnsi="宋体"/>
          <w:sz w:val="32"/>
          <w:szCs w:val="32"/>
        </w:rPr>
        <w:t>万元。减少原因为节约开支。</w:t>
      </w:r>
    </w:p>
    <w:p>
      <w:pPr>
        <w:ind w:firstLine="640" w:firstLineChars="200"/>
        <w:rPr>
          <w:rFonts w:ascii="方正仿宋简体" w:hAnsi="方正仿宋简体"/>
          <w:sz w:val="32"/>
          <w:szCs w:val="32"/>
        </w:rPr>
      </w:pPr>
      <w:r>
        <w:rPr>
          <w:rFonts w:ascii="宋体" w:hAnsi="宋体"/>
          <w:sz w:val="32"/>
          <w:szCs w:val="32"/>
        </w:rPr>
        <w:t>（三）因公出国（境）费安排</w:t>
      </w:r>
      <w:r>
        <w:rPr>
          <w:rFonts w:ascii="方正仿宋简体" w:hAnsi="方正仿宋简体"/>
          <w:sz w:val="32"/>
          <w:szCs w:val="32"/>
        </w:rPr>
        <w:t>0</w:t>
      </w:r>
      <w:r>
        <w:rPr>
          <w:rFonts w:ascii="宋体" w:hAnsi="宋体"/>
          <w:sz w:val="32"/>
          <w:szCs w:val="32"/>
        </w:rPr>
        <w:t>万元，与上年持平，无增减变化，主要原因是无因公出国（境）预算安排。</w:t>
      </w:r>
    </w:p>
    <w:p>
      <w:pPr>
        <w:widowControl/>
        <w:spacing w:line="360" w:lineRule="auto"/>
        <w:ind w:firstLine="640"/>
        <w:rPr>
          <w:rFonts w:ascii="方正黑体简体" w:hAnsi="方正黑体简体"/>
          <w:b/>
          <w:bCs/>
          <w:color w:val="333333"/>
          <w:kern w:val="0"/>
          <w:sz w:val="32"/>
          <w:szCs w:val="32"/>
        </w:rPr>
      </w:pPr>
      <w:r>
        <w:rPr>
          <w:rFonts w:ascii="宋体" w:hAnsi="宋体"/>
          <w:b/>
          <w:bCs/>
          <w:color w:val="333333"/>
          <w:kern w:val="0"/>
          <w:sz w:val="32"/>
          <w:szCs w:val="32"/>
        </w:rPr>
        <w:t>五、绩效预算信息</w:t>
      </w:r>
    </w:p>
    <w:p>
      <w:pPr>
        <w:widowControl/>
        <w:spacing w:line="360" w:lineRule="auto"/>
        <w:ind w:firstLine="640"/>
        <w:rPr>
          <w:rFonts w:ascii="方正楷体简体" w:hAnsi="方正楷体简体"/>
          <w:b/>
          <w:bCs/>
          <w:color w:val="333333"/>
          <w:kern w:val="0"/>
          <w:sz w:val="32"/>
          <w:szCs w:val="32"/>
        </w:rPr>
      </w:pPr>
      <w:r>
        <w:rPr>
          <w:rFonts w:ascii="宋体" w:hAnsi="宋体"/>
          <w:b/>
          <w:bCs/>
          <w:color w:val="333333"/>
          <w:kern w:val="0"/>
          <w:sz w:val="32"/>
          <w:szCs w:val="32"/>
        </w:rPr>
        <w:t>（一）、总体绩效目标。</w:t>
      </w:r>
    </w:p>
    <w:p>
      <w:pPr>
        <w:ind w:firstLine="640" w:firstLineChars="200"/>
        <w:rPr>
          <w:rFonts w:ascii="Calibri" w:hAnsi="Calibri"/>
          <w:color w:val="000000"/>
          <w:sz w:val="32"/>
          <w:szCs w:val="32"/>
        </w:rPr>
      </w:pPr>
      <w:r>
        <w:rPr>
          <w:rFonts w:hint="eastAsia" w:ascii="宋体" w:hAnsi="宋体"/>
          <w:sz w:val="32"/>
          <w:szCs w:val="32"/>
        </w:rPr>
        <w:t>坚持以习近平新时代中国特色社会主义思想为指导，</w:t>
      </w:r>
      <w:r>
        <w:rPr>
          <w:rFonts w:hint="eastAsia" w:ascii="宋体" w:hAnsi="宋体"/>
          <w:color w:val="000000"/>
          <w:sz w:val="32"/>
          <w:szCs w:val="32"/>
        </w:rPr>
        <w:t>积极提高政治站位，把握发展大势，不断强化担当精神和责任意识，坚决贯彻落实中央和省委、省政府决策部署，在做细做实各项防控措施的基础上，紧盯全年目标任务不放松，全力推动经济发展和项目建设等重点工作顺利开展。抓好经济运行，确保目标任务完成</w:t>
      </w:r>
      <w:r>
        <w:rPr>
          <w:rFonts w:hint="eastAsia" w:ascii="宋体" w:hAnsi="宋体"/>
          <w:color w:val="000000"/>
          <w:kern w:val="0"/>
          <w:sz w:val="32"/>
          <w:szCs w:val="32"/>
        </w:rPr>
        <w:t>。加强主要经济指标分析、调度，克服疫情影响，提出行之有效地建议措施，为领导决策当好参谋，力争各项指标完成全年既定目标任务。</w:t>
      </w:r>
      <w:r>
        <w:rPr>
          <w:rFonts w:hint="eastAsia" w:ascii="宋体" w:hAnsi="宋体"/>
          <w:color w:val="000000"/>
          <w:sz w:val="32"/>
          <w:szCs w:val="32"/>
        </w:rPr>
        <w:t>抓好项目建设，增强经济整体实力。做好项目督导工作，力争省、市重点项目年内完成投资建设任务。</w:t>
      </w:r>
      <w:r>
        <w:rPr>
          <w:rFonts w:hint="eastAsia" w:ascii="宋体" w:hAnsi="宋体"/>
          <w:color w:val="000000"/>
          <w:kern w:val="0"/>
          <w:sz w:val="32"/>
          <w:szCs w:val="32"/>
        </w:rPr>
        <w:t>持续优化招商格局，提升临港产业项目质量。</w:t>
      </w:r>
      <w:r>
        <w:rPr>
          <w:rFonts w:hint="eastAsia" w:ascii="宋体" w:hAnsi="宋体"/>
          <w:color w:val="000000"/>
          <w:sz w:val="32"/>
          <w:szCs w:val="32"/>
        </w:rPr>
        <w:t>抓好节能管理，完成市达目标任务。加强重点企业用煤监管，对企业用煤实行月调度及总量控制手段，抓好高耗能企业，切实完成好节能削煤降炭目标任务。继续做好价格管理工作。发挥好价格管理工作中政府指导作用，做好事中事后监督。继续抓好粮食流通管理，规范粮食流通秩序，保障粮食安全。</w:t>
      </w:r>
    </w:p>
    <w:p>
      <w:pPr>
        <w:pStyle w:val="12"/>
        <w:numPr>
          <w:ilvl w:val="0"/>
          <w:numId w:val="1"/>
        </w:numPr>
        <w:spacing w:beforeLines="50" w:afterLines="50" w:line="580" w:lineRule="exact"/>
        <w:ind w:firstLineChars="0"/>
        <w:rPr>
          <w:rFonts w:hint="eastAsia"/>
          <w:sz w:val="32"/>
          <w:szCs w:val="32"/>
        </w:rPr>
      </w:pPr>
      <w:r>
        <w:rPr>
          <w:rFonts w:ascii="宋体" w:hAnsi="宋体"/>
          <w:sz w:val="32"/>
          <w:szCs w:val="32"/>
        </w:rPr>
        <w:t>分项绩效目标</w:t>
      </w:r>
    </w:p>
    <w:p>
      <w:pPr>
        <w:pStyle w:val="13"/>
        <w:ind w:firstLine="640"/>
        <w:rPr>
          <w:rFonts w:ascii="宋体" w:hAnsi="宋体"/>
          <w:sz w:val="32"/>
          <w:szCs w:val="32"/>
        </w:rPr>
      </w:pPr>
      <w:r>
        <w:rPr>
          <w:rFonts w:hint="eastAsia" w:ascii="宋体" w:hAnsi="宋体"/>
          <w:sz w:val="32"/>
          <w:szCs w:val="32"/>
        </w:rPr>
        <w:t>一、做好计划编制，提高经济运行质量。</w:t>
      </w:r>
    </w:p>
    <w:p>
      <w:pPr>
        <w:pStyle w:val="7"/>
        <w:spacing w:before="0" w:beforeAutospacing="0" w:after="0" w:afterAutospacing="0" w:line="570" w:lineRule="exact"/>
        <w:ind w:firstLine="640" w:firstLineChars="200"/>
        <w:jc w:val="both"/>
        <w:rPr>
          <w:rFonts w:hint="eastAsia" w:ascii="宋体" w:hAnsi="宋体"/>
          <w:sz w:val="32"/>
          <w:szCs w:val="32"/>
        </w:rPr>
      </w:pPr>
      <w:r>
        <w:rPr>
          <w:rFonts w:hint="eastAsia" w:ascii="宋体" w:hAnsi="宋体"/>
          <w:sz w:val="32"/>
          <w:szCs w:val="32"/>
        </w:rPr>
        <w:t>绩效目标：对照省、市以及周边县区发展目标，结合我县实际，科学编制2021年全县主要经济社会发展计划。准确把握经济发展趋势，围绕经济发展中的热点、难点、重点问题加强分析、研判，为县委、县政府决策提供依据。</w:t>
      </w:r>
    </w:p>
    <w:p>
      <w:pPr>
        <w:ind w:firstLine="640" w:firstLineChars="200"/>
        <w:rPr>
          <w:rFonts w:hint="eastAsia" w:ascii="宋体" w:hAnsi="宋体"/>
          <w:color w:val="000000"/>
          <w:sz w:val="32"/>
          <w:szCs w:val="32"/>
        </w:rPr>
      </w:pPr>
      <w:r>
        <w:rPr>
          <w:rFonts w:hint="eastAsia" w:ascii="宋体" w:hAnsi="宋体"/>
          <w:sz w:val="32"/>
          <w:szCs w:val="32"/>
        </w:rPr>
        <w:t>绩效指标：</w:t>
      </w:r>
      <w:r>
        <w:rPr>
          <w:rFonts w:hint="eastAsia" w:ascii="宋体" w:hAnsi="宋体"/>
          <w:color w:val="000000"/>
          <w:sz w:val="32"/>
          <w:szCs w:val="32"/>
        </w:rPr>
        <w:t>初步建议地区生产总值同比增长7%；三产增加值同比增长8%；规上工业增加值同比增长9%以上；固定资产投资增长8%以上；一般公共预算收入增长7.5%；社会消费品零售总额增长5%；城镇居民人均可支配收入增长8%；农村居民人均可支配收入增长8%。</w:t>
      </w:r>
    </w:p>
    <w:p>
      <w:pPr>
        <w:pStyle w:val="13"/>
        <w:ind w:firstLine="640"/>
        <w:rPr>
          <w:rFonts w:hint="eastAsia" w:ascii="宋体" w:hAnsi="宋体"/>
          <w:color w:val="000000"/>
          <w:kern w:val="0"/>
          <w:sz w:val="32"/>
          <w:szCs w:val="32"/>
        </w:rPr>
      </w:pPr>
      <w:r>
        <w:rPr>
          <w:rFonts w:hint="eastAsia" w:ascii="宋体" w:hAnsi="宋体"/>
          <w:color w:val="000000"/>
          <w:sz w:val="32"/>
          <w:szCs w:val="32"/>
        </w:rPr>
        <w:t>二、做好</w:t>
      </w:r>
      <w:r>
        <w:rPr>
          <w:rFonts w:hint="eastAsia" w:ascii="宋体" w:hAnsi="宋体"/>
          <w:color w:val="000000"/>
          <w:kern w:val="0"/>
          <w:sz w:val="32"/>
          <w:szCs w:val="32"/>
        </w:rPr>
        <w:t>项目建设</w:t>
      </w:r>
    </w:p>
    <w:p>
      <w:pPr>
        <w:ind w:firstLine="640" w:firstLineChars="200"/>
        <w:rPr>
          <w:rFonts w:hint="eastAsia" w:ascii="宋体" w:hAnsi="宋体"/>
          <w:sz w:val="32"/>
          <w:szCs w:val="32"/>
        </w:rPr>
      </w:pPr>
      <w:r>
        <w:rPr>
          <w:rFonts w:hint="eastAsia" w:ascii="宋体" w:hAnsi="宋体"/>
          <w:sz w:val="32"/>
          <w:szCs w:val="32"/>
        </w:rPr>
        <w:t>绩效目标：</w:t>
      </w:r>
      <w:r>
        <w:rPr>
          <w:rFonts w:hint="eastAsia" w:ascii="宋体" w:hAnsi="宋体"/>
          <w:color w:val="000000"/>
          <w:kern w:val="0"/>
          <w:sz w:val="32"/>
          <w:szCs w:val="32"/>
        </w:rPr>
        <w:t>狠抓项目建设，全面加快高质量项目建设。</w:t>
      </w:r>
      <w:r>
        <w:rPr>
          <w:rFonts w:hint="eastAsia" w:ascii="宋体" w:hAnsi="宋体"/>
          <w:kern w:val="0"/>
          <w:sz w:val="32"/>
          <w:szCs w:val="32"/>
        </w:rPr>
        <w:t>进一步完善重点项目建设协调、监督和检查机制，确保项目按照时间节点要求加快推进。</w:t>
      </w:r>
    </w:p>
    <w:p>
      <w:pPr>
        <w:ind w:firstLine="640" w:firstLineChars="200"/>
        <w:rPr>
          <w:rFonts w:hint="eastAsia" w:ascii="宋体" w:hAnsi="宋体"/>
          <w:color w:val="000000"/>
          <w:sz w:val="32"/>
          <w:szCs w:val="32"/>
        </w:rPr>
      </w:pPr>
      <w:r>
        <w:rPr>
          <w:rFonts w:hint="eastAsia" w:ascii="宋体" w:hAnsi="宋体"/>
          <w:sz w:val="32"/>
          <w:szCs w:val="32"/>
        </w:rPr>
        <w:t>绩效指标：</w:t>
      </w:r>
      <w:r>
        <w:rPr>
          <w:rFonts w:hint="eastAsia" w:ascii="宋体" w:hAnsi="宋体"/>
          <w:color w:val="000000"/>
          <w:sz w:val="32"/>
          <w:szCs w:val="32"/>
        </w:rPr>
        <w:t>争取明年新开工3000万元以上重点项目70个以上，其中工业项目不少于60个。有效投资完成率100%，促进县域经济的发展。</w:t>
      </w:r>
    </w:p>
    <w:p>
      <w:pPr>
        <w:ind w:firstLine="640" w:firstLineChars="200"/>
        <w:rPr>
          <w:rFonts w:hint="eastAsia" w:ascii="宋体" w:hAnsi="宋体"/>
          <w:sz w:val="32"/>
          <w:szCs w:val="32"/>
        </w:rPr>
      </w:pPr>
      <w:r>
        <w:rPr>
          <w:rFonts w:hint="eastAsia" w:ascii="宋体" w:hAnsi="宋体"/>
          <w:color w:val="000000"/>
          <w:sz w:val="32"/>
          <w:szCs w:val="32"/>
        </w:rPr>
        <w:t>三、做好储备粮管理工作</w:t>
      </w:r>
    </w:p>
    <w:p>
      <w:pPr>
        <w:rPr>
          <w:rFonts w:hint="eastAsia" w:ascii="宋体" w:hAnsi="宋体"/>
          <w:sz w:val="32"/>
          <w:szCs w:val="32"/>
        </w:rPr>
      </w:pPr>
      <w:r>
        <w:rPr>
          <w:rFonts w:hint="eastAsia" w:ascii="宋体" w:hAnsi="宋体"/>
          <w:sz w:val="32"/>
          <w:szCs w:val="32"/>
        </w:rPr>
        <w:t xml:space="preserve">  绩效目标：建立粮食流通科学管理长效机制，确保县级储备粮安全，有效发挥县级储备粮在宏观调控中的作用。活跃粮食市场，严格粮食收购资格审批。</w:t>
      </w:r>
    </w:p>
    <w:p>
      <w:pPr>
        <w:ind w:firstLine="640"/>
        <w:rPr>
          <w:rFonts w:hint="eastAsia" w:ascii="宋体" w:hAnsi="宋体"/>
          <w:sz w:val="32"/>
          <w:szCs w:val="32"/>
        </w:rPr>
      </w:pPr>
      <w:r>
        <w:rPr>
          <w:rFonts w:hint="eastAsia" w:ascii="宋体" w:hAnsi="宋体"/>
          <w:sz w:val="32"/>
          <w:szCs w:val="32"/>
        </w:rPr>
        <w:t>绩效指标：做好8000吨玉米和4527吨小麦储备粮管理，按时按质按量完成4527吨小麦轮入轮出工作。储备粮质量符合国家标准，保障储备粮安全及供应。</w:t>
      </w:r>
    </w:p>
    <w:p>
      <w:pPr>
        <w:ind w:firstLine="640" w:firstLineChars="200"/>
        <w:rPr>
          <w:rFonts w:hint="eastAsia" w:ascii="宋体" w:hAnsi="宋体"/>
          <w:sz w:val="32"/>
          <w:szCs w:val="32"/>
        </w:rPr>
      </w:pPr>
      <w:r>
        <w:rPr>
          <w:rFonts w:hint="eastAsia" w:ascii="宋体" w:hAnsi="宋体"/>
          <w:sz w:val="32"/>
          <w:szCs w:val="32"/>
        </w:rPr>
        <w:t>四、做好价格认证工作</w:t>
      </w:r>
    </w:p>
    <w:p>
      <w:pPr>
        <w:spacing w:line="560" w:lineRule="exact"/>
        <w:ind w:firstLine="640"/>
        <w:rPr>
          <w:rFonts w:hint="eastAsia" w:ascii="宋体" w:hAnsi="宋体"/>
          <w:sz w:val="32"/>
          <w:szCs w:val="32"/>
        </w:rPr>
      </w:pPr>
      <w:r>
        <w:rPr>
          <w:rFonts w:hint="eastAsia" w:ascii="宋体" w:hAnsi="宋体"/>
          <w:sz w:val="32"/>
          <w:szCs w:val="32"/>
        </w:rPr>
        <w:t>绩效目标：开展好刑事案件涉案物品价格认定和其他领域的价格认证工作，进一步完善和优化工作程序，建立结论内部审核制度，规范案卷管理，实现管理科学化、标准化、规范化。</w:t>
      </w:r>
    </w:p>
    <w:p>
      <w:pPr>
        <w:ind w:firstLine="640"/>
        <w:rPr>
          <w:rFonts w:hint="eastAsia" w:ascii="宋体" w:hAnsi="宋体"/>
          <w:sz w:val="32"/>
          <w:szCs w:val="32"/>
        </w:rPr>
      </w:pPr>
      <w:r>
        <w:rPr>
          <w:rFonts w:hint="eastAsia" w:ascii="宋体" w:hAnsi="宋体"/>
          <w:sz w:val="32"/>
          <w:szCs w:val="32"/>
        </w:rPr>
        <w:t>绩效指标：受理价格认定案件约130起，案件处理群众满意度95%以上。案件处理合格率达到100%。保持市场价格基本稳定，促进经济健康发展。</w:t>
      </w:r>
    </w:p>
    <w:p>
      <w:pPr>
        <w:ind w:firstLine="640" w:firstLineChars="200"/>
        <w:rPr>
          <w:rFonts w:hint="eastAsia" w:ascii="宋体" w:hAnsi="宋体"/>
          <w:sz w:val="32"/>
          <w:szCs w:val="32"/>
        </w:rPr>
      </w:pPr>
      <w:r>
        <w:rPr>
          <w:rFonts w:hint="eastAsia" w:ascii="宋体" w:hAnsi="宋体"/>
          <w:sz w:val="32"/>
          <w:szCs w:val="32"/>
        </w:rPr>
        <w:t>五、做好粮食质量安全监管及执法工作</w:t>
      </w:r>
    </w:p>
    <w:p>
      <w:pPr>
        <w:rPr>
          <w:rFonts w:hint="eastAsia" w:ascii="宋体" w:hAnsi="宋体"/>
          <w:sz w:val="32"/>
          <w:szCs w:val="32"/>
        </w:rPr>
      </w:pPr>
      <w:r>
        <w:rPr>
          <w:rFonts w:hint="eastAsia" w:ascii="宋体" w:hAnsi="宋体"/>
          <w:sz w:val="32"/>
          <w:szCs w:val="32"/>
        </w:rPr>
        <w:t xml:space="preserve">  绩效目标：保护粮食生产者的积极性，促进粮食生产，维护经营者、消费者合法权益，保证国家粮食安全，维护粮食流通秩序。</w:t>
      </w:r>
    </w:p>
    <w:p>
      <w:pPr>
        <w:rPr>
          <w:rFonts w:hint="eastAsia" w:ascii="宋体" w:hAnsi="宋体"/>
          <w:sz w:val="32"/>
          <w:szCs w:val="32"/>
        </w:rPr>
      </w:pPr>
      <w:r>
        <w:rPr>
          <w:rFonts w:hint="eastAsia" w:ascii="宋体" w:hAnsi="宋体"/>
          <w:sz w:val="32"/>
          <w:szCs w:val="32"/>
        </w:rPr>
        <w:t xml:space="preserve">  绩效指标：开展粮食质量安全检查次数不少于20次，确保粮食产品合格率达到100%，促进粮食生产，确保用粮安全。</w:t>
      </w:r>
    </w:p>
    <w:p>
      <w:pPr>
        <w:ind w:firstLine="640" w:firstLineChars="200"/>
        <w:rPr>
          <w:rFonts w:hint="eastAsia" w:ascii="宋体" w:hAnsi="宋体"/>
          <w:sz w:val="32"/>
          <w:szCs w:val="32"/>
        </w:rPr>
      </w:pPr>
      <w:r>
        <w:rPr>
          <w:rFonts w:hint="eastAsia" w:ascii="宋体" w:hAnsi="宋体"/>
          <w:sz w:val="32"/>
          <w:szCs w:val="32"/>
        </w:rPr>
        <w:t>六、完成原粮食企业改制管理工作</w:t>
      </w:r>
    </w:p>
    <w:p>
      <w:pPr>
        <w:rPr>
          <w:rFonts w:hint="eastAsia" w:ascii="宋体" w:hAnsi="宋体"/>
          <w:sz w:val="32"/>
          <w:szCs w:val="32"/>
        </w:rPr>
      </w:pPr>
      <w:r>
        <w:rPr>
          <w:rFonts w:hint="eastAsia" w:ascii="宋体" w:hAnsi="宋体"/>
          <w:sz w:val="32"/>
          <w:szCs w:val="32"/>
        </w:rPr>
        <w:t>绩效目标：管理好原粮食改制企业的资产、“老人、老账”，妥善处理企业改制的遗留问题。及时发放补贴缴纳保险费。</w:t>
      </w:r>
    </w:p>
    <w:p>
      <w:pPr>
        <w:rPr>
          <w:rFonts w:hint="eastAsia" w:ascii="宋体" w:hAnsi="宋体"/>
          <w:sz w:val="32"/>
          <w:szCs w:val="32"/>
        </w:rPr>
      </w:pPr>
      <w:r>
        <w:rPr>
          <w:rFonts w:hint="eastAsia" w:ascii="宋体" w:hAnsi="宋体"/>
          <w:sz w:val="32"/>
          <w:szCs w:val="32"/>
        </w:rPr>
        <w:t>绩效指标：原企业改制人员内退、离退休及遗属人员454人，及时发放补贴缴纳保险费，稳定改善职工生活，保障社会稳定。</w:t>
      </w:r>
    </w:p>
    <w:p>
      <w:pPr>
        <w:ind w:firstLine="321" w:firstLineChars="100"/>
        <w:rPr>
          <w:rFonts w:hint="eastAsia" w:ascii="宋体" w:hAnsi="宋体"/>
          <w:sz w:val="32"/>
          <w:szCs w:val="32"/>
        </w:rPr>
      </w:pPr>
      <w:r>
        <w:rPr>
          <w:rFonts w:hint="eastAsia" w:ascii="宋体" w:hAnsi="宋体"/>
          <w:b/>
          <w:bCs/>
          <w:color w:val="333333"/>
          <w:kern w:val="0"/>
          <w:sz w:val="32"/>
          <w:szCs w:val="32"/>
        </w:rPr>
        <w:t>（三）、实现本年度规划目标的保障措施</w:t>
      </w:r>
    </w:p>
    <w:p>
      <w:pPr>
        <w:ind w:firstLine="643" w:firstLineChars="200"/>
        <w:rPr>
          <w:rFonts w:hint="eastAsia" w:ascii="宋体" w:hAnsi="宋体"/>
          <w:sz w:val="32"/>
          <w:szCs w:val="32"/>
        </w:rPr>
      </w:pPr>
      <w:r>
        <w:rPr>
          <w:rFonts w:hint="eastAsia" w:ascii="宋体" w:hAnsi="宋体"/>
          <w:b/>
          <w:bCs/>
          <w:sz w:val="32"/>
          <w:szCs w:val="32"/>
        </w:rPr>
        <w:t>一、完善制度建设。</w:t>
      </w:r>
      <w:r>
        <w:rPr>
          <w:rFonts w:hint="eastAsia" w:ascii="宋体" w:hAnsi="宋体"/>
          <w:sz w:val="32"/>
          <w:szCs w:val="32"/>
        </w:rPr>
        <w:t>认真贯彻国家和省有关财经方针、政策，根据预算绩效管理相关要求，修订和完善各项制度和办法，制定完善机关资金管理、绩效管理办法，为绩效目标的实现奠定制度基础。</w:t>
      </w:r>
    </w:p>
    <w:p>
      <w:pPr>
        <w:spacing w:line="580" w:lineRule="exact"/>
        <w:ind w:firstLine="630"/>
        <w:rPr>
          <w:rFonts w:hint="eastAsia" w:ascii="宋体" w:hAnsi="宋体"/>
          <w:sz w:val="32"/>
          <w:szCs w:val="32"/>
        </w:rPr>
      </w:pPr>
      <w:r>
        <w:rPr>
          <w:rFonts w:hint="eastAsia" w:ascii="宋体" w:hAnsi="宋体"/>
          <w:b/>
          <w:bCs/>
          <w:sz w:val="32"/>
          <w:szCs w:val="32"/>
        </w:rPr>
        <w:t>二、加强支出管理。</w:t>
      </w:r>
      <w:r>
        <w:rPr>
          <w:rFonts w:hint="eastAsia" w:ascii="宋体" w:hAnsi="宋体"/>
          <w:sz w:val="32"/>
          <w:szCs w:val="32"/>
        </w:rPr>
        <w:t>通过优化支出结构、编细编实预算、加快履行政府采购手续、尽快启动项目、及时支付资金、6月底前细化代编预算、按规定及时下达资金等多种措施，确保支出进度达标。</w:t>
      </w:r>
    </w:p>
    <w:p>
      <w:pPr>
        <w:spacing w:line="580" w:lineRule="exact"/>
        <w:ind w:firstLine="630"/>
        <w:rPr>
          <w:rFonts w:hint="eastAsia" w:ascii="宋体" w:hAnsi="宋体"/>
          <w:sz w:val="32"/>
          <w:szCs w:val="32"/>
        </w:rPr>
      </w:pPr>
      <w:r>
        <w:rPr>
          <w:rFonts w:hint="eastAsia" w:ascii="宋体" w:hAnsi="宋体"/>
          <w:b/>
          <w:bCs/>
          <w:sz w:val="32"/>
          <w:szCs w:val="32"/>
        </w:rPr>
        <w:t>三、加强绩效运行监控。</w:t>
      </w:r>
      <w:r>
        <w:rPr>
          <w:rFonts w:hint="eastAsia" w:ascii="宋体" w:hAnsi="宋体"/>
          <w:sz w:val="32"/>
          <w:szCs w:val="32"/>
        </w:rPr>
        <w:t>按要求开展绩效运行监控，每月按要求对单位整体绩效目标和预算项目绩效目标实现情况和预算执行进度进行监控，发现问题及时采取措施，确保绩效目标如期保质实现。</w:t>
      </w:r>
    </w:p>
    <w:p>
      <w:pPr>
        <w:spacing w:line="580" w:lineRule="exact"/>
        <w:ind w:firstLine="630"/>
        <w:rPr>
          <w:rFonts w:hint="eastAsia" w:ascii="宋体" w:hAnsi="宋体"/>
          <w:sz w:val="32"/>
          <w:szCs w:val="32"/>
        </w:rPr>
      </w:pPr>
      <w:r>
        <w:rPr>
          <w:rFonts w:hint="eastAsia" w:ascii="宋体" w:hAnsi="宋体"/>
          <w:b/>
          <w:bCs/>
          <w:sz w:val="32"/>
          <w:szCs w:val="32"/>
        </w:rPr>
        <w:t>四、做好绩效自评工作。</w:t>
      </w:r>
      <w:r>
        <w:rPr>
          <w:rFonts w:hint="eastAsia" w:ascii="宋体" w:hAnsi="宋体"/>
          <w:sz w:val="32"/>
          <w:szCs w:val="32"/>
        </w:rPr>
        <w:t>按要求开展上年度单位预算绩效自评和重点评价工作，对评价中发现的问题及时整改，调整优化支出结构，提高财政资金使用效益。</w:t>
      </w:r>
    </w:p>
    <w:p>
      <w:pPr>
        <w:ind w:firstLine="643" w:firstLineChars="200"/>
        <w:rPr>
          <w:rFonts w:hint="eastAsia" w:ascii="宋体" w:hAnsi="宋体"/>
          <w:sz w:val="32"/>
          <w:szCs w:val="32"/>
        </w:rPr>
      </w:pPr>
      <w:r>
        <w:rPr>
          <w:rFonts w:hint="eastAsia" w:ascii="宋体" w:hAnsi="宋体"/>
          <w:b/>
          <w:bCs/>
          <w:sz w:val="32"/>
          <w:szCs w:val="32"/>
        </w:rPr>
        <w:t>五、规范财务资产管理。</w:t>
      </w:r>
      <w:r>
        <w:rPr>
          <w:rFonts w:hint="eastAsia" w:ascii="宋体" w:hAnsi="宋体"/>
          <w:sz w:val="32"/>
          <w:szCs w:val="32"/>
        </w:rPr>
        <w:t>高度重视财务工作的制度保障、制度执行和流程管理，建立健全财务管理制度，严格审批程序，加强固定资产登记、使用和报废处置管理，做到支出合理，物尽其用。进一步推进资产管理的规范化、制度化；进一步理顺资产管理关系，健全资产采购、处置等方面管理；进一步规范各项管理措施，逐步完善在资产配置、使用、统计及监督检查等方面的管理措施；进一步加强实物管理，针对资产报表编报和资产管理中发现的问题，进行进一步分析，完善相关管理制度，确保更有效地管理部门国有资产。</w:t>
      </w:r>
    </w:p>
    <w:p>
      <w:pPr>
        <w:spacing w:line="580" w:lineRule="exact"/>
        <w:ind w:firstLine="630"/>
        <w:rPr>
          <w:rFonts w:hint="eastAsia" w:ascii="宋体" w:hAnsi="宋体"/>
          <w:b/>
          <w:bCs/>
          <w:sz w:val="32"/>
          <w:szCs w:val="32"/>
        </w:rPr>
      </w:pPr>
      <w:r>
        <w:rPr>
          <w:rFonts w:hint="eastAsia" w:ascii="宋体" w:hAnsi="宋体"/>
          <w:b/>
          <w:bCs/>
          <w:sz w:val="32"/>
          <w:szCs w:val="32"/>
        </w:rPr>
        <w:t>六、加强内部监督。</w:t>
      </w:r>
      <w:r>
        <w:rPr>
          <w:rFonts w:hint="eastAsia" w:ascii="宋体" w:hAnsi="宋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80" w:lineRule="exact"/>
        <w:ind w:firstLine="630"/>
        <w:rPr>
          <w:rFonts w:hint="eastAsia" w:ascii="宋体" w:hAnsi="宋体"/>
          <w:b/>
          <w:bCs/>
          <w:sz w:val="32"/>
          <w:szCs w:val="32"/>
        </w:rPr>
      </w:pPr>
      <w:r>
        <w:rPr>
          <w:rFonts w:hint="eastAsia" w:ascii="宋体" w:hAnsi="宋体"/>
          <w:b/>
          <w:bCs/>
          <w:sz w:val="32"/>
          <w:szCs w:val="32"/>
        </w:rPr>
        <w:t>七、加强宣传培训调研等。</w:t>
      </w:r>
      <w:r>
        <w:rPr>
          <w:rFonts w:hint="eastAsia" w:ascii="宋体" w:hAnsi="宋体"/>
          <w:sz w:val="32"/>
          <w:szCs w:val="32"/>
        </w:rPr>
        <w:t>加强人员培训，提高本单位职工业务素质；加强调研，提出优化财政资金配置、提高资金使用效益的意见；加大宣传力度，强化预算绩效管理意识，促进预算绩效管理水平进一步提升。</w:t>
      </w:r>
    </w:p>
    <w:p>
      <w:pPr>
        <w:rPr>
          <w:rFonts w:hint="eastAsia" w:ascii="方正仿宋简体" w:hAnsi="方正仿宋简体"/>
        </w:rPr>
      </w:pPr>
      <w:r>
        <w:rPr>
          <w:rFonts w:ascii="方正仿宋简体" w:hAnsi="方正仿宋简体"/>
        </w:rPr>
        <w:t xml:space="preserve"> </w:t>
      </w: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bookmarkStart w:id="0" w:name="_GoBack"/>
      <w:bookmarkEnd w:id="0"/>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p>
    <w:p>
      <w:pPr>
        <w:widowControl/>
        <w:spacing w:line="360" w:lineRule="auto"/>
        <w:ind w:firstLine="640"/>
        <w:rPr>
          <w:rFonts w:ascii="方正楷体简体" w:hAnsi="方正楷体简体"/>
          <w:b/>
          <w:bCs/>
          <w:color w:val="333333"/>
          <w:kern w:val="0"/>
          <w:sz w:val="32"/>
          <w:szCs w:val="32"/>
        </w:rPr>
      </w:pPr>
      <w:r>
        <w:rPr>
          <w:rFonts w:ascii="方正楷体简体" w:hAnsi="方正楷体简体"/>
          <w:b/>
          <w:bCs/>
          <w:color w:val="333333"/>
          <w:kern w:val="0"/>
          <w:sz w:val="32"/>
          <w:szCs w:val="32"/>
        </w:rPr>
        <w:t>(</w:t>
      </w:r>
      <w:r>
        <w:rPr>
          <w:rFonts w:ascii="宋体" w:hAnsi="宋体"/>
          <w:b/>
          <w:bCs/>
          <w:color w:val="333333"/>
          <w:kern w:val="0"/>
          <w:sz w:val="32"/>
          <w:szCs w:val="32"/>
        </w:rPr>
        <w:t>四）、</w:t>
      </w:r>
      <w:r>
        <w:rPr>
          <w:rFonts w:hint="eastAsia" w:ascii="宋体" w:hAnsi="宋体"/>
          <w:b/>
          <w:bCs/>
          <w:color w:val="333333"/>
          <w:kern w:val="0"/>
          <w:sz w:val="32"/>
          <w:szCs w:val="32"/>
        </w:rPr>
        <w:t>单位</w:t>
      </w:r>
      <w:r>
        <w:rPr>
          <w:rFonts w:ascii="宋体" w:hAnsi="宋体"/>
          <w:b/>
          <w:bCs/>
          <w:color w:val="333333"/>
          <w:kern w:val="0"/>
          <w:sz w:val="32"/>
          <w:szCs w:val="32"/>
        </w:rPr>
        <w:t>职责及工作活动绩效目标指标</w:t>
      </w:r>
    </w:p>
    <w:tbl>
      <w:tblPr>
        <w:tblStyle w:val="9"/>
        <w:tblW w:w="5000" w:type="pct"/>
        <w:tblInd w:w="0" w:type="dxa"/>
        <w:tblLayout w:type="autofit"/>
        <w:tblCellMar>
          <w:top w:w="0" w:type="dxa"/>
          <w:left w:w="0" w:type="dxa"/>
          <w:bottom w:w="0" w:type="dxa"/>
          <w:right w:w="0" w:type="dxa"/>
        </w:tblCellMar>
      </w:tblPr>
      <w:tblGrid>
        <w:gridCol w:w="1514"/>
        <w:gridCol w:w="2260"/>
        <w:gridCol w:w="716"/>
        <w:gridCol w:w="1886"/>
        <w:gridCol w:w="148"/>
        <w:gridCol w:w="2652"/>
        <w:gridCol w:w="655"/>
        <w:gridCol w:w="1530"/>
        <w:gridCol w:w="655"/>
        <w:gridCol w:w="1972"/>
      </w:tblGrid>
      <w:tr>
        <w:tblPrEx>
          <w:tblCellMar>
            <w:top w:w="0" w:type="dxa"/>
            <w:left w:w="0" w:type="dxa"/>
            <w:bottom w:w="0" w:type="dxa"/>
            <w:right w:w="0" w:type="dxa"/>
          </w:tblCellMar>
        </w:tblPrEx>
        <w:trPr>
          <w:trHeight w:val="870" w:hRule="atLeast"/>
        </w:trPr>
        <w:tc>
          <w:tcPr>
            <w:tcW w:w="5000" w:type="pct"/>
            <w:gridSpan w:val="10"/>
            <w:tcBorders>
              <w:top w:val="nil"/>
              <w:left w:val="nil"/>
              <w:bottom w:val="single" w:color="000000" w:sz="4" w:space="0"/>
              <w:right w:val="nil"/>
            </w:tcBorders>
            <w:noWrap/>
            <w:tcMar>
              <w:top w:w="15" w:type="dxa"/>
              <w:left w:w="15" w:type="dxa"/>
              <w:bottom w:w="0" w:type="dxa"/>
              <w:right w:w="15" w:type="dxa"/>
            </w:tcMar>
            <w:vAlign w:val="center"/>
          </w:tcPr>
          <w:p>
            <w:pPr>
              <w:widowControl/>
              <w:spacing w:line="360" w:lineRule="auto"/>
              <w:ind w:firstLine="640"/>
              <w:jc w:val="center"/>
              <w:rPr>
                <w:rFonts w:ascii="宋体" w:hAnsi="宋体" w:cs="宋体"/>
                <w:b/>
                <w:bCs/>
                <w:color w:val="000000"/>
                <w:sz w:val="36"/>
                <w:szCs w:val="36"/>
              </w:rPr>
            </w:pPr>
            <w:r>
              <w:rPr>
                <w:rFonts w:hint="eastAsia" w:ascii="宋体" w:hAnsi="宋体"/>
                <w:b/>
                <w:bCs/>
                <w:color w:val="000000"/>
                <w:kern w:val="0"/>
                <w:sz w:val="36"/>
                <w:szCs w:val="36"/>
              </w:rPr>
              <w:t>粮食质量安全监管及执法经费项目绩效目标表</w:t>
            </w:r>
          </w:p>
        </w:tc>
      </w:tr>
      <w:tr>
        <w:tblPrEx>
          <w:tblCellMar>
            <w:top w:w="0" w:type="dxa"/>
            <w:left w:w="0" w:type="dxa"/>
            <w:bottom w:w="0" w:type="dxa"/>
            <w:right w:w="0" w:type="dxa"/>
          </w:tblCellMar>
        </w:tblPrEx>
        <w:trPr>
          <w:trHeight w:val="353" w:hRule="atLeast"/>
        </w:trPr>
        <w:tc>
          <w:tcPr>
            <w:tcW w:w="541"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项目编码</w:t>
            </w:r>
          </w:p>
        </w:tc>
        <w:tc>
          <w:tcPr>
            <w:tcW w:w="80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13022521GX2EDY8CYLEKO</w:t>
            </w:r>
          </w:p>
        </w:tc>
        <w:tc>
          <w:tcPr>
            <w:tcW w:w="983"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项目名称</w:t>
            </w:r>
          </w:p>
        </w:tc>
        <w:tc>
          <w:tcPr>
            <w:tcW w:w="2667" w:type="pct"/>
            <w:gridSpan w:val="5"/>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粮食质量安全监管及执法经费</w:t>
            </w:r>
          </w:p>
        </w:tc>
      </w:tr>
      <w:tr>
        <w:tblPrEx>
          <w:tblCellMar>
            <w:top w:w="0" w:type="dxa"/>
            <w:left w:w="0" w:type="dxa"/>
            <w:bottom w:w="0" w:type="dxa"/>
            <w:right w:w="0" w:type="dxa"/>
          </w:tblCellMar>
        </w:tblPrEx>
        <w:trPr>
          <w:trHeight w:val="445" w:hRule="atLeast"/>
        </w:trPr>
        <w:tc>
          <w:tcPr>
            <w:tcW w:w="541"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预算规模及资金用途</w:t>
            </w:r>
          </w:p>
        </w:tc>
        <w:tc>
          <w:tcPr>
            <w:tcW w:w="808" w:type="pct"/>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 xml:space="preserve">预算数 </w:t>
            </w:r>
          </w:p>
        </w:tc>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10万元</w:t>
            </w:r>
          </w:p>
        </w:tc>
        <w:tc>
          <w:tcPr>
            <w:tcW w:w="67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1235" w:type="pct"/>
            <w:gridSpan w:val="3"/>
            <w:tcBorders>
              <w:top w:val="nil"/>
              <w:left w:val="nil"/>
              <w:bottom w:val="nil"/>
              <w:right w:val="nil"/>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10万元</w:t>
            </w:r>
          </w:p>
        </w:tc>
        <w:tc>
          <w:tcPr>
            <w:tcW w:w="781" w:type="pct"/>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70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87"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4459" w:type="pct"/>
            <w:gridSpan w:val="9"/>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主要用于保护粮食生产者的积极性，促进粮食生产，维护经营者、消费者合法权益，保证国家粮食安全，维护粮食流通秩序，确保我县粮食行政执法监督检查工作的顺利开展。</w:t>
            </w:r>
          </w:p>
        </w:tc>
      </w:tr>
      <w:tr>
        <w:tblPrEx>
          <w:tblCellMar>
            <w:top w:w="0" w:type="dxa"/>
            <w:left w:w="0" w:type="dxa"/>
            <w:bottom w:w="0" w:type="dxa"/>
            <w:right w:w="0" w:type="dxa"/>
          </w:tblCellMar>
        </w:tblPrEx>
        <w:trPr>
          <w:trHeight w:val="321" w:hRule="atLeast"/>
        </w:trPr>
        <w:tc>
          <w:tcPr>
            <w:tcW w:w="541"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16"/>
                <w:szCs w:val="16"/>
              </w:rPr>
              <w:t>资金支出计划</w:t>
            </w:r>
            <w:r>
              <w:rPr>
                <w:rFonts w:hint="eastAsia" w:ascii="宋体" w:hAnsi="宋体"/>
                <w:b/>
                <w:bCs/>
                <w:color w:val="000000"/>
                <w:kern w:val="0"/>
                <w:sz w:val="16"/>
                <w:szCs w:val="16"/>
                <w:u w:val="single"/>
              </w:rPr>
              <w:t>（累计进度%</w:t>
            </w:r>
            <w:r>
              <w:rPr>
                <w:rFonts w:hint="eastAsia" w:ascii="宋体" w:hAnsi="宋体"/>
                <w:b/>
                <w:bCs/>
                <w:color w:val="000000"/>
                <w:kern w:val="0"/>
                <w:sz w:val="20"/>
                <w:szCs w:val="20"/>
                <w:u w:val="single"/>
              </w:rPr>
              <w:t>）</w:t>
            </w:r>
          </w:p>
        </w:tc>
        <w:tc>
          <w:tcPr>
            <w:tcW w:w="808"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第一季度</w:t>
            </w:r>
          </w:p>
        </w:tc>
        <w:tc>
          <w:tcPr>
            <w:tcW w:w="1931" w:type="pct"/>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第二季度</w:t>
            </w:r>
          </w:p>
        </w:tc>
        <w:tc>
          <w:tcPr>
            <w:tcW w:w="781" w:type="pct"/>
            <w:gridSpan w:val="2"/>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第三季度</w:t>
            </w:r>
          </w:p>
        </w:tc>
        <w:tc>
          <w:tcPr>
            <w:tcW w:w="939" w:type="pct"/>
            <w:gridSpan w:val="2"/>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第四季度</w:t>
            </w:r>
          </w:p>
        </w:tc>
      </w:tr>
      <w:tr>
        <w:tblPrEx>
          <w:tblCellMar>
            <w:top w:w="0" w:type="dxa"/>
            <w:left w:w="0" w:type="dxa"/>
            <w:bottom w:w="0" w:type="dxa"/>
            <w:right w:w="0" w:type="dxa"/>
          </w:tblCellMar>
        </w:tblPrEx>
        <w:trPr>
          <w:trHeight w:val="284"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80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w:t>
            </w:r>
          </w:p>
        </w:tc>
        <w:tc>
          <w:tcPr>
            <w:tcW w:w="1931" w:type="pct"/>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40%</w:t>
            </w:r>
          </w:p>
        </w:tc>
        <w:tc>
          <w:tcPr>
            <w:tcW w:w="781"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70%</w:t>
            </w:r>
          </w:p>
        </w:tc>
        <w:tc>
          <w:tcPr>
            <w:tcW w:w="939"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541"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绩效目标</w:t>
            </w:r>
          </w:p>
        </w:tc>
        <w:tc>
          <w:tcPr>
            <w:tcW w:w="4459" w:type="pct"/>
            <w:gridSpan w:val="9"/>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目标1：及时掌握收获、收购、储存、政策性粮食质量安全和品质情况，为落实粮食收购政策提供依据，确保用粮安全                                          目标2：掌握重点企业粮食质量状况，标准符合县情。</w:t>
            </w:r>
          </w:p>
        </w:tc>
      </w:tr>
      <w:tr>
        <w:tblPrEx>
          <w:tblCellMar>
            <w:top w:w="0" w:type="dxa"/>
            <w:left w:w="0" w:type="dxa"/>
            <w:bottom w:w="0" w:type="dxa"/>
            <w:right w:w="0" w:type="dxa"/>
          </w:tblCellMar>
        </w:tblPrEx>
        <w:trPr>
          <w:trHeight w:val="312"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4459" w:type="pct"/>
            <w:gridSpan w:val="9"/>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4459" w:type="pct"/>
            <w:gridSpan w:val="9"/>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47" w:hRule="atLeast"/>
        </w:trPr>
        <w:tc>
          <w:tcPr>
            <w:tcW w:w="54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一级指标</w:t>
            </w:r>
          </w:p>
        </w:tc>
        <w:tc>
          <w:tcPr>
            <w:tcW w:w="80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二级指标</w:t>
            </w:r>
          </w:p>
        </w:tc>
        <w:tc>
          <w:tcPr>
            <w:tcW w:w="983"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三级指标</w:t>
            </w:r>
          </w:p>
        </w:tc>
        <w:tc>
          <w:tcPr>
            <w:tcW w:w="94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绩效指标描述</w:t>
            </w:r>
          </w:p>
        </w:tc>
        <w:tc>
          <w:tcPr>
            <w:tcW w:w="781"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w:t>
            </w:r>
          </w:p>
        </w:tc>
        <w:tc>
          <w:tcPr>
            <w:tcW w:w="939"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指标值确定依据</w:t>
            </w:r>
          </w:p>
        </w:tc>
      </w:tr>
      <w:tr>
        <w:tblPrEx>
          <w:tblCellMar>
            <w:top w:w="0" w:type="dxa"/>
            <w:left w:w="0" w:type="dxa"/>
            <w:bottom w:w="0" w:type="dxa"/>
            <w:right w:w="0" w:type="dxa"/>
          </w:tblCellMar>
        </w:tblPrEx>
        <w:trPr>
          <w:trHeight w:val="417" w:hRule="atLeast"/>
        </w:trPr>
        <w:tc>
          <w:tcPr>
            <w:tcW w:w="541"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开展粮食质量安全检查次数</w:t>
            </w:r>
          </w:p>
        </w:tc>
        <w:tc>
          <w:tcPr>
            <w:tcW w:w="948" w:type="pct"/>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开展粮食质量安全检查次数</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20次</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1"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通过检查产品合格率</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产品合格率</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产品合格率</w:t>
            </w:r>
          </w:p>
        </w:tc>
      </w:tr>
      <w:tr>
        <w:tblPrEx>
          <w:tblCellMar>
            <w:top w:w="0" w:type="dxa"/>
            <w:left w:w="0" w:type="dxa"/>
            <w:bottom w:w="0" w:type="dxa"/>
            <w:right w:w="0" w:type="dxa"/>
          </w:tblCellMar>
        </w:tblPrEx>
        <w:trPr>
          <w:trHeight w:val="309"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39" w:hRule="atLeast"/>
        </w:trPr>
        <w:tc>
          <w:tcPr>
            <w:tcW w:w="54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71" w:hRule="atLeast"/>
        </w:trPr>
        <w:tc>
          <w:tcPr>
            <w:tcW w:w="541" w:type="pc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808" w:type="pct"/>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促进粮食生产、确保用粮安全</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促进粮食生产、确保用粮安全</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03" w:hRule="atLeast"/>
        </w:trPr>
        <w:tc>
          <w:tcPr>
            <w:tcW w:w="54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80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983" w:type="pct"/>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94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781"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939"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bl>
    <w:p>
      <w:pPr>
        <w:spacing w:line="580" w:lineRule="exact"/>
        <w:rPr>
          <w:rFonts w:hint="eastAsia" w:ascii="方正小标宋_GBK" w:hAnsi="方正小标宋_GBK"/>
          <w:sz w:val="44"/>
          <w:szCs w:val="44"/>
        </w:rPr>
      </w:pPr>
      <w:r>
        <w:rPr>
          <w:sz w:val="44"/>
          <w:szCs w:val="44"/>
        </w:rPr>
        <w:t xml:space="preserve"> </w:t>
      </w:r>
    </w:p>
    <w:tbl>
      <w:tblPr>
        <w:tblStyle w:val="9"/>
        <w:tblW w:w="4701" w:type="pct"/>
        <w:tblInd w:w="228" w:type="dxa"/>
        <w:tblLayout w:type="fixed"/>
        <w:tblCellMar>
          <w:top w:w="0" w:type="dxa"/>
          <w:left w:w="0" w:type="dxa"/>
          <w:bottom w:w="0" w:type="dxa"/>
          <w:right w:w="0" w:type="dxa"/>
        </w:tblCellMar>
      </w:tblPr>
      <w:tblGrid>
        <w:gridCol w:w="1740"/>
        <w:gridCol w:w="1537"/>
        <w:gridCol w:w="1868"/>
        <w:gridCol w:w="1908"/>
        <w:gridCol w:w="2061"/>
        <w:gridCol w:w="1990"/>
        <w:gridCol w:w="2049"/>
      </w:tblGrid>
      <w:tr>
        <w:tblPrEx>
          <w:tblCellMar>
            <w:top w:w="0" w:type="dxa"/>
            <w:left w:w="0" w:type="dxa"/>
            <w:bottom w:w="0" w:type="dxa"/>
            <w:right w:w="0" w:type="dxa"/>
          </w:tblCellMar>
        </w:tblPrEx>
        <w:trPr>
          <w:trHeight w:val="885" w:hRule="atLeast"/>
        </w:trPr>
        <w:tc>
          <w:tcPr>
            <w:tcW w:w="13154" w:type="dxa"/>
            <w:gridSpan w:val="7"/>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b/>
                <w:bCs/>
                <w:color w:val="000000"/>
                <w:kern w:val="0"/>
                <w:sz w:val="36"/>
                <w:szCs w:val="36"/>
              </w:rPr>
              <w:t>物价专项业务费项目绩效目标表</w:t>
            </w:r>
          </w:p>
        </w:tc>
      </w:tr>
      <w:tr>
        <w:tblPrEx>
          <w:tblCellMar>
            <w:top w:w="0" w:type="dxa"/>
            <w:left w:w="0" w:type="dxa"/>
            <w:bottom w:w="0" w:type="dxa"/>
            <w:right w:w="0" w:type="dxa"/>
          </w:tblCellMar>
        </w:tblPrEx>
        <w:trPr>
          <w:trHeight w:val="382" w:hRule="atLeast"/>
        </w:trPr>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项目编码</w:t>
            </w:r>
          </w:p>
        </w:tc>
        <w:tc>
          <w:tcPr>
            <w:tcW w:w="3398"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1302252129PHETIXH40BP</w:t>
            </w:r>
          </w:p>
        </w:tc>
        <w:tc>
          <w:tcPr>
            <w:tcW w:w="190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项目名称</w:t>
            </w:r>
          </w:p>
        </w:tc>
        <w:tc>
          <w:tcPr>
            <w:tcW w:w="6108"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物价专项业务费</w:t>
            </w:r>
          </w:p>
        </w:tc>
      </w:tr>
      <w:tr>
        <w:tblPrEx>
          <w:tblCellMar>
            <w:top w:w="0" w:type="dxa"/>
            <w:left w:w="0" w:type="dxa"/>
            <w:bottom w:w="0" w:type="dxa"/>
            <w:right w:w="0" w:type="dxa"/>
          </w:tblCellMar>
        </w:tblPrEx>
        <w:trPr>
          <w:trHeight w:val="378"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预算规模及资金用途</w:t>
            </w:r>
          </w:p>
        </w:tc>
        <w:tc>
          <w:tcPr>
            <w:tcW w:w="1530" w:type="dxa"/>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 xml:space="preserve">预算数 </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26万元</w:t>
            </w:r>
          </w:p>
        </w:tc>
        <w:tc>
          <w:tcPr>
            <w:tcW w:w="190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06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26万元</w:t>
            </w:r>
          </w:p>
        </w:tc>
        <w:tc>
          <w:tcPr>
            <w:tcW w:w="199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20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18"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11414"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主要用于价格认定工作经费用于聘请专家及专业技术人员费用，咨询费、测绘测量费、差旅费等</w:t>
            </w:r>
          </w:p>
        </w:tc>
      </w:tr>
      <w:tr>
        <w:tblPrEx>
          <w:tblCellMar>
            <w:top w:w="0" w:type="dxa"/>
            <w:left w:w="0" w:type="dxa"/>
            <w:bottom w:w="0" w:type="dxa"/>
            <w:right w:w="0" w:type="dxa"/>
          </w:tblCellMar>
        </w:tblPrEx>
        <w:trPr>
          <w:trHeight w:val="261"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Style w:val="16"/>
                <w:rFonts w:hint="default"/>
              </w:rPr>
              <w:t>资金支出计划</w:t>
            </w:r>
            <w:r>
              <w:rPr>
                <w:rStyle w:val="17"/>
                <w:rFonts w:hint="default"/>
              </w:rPr>
              <w:t>（累计进度%）</w:t>
            </w:r>
          </w:p>
        </w:tc>
        <w:tc>
          <w:tcPr>
            <w:tcW w:w="5306"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第一季度</w:t>
            </w:r>
          </w:p>
        </w:tc>
        <w:tc>
          <w:tcPr>
            <w:tcW w:w="2064"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第二季度</w:t>
            </w:r>
          </w:p>
        </w:tc>
        <w:tc>
          <w:tcPr>
            <w:tcW w:w="1992"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第三季度</w:t>
            </w:r>
          </w:p>
        </w:tc>
        <w:tc>
          <w:tcPr>
            <w:tcW w:w="2052"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第四季度</w:t>
            </w:r>
          </w:p>
        </w:tc>
      </w:tr>
      <w:tr>
        <w:tblPrEx>
          <w:tblCellMar>
            <w:top w:w="0" w:type="dxa"/>
            <w:left w:w="0" w:type="dxa"/>
            <w:bottom w:w="0" w:type="dxa"/>
            <w:right w:w="0" w:type="dxa"/>
          </w:tblCellMar>
        </w:tblPrEx>
        <w:trPr>
          <w:trHeight w:val="209"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5306"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206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199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20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绩效目标</w:t>
            </w:r>
          </w:p>
        </w:tc>
        <w:tc>
          <w:tcPr>
            <w:tcW w:w="11414" w:type="dxa"/>
            <w:gridSpan w:val="6"/>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 xml:space="preserve">目标1：保持市场价格总水平基本稳定。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目标2：为各类经济行为进行价格认证。</w:t>
            </w:r>
          </w:p>
        </w:tc>
      </w:tr>
      <w:tr>
        <w:tblPrEx>
          <w:tblCellMar>
            <w:top w:w="0" w:type="dxa"/>
            <w:left w:w="0" w:type="dxa"/>
            <w:bottom w:w="0" w:type="dxa"/>
            <w:right w:w="0" w:type="dxa"/>
          </w:tblCellMar>
        </w:tblPrEx>
        <w:trPr>
          <w:trHeight w:val="312"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11352"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11352"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1" w:hRule="atLeast"/>
        </w:trPr>
        <w:tc>
          <w:tcPr>
            <w:tcW w:w="17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一级指标</w:t>
            </w:r>
          </w:p>
        </w:tc>
        <w:tc>
          <w:tcPr>
            <w:tcW w:w="15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二级指标</w:t>
            </w:r>
          </w:p>
        </w:tc>
        <w:tc>
          <w:tcPr>
            <w:tcW w:w="37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三级指标</w:t>
            </w:r>
          </w:p>
        </w:tc>
        <w:tc>
          <w:tcPr>
            <w:tcW w:w="206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绩效指标描述</w:t>
            </w:r>
          </w:p>
        </w:tc>
        <w:tc>
          <w:tcPr>
            <w:tcW w:w="199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w:t>
            </w:r>
          </w:p>
        </w:tc>
        <w:tc>
          <w:tcPr>
            <w:tcW w:w="205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指标值确定依据</w:t>
            </w:r>
          </w:p>
        </w:tc>
      </w:tr>
      <w:tr>
        <w:tblPrEx>
          <w:tblCellMar>
            <w:top w:w="0" w:type="dxa"/>
            <w:left w:w="0" w:type="dxa"/>
            <w:bottom w:w="0" w:type="dxa"/>
            <w:right w:w="0" w:type="dxa"/>
          </w:tblCellMar>
        </w:tblPrEx>
        <w:trPr>
          <w:trHeight w:val="382"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完成案件数量</w:t>
            </w:r>
          </w:p>
        </w:tc>
        <w:tc>
          <w:tcPr>
            <w:tcW w:w="2064"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完成案件数量</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130件</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39"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案件处理合格</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案件处理合格率</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案件处理合格率</w:t>
            </w:r>
          </w:p>
        </w:tc>
      </w:tr>
      <w:tr>
        <w:tblPrEx>
          <w:tblCellMar>
            <w:top w:w="0" w:type="dxa"/>
            <w:left w:w="0" w:type="dxa"/>
            <w:bottom w:w="0" w:type="dxa"/>
            <w:right w:w="0" w:type="dxa"/>
          </w:tblCellMar>
        </w:tblPrEx>
        <w:trPr>
          <w:trHeight w:val="321"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09"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79" w:hRule="atLeast"/>
        </w:trPr>
        <w:tc>
          <w:tcPr>
            <w:tcW w:w="174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1530"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保持市场价格基本稳定，促进经济健康发展</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保持市场价格基本稳定，促进经济健康发展</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9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可持续影响指标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71" w:hRule="atLeast"/>
        </w:trPr>
        <w:tc>
          <w:tcPr>
            <w:tcW w:w="17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37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06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99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20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bl>
    <w:p>
      <w:pPr>
        <w:widowControl/>
        <w:jc w:val="left"/>
        <w:rPr>
          <w:rFonts w:ascii="宋体" w:hAnsi="宋体"/>
          <w:vanish/>
          <w:kern w:val="0"/>
          <w:sz w:val="24"/>
          <w:szCs w:val="24"/>
        </w:rPr>
      </w:pPr>
      <w:r>
        <w:rPr>
          <w:rFonts w:hint="eastAsia" w:ascii="宋体" w:hAnsi="宋体"/>
          <w:vanish/>
          <w:kern w:val="0"/>
          <w:sz w:val="24"/>
          <w:szCs w:val="24"/>
        </w:rPr>
        <w:t xml:space="preserve"> </w:t>
      </w:r>
    </w:p>
    <w:tbl>
      <w:tblPr>
        <w:tblStyle w:val="9"/>
        <w:tblW w:w="4684" w:type="pct"/>
        <w:tblInd w:w="228" w:type="dxa"/>
        <w:tblLayout w:type="autofit"/>
        <w:tblCellMar>
          <w:top w:w="0" w:type="dxa"/>
          <w:left w:w="0" w:type="dxa"/>
          <w:bottom w:w="0" w:type="dxa"/>
          <w:right w:w="0" w:type="dxa"/>
        </w:tblCellMar>
      </w:tblPr>
      <w:tblGrid>
        <w:gridCol w:w="1385"/>
        <w:gridCol w:w="1397"/>
        <w:gridCol w:w="1337"/>
        <w:gridCol w:w="2956"/>
        <w:gridCol w:w="2068"/>
        <w:gridCol w:w="1552"/>
        <w:gridCol w:w="2409"/>
      </w:tblGrid>
      <w:tr>
        <w:tblPrEx>
          <w:tblCellMar>
            <w:top w:w="0" w:type="dxa"/>
            <w:left w:w="0" w:type="dxa"/>
            <w:bottom w:w="0" w:type="dxa"/>
            <w:right w:w="0" w:type="dxa"/>
          </w:tblCellMar>
        </w:tblPrEx>
        <w:trPr>
          <w:trHeight w:val="870" w:hRule="atLeast"/>
        </w:trPr>
        <w:tc>
          <w:tcPr>
            <w:tcW w:w="5000" w:type="pct"/>
            <w:gridSpan w:val="7"/>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hint="eastAsia" w:ascii="宋体" w:hAnsi="宋体"/>
                <w:b/>
                <w:bCs/>
                <w:color w:val="000000"/>
                <w:kern w:val="0"/>
                <w:sz w:val="36"/>
                <w:szCs w:val="36"/>
              </w:rPr>
            </w:pPr>
          </w:p>
          <w:p>
            <w:pPr>
              <w:widowControl/>
              <w:jc w:val="center"/>
              <w:textAlignment w:val="center"/>
              <w:rPr>
                <w:rFonts w:ascii="宋体" w:hAnsi="宋体" w:cs="宋体"/>
                <w:b/>
                <w:bCs/>
                <w:color w:val="000000"/>
                <w:sz w:val="36"/>
                <w:szCs w:val="36"/>
              </w:rPr>
            </w:pPr>
            <w:r>
              <w:rPr>
                <w:rFonts w:hint="eastAsia" w:ascii="宋体" w:hAnsi="宋体"/>
                <w:b/>
                <w:bCs/>
                <w:color w:val="000000"/>
                <w:kern w:val="0"/>
                <w:sz w:val="36"/>
                <w:szCs w:val="36"/>
              </w:rPr>
              <w:t>企事业单位补贴项目绩效目标表</w:t>
            </w:r>
          </w:p>
        </w:tc>
      </w:tr>
      <w:tr>
        <w:tblPrEx>
          <w:tblCellMar>
            <w:top w:w="0" w:type="dxa"/>
            <w:left w:w="0" w:type="dxa"/>
            <w:bottom w:w="0" w:type="dxa"/>
            <w:right w:w="0" w:type="dxa"/>
          </w:tblCellMar>
        </w:tblPrEx>
        <w:trPr>
          <w:trHeight w:val="390" w:hRule="atLeast"/>
        </w:trPr>
        <w:tc>
          <w:tcPr>
            <w:tcW w:w="52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项目编码</w:t>
            </w:r>
          </w:p>
        </w:tc>
        <w:tc>
          <w:tcPr>
            <w:tcW w:w="1043"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130225211GO4TZIUCKURO</w:t>
            </w:r>
          </w:p>
        </w:tc>
        <w:tc>
          <w:tcPr>
            <w:tcW w:w="1127" w:type="pct"/>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项目名称</w:t>
            </w:r>
          </w:p>
        </w:tc>
        <w:tc>
          <w:tcPr>
            <w:tcW w:w="2299"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企事业单位补贴</w:t>
            </w:r>
          </w:p>
        </w:tc>
      </w:tr>
      <w:tr>
        <w:tblPrEx>
          <w:tblCellMar>
            <w:top w:w="0" w:type="dxa"/>
            <w:left w:w="0" w:type="dxa"/>
            <w:bottom w:w="0" w:type="dxa"/>
            <w:right w:w="0" w:type="dxa"/>
          </w:tblCellMar>
        </w:tblPrEx>
        <w:trPr>
          <w:trHeight w:val="390" w:hRule="atLeast"/>
        </w:trPr>
        <w:tc>
          <w:tcPr>
            <w:tcW w:w="529"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预算规模及资金用途</w:t>
            </w:r>
          </w:p>
        </w:tc>
        <w:tc>
          <w:tcPr>
            <w:tcW w:w="533" w:type="pct"/>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w:t>
            </w:r>
          </w:p>
        </w:tc>
        <w:tc>
          <w:tcPr>
            <w:tcW w:w="510"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50万元</w:t>
            </w:r>
          </w:p>
        </w:tc>
        <w:tc>
          <w:tcPr>
            <w:tcW w:w="1127"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789"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50万元</w:t>
            </w:r>
          </w:p>
        </w:tc>
        <w:tc>
          <w:tcPr>
            <w:tcW w:w="592"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91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26"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4470" w:type="pct"/>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主要用于负责粮食系统综合业务管理和机关综合事务管理，确保机关正常运转，各项业务顺利进行。</w:t>
            </w:r>
          </w:p>
        </w:tc>
      </w:tr>
      <w:tr>
        <w:tblPrEx>
          <w:tblCellMar>
            <w:top w:w="0" w:type="dxa"/>
            <w:left w:w="0" w:type="dxa"/>
            <w:bottom w:w="0" w:type="dxa"/>
            <w:right w:w="0" w:type="dxa"/>
          </w:tblCellMar>
        </w:tblPrEx>
        <w:trPr>
          <w:trHeight w:val="273" w:hRule="atLeast"/>
        </w:trPr>
        <w:tc>
          <w:tcPr>
            <w:tcW w:w="529"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资金支出计划</w:t>
            </w:r>
            <w:r>
              <w:rPr>
                <w:rFonts w:hint="eastAsia" w:ascii="宋体" w:hAnsi="宋体"/>
                <w:b/>
                <w:bCs/>
                <w:color w:val="000000"/>
                <w:kern w:val="0"/>
                <w:sz w:val="20"/>
                <w:szCs w:val="20"/>
                <w:u w:val="single"/>
              </w:rPr>
              <w:t>（累计进度%）</w:t>
            </w:r>
          </w:p>
        </w:tc>
        <w:tc>
          <w:tcPr>
            <w:tcW w:w="2171" w:type="pct"/>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第一季度</w:t>
            </w:r>
          </w:p>
        </w:tc>
        <w:tc>
          <w:tcPr>
            <w:tcW w:w="789"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第二季度</w:t>
            </w:r>
          </w:p>
        </w:tc>
        <w:tc>
          <w:tcPr>
            <w:tcW w:w="592"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第三季度</w:t>
            </w:r>
          </w:p>
        </w:tc>
        <w:tc>
          <w:tcPr>
            <w:tcW w:w="918"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第四季度</w:t>
            </w:r>
          </w:p>
        </w:tc>
      </w:tr>
      <w:tr>
        <w:tblPrEx>
          <w:tblCellMar>
            <w:top w:w="0" w:type="dxa"/>
            <w:left w:w="0" w:type="dxa"/>
            <w:bottom w:w="0" w:type="dxa"/>
            <w:right w:w="0" w:type="dxa"/>
          </w:tblCellMar>
        </w:tblPrEx>
        <w:trPr>
          <w:trHeight w:val="269"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2171"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0%</w:t>
            </w:r>
          </w:p>
        </w:tc>
        <w:tc>
          <w:tcPr>
            <w:tcW w:w="789"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0%</w:t>
            </w:r>
          </w:p>
        </w:tc>
        <w:tc>
          <w:tcPr>
            <w:tcW w:w="592"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0%</w:t>
            </w:r>
          </w:p>
        </w:tc>
        <w:tc>
          <w:tcPr>
            <w:tcW w:w="91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529"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绩效目标</w:t>
            </w:r>
          </w:p>
        </w:tc>
        <w:tc>
          <w:tcPr>
            <w:tcW w:w="4470" w:type="pct"/>
            <w:gridSpan w:val="6"/>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 xml:space="preserve">目标1：确保机关正常运转，各项业务顺利进行。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目标2：工资及时发放，不拖欠社会保险费。</w:t>
            </w:r>
          </w:p>
        </w:tc>
      </w:tr>
      <w:tr>
        <w:tblPrEx>
          <w:tblCellMar>
            <w:top w:w="0" w:type="dxa"/>
            <w:left w:w="0" w:type="dxa"/>
            <w:bottom w:w="0" w:type="dxa"/>
            <w:right w:w="0"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5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一级指标</w:t>
            </w:r>
          </w:p>
        </w:tc>
        <w:tc>
          <w:tcPr>
            <w:tcW w:w="53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二级指标</w:t>
            </w:r>
          </w:p>
        </w:tc>
        <w:tc>
          <w:tcPr>
            <w:tcW w:w="1638"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三级指标</w:t>
            </w:r>
          </w:p>
        </w:tc>
        <w:tc>
          <w:tcPr>
            <w:tcW w:w="789"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绩效指标描述</w:t>
            </w:r>
          </w:p>
        </w:tc>
        <w:tc>
          <w:tcPr>
            <w:tcW w:w="592"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w:t>
            </w:r>
          </w:p>
        </w:tc>
        <w:tc>
          <w:tcPr>
            <w:tcW w:w="91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指标值确定依据</w:t>
            </w:r>
          </w:p>
        </w:tc>
      </w:tr>
      <w:tr>
        <w:tblPrEx>
          <w:tblCellMar>
            <w:top w:w="0" w:type="dxa"/>
            <w:left w:w="0" w:type="dxa"/>
            <w:bottom w:w="0" w:type="dxa"/>
            <w:right w:w="0" w:type="dxa"/>
          </w:tblCellMar>
        </w:tblPrEx>
        <w:trPr>
          <w:trHeight w:val="418" w:hRule="atLeast"/>
        </w:trPr>
        <w:tc>
          <w:tcPr>
            <w:tcW w:w="529"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53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1638"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补贴企业人员经费支出</w:t>
            </w:r>
          </w:p>
        </w:tc>
        <w:tc>
          <w:tcPr>
            <w:tcW w:w="789" w:type="pct"/>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补贴企业人员经费支出</w:t>
            </w:r>
          </w:p>
        </w:tc>
        <w:tc>
          <w:tcPr>
            <w:tcW w:w="59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50万元</w:t>
            </w:r>
          </w:p>
        </w:tc>
        <w:tc>
          <w:tcPr>
            <w:tcW w:w="91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4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3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1638"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补贴资金发放及时率</w:t>
            </w:r>
          </w:p>
        </w:tc>
        <w:tc>
          <w:tcPr>
            <w:tcW w:w="78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补贴资金发放及时率</w:t>
            </w:r>
          </w:p>
        </w:tc>
        <w:tc>
          <w:tcPr>
            <w:tcW w:w="59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91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补贴资金发放及时率</w:t>
            </w:r>
          </w:p>
        </w:tc>
      </w:tr>
      <w:tr>
        <w:tblPrEx>
          <w:tblCellMar>
            <w:top w:w="0" w:type="dxa"/>
            <w:left w:w="0" w:type="dxa"/>
            <w:bottom w:w="0" w:type="dxa"/>
            <w:right w:w="0" w:type="dxa"/>
          </w:tblCellMar>
        </w:tblPrEx>
        <w:trPr>
          <w:trHeight w:val="38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3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1638"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78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59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91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33" w:type="pct"/>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1638" w:type="pct"/>
            <w:gridSpan w:val="2"/>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789" w:type="pct"/>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592" w:type="pct"/>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918" w:type="pct"/>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72" w:hRule="atLeast"/>
        </w:trPr>
        <w:tc>
          <w:tcPr>
            <w:tcW w:w="52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53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1638"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保证下属单位机关正常运转</w:t>
            </w:r>
          </w:p>
        </w:tc>
        <w:tc>
          <w:tcPr>
            <w:tcW w:w="7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保证下属单位机关正常运转</w:t>
            </w:r>
          </w:p>
        </w:tc>
        <w:tc>
          <w:tcPr>
            <w:tcW w:w="59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91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31" w:hRule="atLeast"/>
        </w:trPr>
        <w:tc>
          <w:tcPr>
            <w:tcW w:w="5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53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1638"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789"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职工满意度</w:t>
            </w:r>
          </w:p>
        </w:tc>
        <w:tc>
          <w:tcPr>
            <w:tcW w:w="592"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918"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职工满意度</w:t>
            </w:r>
          </w:p>
        </w:tc>
      </w:tr>
    </w:tbl>
    <w:p>
      <w:pPr>
        <w:rPr>
          <w:rFonts w:hint="eastAsia" w:ascii="Calibri" w:hAnsi="Calibri"/>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tbl>
      <w:tblPr>
        <w:tblStyle w:val="9"/>
        <w:tblW w:w="4701" w:type="pct"/>
        <w:tblInd w:w="228" w:type="dxa"/>
        <w:tblLayout w:type="fixed"/>
        <w:tblCellMar>
          <w:top w:w="0" w:type="dxa"/>
          <w:left w:w="0" w:type="dxa"/>
          <w:bottom w:w="0" w:type="dxa"/>
          <w:right w:w="0" w:type="dxa"/>
        </w:tblCellMar>
      </w:tblPr>
      <w:tblGrid>
        <w:gridCol w:w="1604"/>
        <w:gridCol w:w="1398"/>
        <w:gridCol w:w="1655"/>
        <w:gridCol w:w="1344"/>
        <w:gridCol w:w="2960"/>
        <w:gridCol w:w="1932"/>
        <w:gridCol w:w="2261"/>
      </w:tblGrid>
      <w:tr>
        <w:tblPrEx>
          <w:tblCellMar>
            <w:top w:w="0" w:type="dxa"/>
            <w:left w:w="0" w:type="dxa"/>
            <w:bottom w:w="0" w:type="dxa"/>
            <w:right w:w="0" w:type="dxa"/>
          </w:tblCellMar>
        </w:tblPrEx>
        <w:trPr>
          <w:trHeight w:val="870" w:hRule="atLeast"/>
        </w:trPr>
        <w:tc>
          <w:tcPr>
            <w:tcW w:w="13154" w:type="dxa"/>
            <w:gridSpan w:val="7"/>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36"/>
                <w:szCs w:val="36"/>
              </w:rPr>
            </w:pPr>
            <w:r>
              <w:rPr>
                <w:rFonts w:hint="eastAsia" w:ascii="宋体" w:hAnsi="宋体"/>
                <w:b/>
                <w:bCs/>
                <w:color w:val="000000"/>
                <w:kern w:val="0"/>
                <w:sz w:val="36"/>
                <w:szCs w:val="36"/>
              </w:rPr>
              <w:t>争取产业项目前期费用项目绩效目标表</w:t>
            </w:r>
          </w:p>
        </w:tc>
      </w:tr>
      <w:tr>
        <w:tblPrEx>
          <w:tblCellMar>
            <w:top w:w="0" w:type="dxa"/>
            <w:left w:w="0" w:type="dxa"/>
            <w:bottom w:w="0" w:type="dxa"/>
            <w:right w:w="0" w:type="dxa"/>
          </w:tblCellMar>
        </w:tblPrEx>
        <w:trPr>
          <w:trHeight w:val="461" w:hRule="atLeast"/>
        </w:trPr>
        <w:tc>
          <w:tcPr>
            <w:tcW w:w="159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项目编码</w:t>
            </w:r>
          </w:p>
        </w:tc>
        <w:tc>
          <w:tcPr>
            <w:tcW w:w="3040"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130225212ZIPHMMPG0AIE</w:t>
            </w:r>
          </w:p>
        </w:tc>
        <w:tc>
          <w:tcPr>
            <w:tcW w:w="13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项目名称</w:t>
            </w:r>
          </w:p>
        </w:tc>
        <w:tc>
          <w:tcPr>
            <w:tcW w:w="7180"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争取产业项目前期费用</w:t>
            </w:r>
          </w:p>
        </w:tc>
      </w:tr>
      <w:tr>
        <w:tblPrEx>
          <w:tblCellMar>
            <w:top w:w="0" w:type="dxa"/>
            <w:left w:w="0" w:type="dxa"/>
            <w:bottom w:w="0" w:type="dxa"/>
            <w:right w:w="0" w:type="dxa"/>
          </w:tblCellMar>
        </w:tblPrEx>
        <w:trPr>
          <w:trHeight w:val="423" w:hRule="atLeast"/>
        </w:trPr>
        <w:tc>
          <w:tcPr>
            <w:tcW w:w="1599" w:type="dxa"/>
            <w:vMerge w:val="restart"/>
            <w:tcBorders>
              <w:top w:val="nil"/>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预算规模及资金用途</w:t>
            </w:r>
          </w:p>
        </w:tc>
        <w:tc>
          <w:tcPr>
            <w:tcW w:w="1389" w:type="dxa"/>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w:t>
            </w:r>
            <w:r>
              <w:rPr>
                <w:rFonts w:hint="eastAsia"/>
                <w:color w:val="000000"/>
                <w:kern w:val="0"/>
                <w:sz w:val="20"/>
                <w:szCs w:val="20"/>
              </w:rPr>
              <w:t xml:space="preserve"> </w:t>
            </w:r>
          </w:p>
        </w:tc>
        <w:tc>
          <w:tcPr>
            <w:tcW w:w="165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200</w:t>
            </w:r>
            <w:r>
              <w:rPr>
                <w:rFonts w:hint="eastAsia" w:ascii="宋体" w:hAnsi="宋体"/>
                <w:color w:val="000000"/>
                <w:kern w:val="0"/>
                <w:sz w:val="20"/>
                <w:szCs w:val="20"/>
              </w:rPr>
              <w:t>万元</w:t>
            </w:r>
          </w:p>
        </w:tc>
        <w:tc>
          <w:tcPr>
            <w:tcW w:w="13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98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200</w:t>
            </w:r>
            <w:r>
              <w:rPr>
                <w:rFonts w:hint="eastAsia" w:ascii="宋体" w:hAnsi="宋体"/>
                <w:color w:val="000000"/>
                <w:kern w:val="0"/>
                <w:sz w:val="20"/>
                <w:szCs w:val="20"/>
              </w:rPr>
              <w:t>万元</w:t>
            </w:r>
          </w:p>
        </w:tc>
        <w:tc>
          <w:tcPr>
            <w:tcW w:w="19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226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02"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b/>
                <w:bCs/>
                <w:color w:val="000000"/>
                <w:sz w:val="20"/>
                <w:szCs w:val="20"/>
              </w:rPr>
            </w:pPr>
          </w:p>
        </w:tc>
        <w:tc>
          <w:tcPr>
            <w:tcW w:w="11555"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主要用于争取国家建设资金费用，争取产业项目发生费用，根据中央关于京津冀协同发展的要求，承接产业项目发生费用</w:t>
            </w:r>
          </w:p>
        </w:tc>
      </w:tr>
      <w:tr>
        <w:tblPrEx>
          <w:tblCellMar>
            <w:top w:w="0" w:type="dxa"/>
            <w:left w:w="0" w:type="dxa"/>
            <w:bottom w:w="0" w:type="dxa"/>
            <w:right w:w="0" w:type="dxa"/>
          </w:tblCellMar>
        </w:tblPrEx>
        <w:trPr>
          <w:trHeight w:val="285" w:hRule="atLeast"/>
        </w:trPr>
        <w:tc>
          <w:tcPr>
            <w:tcW w:w="1599" w:type="dxa"/>
            <w:vMerge w:val="restart"/>
            <w:tcBorders>
              <w:top w:val="nil"/>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资金支出计划</w:t>
            </w:r>
            <w:r>
              <w:rPr>
                <w:rFonts w:hint="eastAsia" w:ascii="宋体" w:hAnsi="宋体"/>
                <w:b/>
                <w:bCs/>
                <w:color w:val="000000"/>
                <w:kern w:val="0"/>
                <w:sz w:val="20"/>
                <w:szCs w:val="20"/>
                <w:u w:val="single"/>
              </w:rPr>
              <w:t>（累计进度</w:t>
            </w:r>
            <w:r>
              <w:rPr>
                <w:rFonts w:hint="eastAsia"/>
                <w:b/>
                <w:bCs/>
                <w:color w:val="000000"/>
                <w:kern w:val="0"/>
                <w:sz w:val="20"/>
                <w:szCs w:val="20"/>
                <w:u w:val="single"/>
              </w:rPr>
              <w:t>%</w:t>
            </w:r>
            <w:r>
              <w:rPr>
                <w:rFonts w:hint="eastAsia" w:ascii="宋体" w:hAnsi="宋体"/>
                <w:b/>
                <w:bCs/>
                <w:color w:val="000000"/>
                <w:kern w:val="0"/>
                <w:sz w:val="20"/>
                <w:szCs w:val="20"/>
                <w:u w:val="single"/>
              </w:rPr>
              <w:t>）</w:t>
            </w:r>
          </w:p>
        </w:tc>
        <w:tc>
          <w:tcPr>
            <w:tcW w:w="4375"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第一季度</w:t>
            </w:r>
          </w:p>
        </w:tc>
        <w:tc>
          <w:tcPr>
            <w:tcW w:w="2980"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第二季度</w:t>
            </w:r>
          </w:p>
        </w:tc>
        <w:tc>
          <w:tcPr>
            <w:tcW w:w="1932"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第三季度</w:t>
            </w:r>
          </w:p>
        </w:tc>
        <w:tc>
          <w:tcPr>
            <w:tcW w:w="2268"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第四季度</w:t>
            </w:r>
          </w:p>
        </w:tc>
      </w:tr>
      <w:tr>
        <w:tblPrEx>
          <w:tblCellMar>
            <w:top w:w="0" w:type="dxa"/>
            <w:left w:w="0" w:type="dxa"/>
            <w:bottom w:w="0" w:type="dxa"/>
            <w:right w:w="0" w:type="dxa"/>
          </w:tblCellMar>
        </w:tblPrEx>
        <w:trPr>
          <w:trHeight w:val="359"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b/>
                <w:bCs/>
                <w:color w:val="000000"/>
                <w:sz w:val="20"/>
                <w:szCs w:val="20"/>
              </w:rPr>
            </w:pPr>
          </w:p>
        </w:tc>
        <w:tc>
          <w:tcPr>
            <w:tcW w:w="4375" w:type="dxa"/>
            <w:gridSpan w:val="3"/>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25%</w:t>
            </w:r>
          </w:p>
        </w:tc>
        <w:tc>
          <w:tcPr>
            <w:tcW w:w="298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50%</w:t>
            </w:r>
          </w:p>
        </w:tc>
        <w:tc>
          <w:tcPr>
            <w:tcW w:w="1932"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75%</w:t>
            </w:r>
          </w:p>
        </w:tc>
        <w:tc>
          <w:tcPr>
            <w:tcW w:w="2268"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100%</w:t>
            </w:r>
          </w:p>
        </w:tc>
      </w:tr>
      <w:tr>
        <w:tblPrEx>
          <w:tblCellMar>
            <w:top w:w="0" w:type="dxa"/>
            <w:left w:w="0" w:type="dxa"/>
            <w:bottom w:w="0" w:type="dxa"/>
            <w:right w:w="0" w:type="dxa"/>
          </w:tblCellMar>
        </w:tblPrEx>
        <w:trPr>
          <w:trHeight w:val="270" w:hRule="atLeast"/>
        </w:trPr>
        <w:tc>
          <w:tcPr>
            <w:tcW w:w="1599" w:type="dxa"/>
            <w:vMerge w:val="restart"/>
            <w:tcBorders>
              <w:top w:val="nil"/>
              <w:left w:val="single" w:color="000000" w:sz="4" w:space="0"/>
              <w:bottom w:val="nil"/>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绩效目标</w:t>
            </w:r>
          </w:p>
        </w:tc>
        <w:tc>
          <w:tcPr>
            <w:tcW w:w="11555" w:type="dxa"/>
            <w:gridSpan w:val="6"/>
            <w:tcBorders>
              <w:top w:val="single" w:color="auto" w:sz="4" w:space="0"/>
              <w:left w:val="nil"/>
              <w:bottom w:val="nil"/>
              <w:right w:val="single" w:color="auto"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w:t>
            </w:r>
            <w:r>
              <w:rPr>
                <w:rFonts w:hint="eastAsia"/>
                <w:color w:val="000000"/>
                <w:kern w:val="0"/>
                <w:sz w:val="20"/>
                <w:szCs w:val="20"/>
              </w:rPr>
              <w:t>1</w:t>
            </w:r>
            <w:r>
              <w:rPr>
                <w:rFonts w:hint="eastAsia" w:ascii="宋体" w:hAnsi="宋体"/>
                <w:color w:val="000000"/>
                <w:kern w:val="0"/>
                <w:sz w:val="20"/>
                <w:szCs w:val="20"/>
              </w:rPr>
              <w:t xml:space="preserve">：多措并举，助推产业项目建设新突破。 </w:t>
            </w:r>
            <w:r>
              <w:rPr>
                <w:color w:val="000000"/>
                <w:kern w:val="0"/>
                <w:sz w:val="20"/>
                <w:szCs w:val="20"/>
              </w:rPr>
              <w:t xml:space="preserve">                      </w:t>
            </w:r>
          </w:p>
        </w:tc>
      </w:tr>
      <w:tr>
        <w:tblPrEx>
          <w:tblCellMar>
            <w:top w:w="0" w:type="dxa"/>
            <w:left w:w="0" w:type="dxa"/>
            <w:bottom w:w="0" w:type="dxa"/>
            <w:right w:w="0" w:type="dxa"/>
          </w:tblCellMar>
        </w:tblPrEx>
        <w:trPr>
          <w:trHeight w:val="270" w:hRule="atLeast"/>
        </w:trPr>
        <w:tc>
          <w:tcPr>
            <w:tcW w:w="300" w:type="dxa"/>
            <w:vMerge w:val="continue"/>
            <w:tcBorders>
              <w:top w:val="nil"/>
              <w:left w:val="single" w:color="000000" w:sz="4" w:space="0"/>
              <w:bottom w:val="nil"/>
              <w:right w:val="single" w:color="auto" w:sz="4" w:space="0"/>
            </w:tcBorders>
            <w:vAlign w:val="center"/>
          </w:tcPr>
          <w:p>
            <w:pPr>
              <w:widowControl/>
              <w:jc w:val="left"/>
              <w:rPr>
                <w:rFonts w:ascii="宋体" w:hAnsi="宋体" w:cs="宋体"/>
                <w:b/>
                <w:bCs/>
                <w:color w:val="000000"/>
                <w:sz w:val="20"/>
                <w:szCs w:val="20"/>
              </w:rPr>
            </w:pPr>
          </w:p>
        </w:tc>
        <w:tc>
          <w:tcPr>
            <w:tcW w:w="11555"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 w:val="20"/>
                <w:szCs w:val="20"/>
              </w:rPr>
            </w:pPr>
            <w:r>
              <w:rPr>
                <w:rFonts w:hint="eastAsia" w:ascii="宋体" w:hAnsi="宋体"/>
                <w:color w:val="000000"/>
                <w:kern w:val="0"/>
                <w:sz w:val="20"/>
                <w:szCs w:val="20"/>
              </w:rPr>
              <w:t>目标</w:t>
            </w:r>
            <w:r>
              <w:rPr>
                <w:rFonts w:hint="eastAsia"/>
                <w:color w:val="000000"/>
                <w:kern w:val="0"/>
                <w:sz w:val="20"/>
                <w:szCs w:val="20"/>
              </w:rPr>
              <w:t>2</w:t>
            </w:r>
            <w:r>
              <w:rPr>
                <w:rFonts w:hint="eastAsia" w:ascii="宋体" w:hAnsi="宋体"/>
                <w:color w:val="000000"/>
                <w:kern w:val="0"/>
                <w:sz w:val="20"/>
                <w:szCs w:val="20"/>
              </w:rPr>
              <w:t>：加强重点项目谋划协调，推动重点项目顺利实施</w:t>
            </w:r>
          </w:p>
        </w:tc>
      </w:tr>
      <w:tr>
        <w:tblPrEx>
          <w:tblCellMar>
            <w:top w:w="0" w:type="dxa"/>
            <w:left w:w="0" w:type="dxa"/>
            <w:bottom w:w="0" w:type="dxa"/>
            <w:right w:w="0" w:type="dxa"/>
          </w:tblCellMar>
        </w:tblPrEx>
        <w:trPr>
          <w:trHeight w:val="402" w:hRule="atLeast"/>
        </w:trPr>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一级指标</w:t>
            </w:r>
          </w:p>
        </w:tc>
        <w:tc>
          <w:tcPr>
            <w:tcW w:w="1389"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二级指标</w:t>
            </w:r>
          </w:p>
        </w:tc>
        <w:tc>
          <w:tcPr>
            <w:tcW w:w="2986" w:type="dxa"/>
            <w:gridSpan w:val="2"/>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三级指标</w:t>
            </w:r>
          </w:p>
        </w:tc>
        <w:tc>
          <w:tcPr>
            <w:tcW w:w="2980"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绩效指标描述</w:t>
            </w:r>
          </w:p>
        </w:tc>
        <w:tc>
          <w:tcPr>
            <w:tcW w:w="1932"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w:t>
            </w:r>
          </w:p>
        </w:tc>
        <w:tc>
          <w:tcPr>
            <w:tcW w:w="2268"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bCs/>
                <w:color w:val="000000"/>
                <w:sz w:val="20"/>
                <w:szCs w:val="20"/>
              </w:rPr>
            </w:pPr>
            <w:r>
              <w:rPr>
                <w:rFonts w:hint="eastAsia" w:ascii="宋体" w:hAnsi="宋体"/>
                <w:b/>
                <w:bCs/>
                <w:color w:val="000000"/>
                <w:kern w:val="0"/>
                <w:sz w:val="20"/>
                <w:szCs w:val="20"/>
              </w:rPr>
              <w:t>指标值确定依据</w:t>
            </w:r>
          </w:p>
        </w:tc>
      </w:tr>
      <w:tr>
        <w:tblPrEx>
          <w:tblCellMar>
            <w:top w:w="0" w:type="dxa"/>
            <w:left w:w="0" w:type="dxa"/>
            <w:bottom w:w="0" w:type="dxa"/>
            <w:right w:w="0" w:type="dxa"/>
          </w:tblCellMar>
        </w:tblPrEx>
        <w:trPr>
          <w:trHeight w:val="433" w:hRule="atLeast"/>
        </w:trPr>
        <w:tc>
          <w:tcPr>
            <w:tcW w:w="1599" w:type="dxa"/>
            <w:vMerge w:val="restart"/>
            <w:tcBorders>
              <w:top w:val="nil"/>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新开工重点项目</w:t>
            </w:r>
          </w:p>
        </w:tc>
        <w:tc>
          <w:tcPr>
            <w:tcW w:w="298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新开工重点项目</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70</w:t>
            </w:r>
            <w:r>
              <w:rPr>
                <w:rFonts w:hint="eastAsia" w:ascii="宋体" w:hAnsi="宋体"/>
                <w:color w:val="000000"/>
                <w:kern w:val="0"/>
                <w:sz w:val="20"/>
                <w:szCs w:val="20"/>
              </w:rPr>
              <w:t>个</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17"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有效投资完成率</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有效投资完成率</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100%</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有效投资完成率</w:t>
            </w:r>
          </w:p>
        </w:tc>
      </w:tr>
      <w:tr>
        <w:tblPrEx>
          <w:tblCellMar>
            <w:top w:w="0" w:type="dxa"/>
            <w:left w:w="0" w:type="dxa"/>
            <w:bottom w:w="0" w:type="dxa"/>
            <w:right w:w="0" w:type="dxa"/>
          </w:tblCellMar>
        </w:tblPrEx>
        <w:trPr>
          <w:trHeight w:val="374"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2021</w:t>
            </w:r>
            <w:r>
              <w:rPr>
                <w:rFonts w:hint="eastAsia" w:ascii="宋体" w:hAnsi="宋体"/>
                <w:color w:val="000000"/>
                <w:kern w:val="0"/>
                <w:sz w:val="20"/>
                <w:szCs w:val="20"/>
              </w:rPr>
              <w:t>年</w:t>
            </w:r>
            <w:r>
              <w:rPr>
                <w:rFonts w:hint="eastAsia"/>
                <w:color w:val="000000"/>
                <w:kern w:val="0"/>
                <w:sz w:val="20"/>
                <w:szCs w:val="20"/>
              </w:rPr>
              <w:t>12</w:t>
            </w:r>
            <w:r>
              <w:rPr>
                <w:rFonts w:hint="eastAsia" w:ascii="宋体" w:hAnsi="宋体"/>
                <w:color w:val="000000"/>
                <w:kern w:val="0"/>
                <w:sz w:val="20"/>
                <w:szCs w:val="20"/>
              </w:rPr>
              <w:t>月底前</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49" w:hRule="atLeast"/>
        </w:trPr>
        <w:tc>
          <w:tcPr>
            <w:tcW w:w="300" w:type="dxa"/>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80%</w:t>
            </w:r>
            <w:r>
              <w:rPr>
                <w:rFonts w:hint="eastAsia" w:ascii="宋体" w:hAnsi="宋体"/>
                <w:color w:val="000000"/>
                <w:kern w:val="0"/>
                <w:sz w:val="20"/>
                <w:szCs w:val="20"/>
              </w:rPr>
              <w:t>以上</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586" w:hRule="atLeast"/>
        </w:trPr>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1389"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促进县域经济发展</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促进县域经济发展</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91" w:hRule="atLeast"/>
        </w:trPr>
        <w:tc>
          <w:tcPr>
            <w:tcW w:w="15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3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298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9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9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color w:val="000000"/>
                <w:kern w:val="0"/>
                <w:sz w:val="20"/>
                <w:szCs w:val="20"/>
              </w:rPr>
              <w:t>90%</w:t>
            </w:r>
            <w:r>
              <w:rPr>
                <w:rFonts w:hint="eastAsia" w:ascii="宋体" w:hAnsi="宋体"/>
                <w:color w:val="000000"/>
                <w:kern w:val="0"/>
                <w:sz w:val="20"/>
                <w:szCs w:val="20"/>
              </w:rPr>
              <w:t>以上</w:t>
            </w:r>
          </w:p>
        </w:tc>
        <w:tc>
          <w:tcPr>
            <w:tcW w:w="22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bl>
    <w:p>
      <w:pPr>
        <w:rPr>
          <w:rFonts w:hint="eastAsia" w:ascii="Calibri" w:hAnsi="Calibri"/>
        </w:rPr>
      </w:pPr>
      <w:r>
        <w:rPr>
          <w:rFonts w:hint="eastAsia"/>
        </w:rPr>
        <w:t xml:space="preserve"> </w:t>
      </w:r>
    </w:p>
    <w:p>
      <w:pPr>
        <w:rPr>
          <w:rFonts w:hint="eastAsia"/>
        </w:rPr>
      </w:pPr>
      <w:r>
        <w:rPr>
          <w:rFonts w:hint="eastAsia"/>
        </w:rPr>
        <w:t xml:space="preserve"> </w:t>
      </w:r>
    </w:p>
    <w:tbl>
      <w:tblPr>
        <w:tblStyle w:val="9"/>
        <w:tblW w:w="4674" w:type="pct"/>
        <w:tblInd w:w="135" w:type="dxa"/>
        <w:tblLayout w:type="autofit"/>
        <w:tblCellMar>
          <w:top w:w="0" w:type="dxa"/>
          <w:left w:w="0" w:type="dxa"/>
          <w:bottom w:w="0" w:type="dxa"/>
          <w:right w:w="0" w:type="dxa"/>
        </w:tblCellMar>
      </w:tblPr>
      <w:tblGrid>
        <w:gridCol w:w="1900"/>
        <w:gridCol w:w="1373"/>
        <w:gridCol w:w="1585"/>
        <w:gridCol w:w="1538"/>
        <w:gridCol w:w="2210"/>
        <w:gridCol w:w="1865"/>
        <w:gridCol w:w="2605"/>
      </w:tblGrid>
      <w:tr>
        <w:tblPrEx>
          <w:tblCellMar>
            <w:top w:w="0" w:type="dxa"/>
            <w:left w:w="0" w:type="dxa"/>
            <w:bottom w:w="0" w:type="dxa"/>
            <w:right w:w="0" w:type="dxa"/>
          </w:tblCellMar>
        </w:tblPrEx>
        <w:trPr>
          <w:trHeight w:val="870" w:hRule="atLeast"/>
        </w:trPr>
        <w:tc>
          <w:tcPr>
            <w:tcW w:w="5000" w:type="pct"/>
            <w:gridSpan w:val="7"/>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b/>
                <w:color w:val="000000"/>
                <w:kern w:val="0"/>
                <w:sz w:val="36"/>
                <w:szCs w:val="36"/>
              </w:rPr>
              <w:t>县级储备粮食补贴项目绩效目标表</w:t>
            </w:r>
          </w:p>
        </w:tc>
      </w:tr>
      <w:tr>
        <w:tblPrEx>
          <w:tblCellMar>
            <w:top w:w="0" w:type="dxa"/>
            <w:left w:w="0" w:type="dxa"/>
            <w:bottom w:w="0" w:type="dxa"/>
            <w:right w:w="0" w:type="dxa"/>
          </w:tblCellMar>
        </w:tblPrEx>
        <w:trPr>
          <w:trHeight w:val="400" w:hRule="atLeast"/>
        </w:trPr>
        <w:tc>
          <w:tcPr>
            <w:tcW w:w="727"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项目编码</w:t>
            </w:r>
          </w:p>
        </w:tc>
        <w:tc>
          <w:tcPr>
            <w:tcW w:w="1131"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13022521ZRBDV5CV601SE</w:t>
            </w:r>
          </w:p>
        </w:tc>
        <w:tc>
          <w:tcPr>
            <w:tcW w:w="58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项目名称</w:t>
            </w:r>
          </w:p>
        </w:tc>
        <w:tc>
          <w:tcPr>
            <w:tcW w:w="2552"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县级储备粮补贴</w:t>
            </w:r>
          </w:p>
        </w:tc>
      </w:tr>
      <w:tr>
        <w:tblPrEx>
          <w:tblCellMar>
            <w:top w:w="0" w:type="dxa"/>
            <w:left w:w="0" w:type="dxa"/>
            <w:bottom w:w="0" w:type="dxa"/>
            <w:right w:w="0" w:type="dxa"/>
          </w:tblCellMar>
        </w:tblPrEx>
        <w:trPr>
          <w:trHeight w:val="337" w:hRule="atLeast"/>
        </w:trPr>
        <w:tc>
          <w:tcPr>
            <w:tcW w:w="727"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预算规模及资金用途</w:t>
            </w:r>
          </w:p>
        </w:tc>
        <w:tc>
          <w:tcPr>
            <w:tcW w:w="525" w:type="pct"/>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　</w:t>
            </w:r>
          </w:p>
        </w:tc>
        <w:tc>
          <w:tcPr>
            <w:tcW w:w="606"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100万元</w:t>
            </w:r>
          </w:p>
        </w:tc>
        <w:tc>
          <w:tcPr>
            <w:tcW w:w="588"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84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100万元</w:t>
            </w:r>
          </w:p>
        </w:tc>
        <w:tc>
          <w:tcPr>
            <w:tcW w:w="68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102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25"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4272" w:type="pct"/>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主要用于落实粮食购销政策，确保粮食流通规范有序,确保县级储备粮安全，有效发挥县级储备粮在宏观调控中的作用。</w:t>
            </w:r>
          </w:p>
        </w:tc>
      </w:tr>
      <w:tr>
        <w:tblPrEx>
          <w:tblCellMar>
            <w:top w:w="0" w:type="dxa"/>
            <w:left w:w="0" w:type="dxa"/>
            <w:bottom w:w="0" w:type="dxa"/>
            <w:right w:w="0" w:type="dxa"/>
          </w:tblCellMar>
        </w:tblPrEx>
        <w:trPr>
          <w:trHeight w:val="287" w:hRule="atLeast"/>
        </w:trPr>
        <w:tc>
          <w:tcPr>
            <w:tcW w:w="727"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资金支出计划</w:t>
            </w:r>
            <w:r>
              <w:rPr>
                <w:rFonts w:hint="eastAsia" w:ascii="宋体" w:hAnsi="宋体"/>
                <w:b/>
                <w:color w:val="000000"/>
                <w:kern w:val="0"/>
                <w:sz w:val="20"/>
                <w:szCs w:val="20"/>
                <w:u w:val="single"/>
              </w:rPr>
              <w:t>（累计进度%）</w:t>
            </w:r>
          </w:p>
        </w:tc>
        <w:tc>
          <w:tcPr>
            <w:tcW w:w="1719" w:type="pct"/>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第一季度</w:t>
            </w:r>
          </w:p>
        </w:tc>
        <w:tc>
          <w:tcPr>
            <w:tcW w:w="845"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第二季度</w:t>
            </w:r>
          </w:p>
        </w:tc>
        <w:tc>
          <w:tcPr>
            <w:tcW w:w="684"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第三季度</w:t>
            </w:r>
          </w:p>
        </w:tc>
        <w:tc>
          <w:tcPr>
            <w:tcW w:w="1023" w:type="pct"/>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第四季度</w:t>
            </w:r>
          </w:p>
        </w:tc>
      </w:tr>
      <w:tr>
        <w:tblPrEx>
          <w:tblCellMar>
            <w:top w:w="0" w:type="dxa"/>
            <w:left w:w="0" w:type="dxa"/>
            <w:bottom w:w="0" w:type="dxa"/>
            <w:right w:w="0" w:type="dxa"/>
          </w:tblCellMar>
        </w:tblPrEx>
        <w:trPr>
          <w:trHeight w:val="294"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719" w:type="pct"/>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84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68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102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727"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绩效目标</w:t>
            </w:r>
          </w:p>
        </w:tc>
        <w:tc>
          <w:tcPr>
            <w:tcW w:w="4272" w:type="pct"/>
            <w:gridSpan w:val="6"/>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目标1：确保粮食收的进、储的好、用的上。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目标2：确保县级储备粮安全.</w:t>
            </w:r>
          </w:p>
        </w:tc>
      </w:tr>
      <w:tr>
        <w:tblPrEx>
          <w:tblCellMar>
            <w:top w:w="0" w:type="dxa"/>
            <w:left w:w="0" w:type="dxa"/>
            <w:bottom w:w="0" w:type="dxa"/>
            <w:right w:w="0"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0" w:type="auto"/>
            <w:gridSpan w:val="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32" w:hRule="atLeast"/>
        </w:trPr>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一级指标</w:t>
            </w:r>
          </w:p>
        </w:tc>
        <w:tc>
          <w:tcPr>
            <w:tcW w:w="52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二级指标</w:t>
            </w:r>
          </w:p>
        </w:tc>
        <w:tc>
          <w:tcPr>
            <w:tcW w:w="1194"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三级指标</w:t>
            </w:r>
          </w:p>
        </w:tc>
        <w:tc>
          <w:tcPr>
            <w:tcW w:w="84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绩效指标描述</w:t>
            </w:r>
          </w:p>
        </w:tc>
        <w:tc>
          <w:tcPr>
            <w:tcW w:w="7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w:t>
            </w:r>
          </w:p>
        </w:tc>
        <w:tc>
          <w:tcPr>
            <w:tcW w:w="99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指标值确定依据</w:t>
            </w:r>
          </w:p>
        </w:tc>
      </w:tr>
      <w:tr>
        <w:tblPrEx>
          <w:tblCellMar>
            <w:top w:w="0" w:type="dxa"/>
            <w:left w:w="0" w:type="dxa"/>
            <w:bottom w:w="0" w:type="dxa"/>
            <w:right w:w="0" w:type="dxa"/>
          </w:tblCellMar>
        </w:tblPrEx>
        <w:trPr>
          <w:trHeight w:val="333" w:hRule="atLeast"/>
        </w:trPr>
        <w:tc>
          <w:tcPr>
            <w:tcW w:w="727" w:type="pct"/>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525" w:type="pct"/>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玉米储备数量</w:t>
            </w:r>
          </w:p>
        </w:tc>
        <w:tc>
          <w:tcPr>
            <w:tcW w:w="845" w:type="pct"/>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玉米储备数量</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8000吨</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7"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小麦储备数量</w:t>
            </w:r>
          </w:p>
        </w:tc>
        <w:tc>
          <w:tcPr>
            <w:tcW w:w="845" w:type="pct"/>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小麦储备数量</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4527吨</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2"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2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储备粮质量</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储备粮质量</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符合国家标准</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75"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25" w:type="pct"/>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1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25" w:type="pct"/>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每吨轮换费用</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每吨轮换费用</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120元</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每吨轮换费用</w:t>
            </w:r>
          </w:p>
        </w:tc>
      </w:tr>
      <w:tr>
        <w:tblPrEx>
          <w:tblCellMar>
            <w:top w:w="0" w:type="dxa"/>
            <w:left w:w="0" w:type="dxa"/>
            <w:bottom w:w="0" w:type="dxa"/>
            <w:right w:w="0" w:type="dxa"/>
          </w:tblCellMar>
        </w:tblPrEx>
        <w:trPr>
          <w:trHeight w:val="337"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每吨储存费用</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每吨储存费用</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86元</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每吨储存费用</w:t>
            </w:r>
          </w:p>
        </w:tc>
      </w:tr>
      <w:tr>
        <w:tblPrEx>
          <w:tblCellMar>
            <w:top w:w="0" w:type="dxa"/>
            <w:left w:w="0" w:type="dxa"/>
            <w:bottom w:w="0" w:type="dxa"/>
            <w:right w:w="0" w:type="dxa"/>
          </w:tblCellMar>
        </w:tblPrEx>
        <w:trPr>
          <w:trHeight w:val="293"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194" w:type="pct"/>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贷款利息费用</w:t>
            </w:r>
          </w:p>
        </w:tc>
        <w:tc>
          <w:tcPr>
            <w:tcW w:w="845"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贷款利息费用</w:t>
            </w:r>
          </w:p>
        </w:tc>
        <w:tc>
          <w:tcPr>
            <w:tcW w:w="713"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150万元</w:t>
            </w:r>
          </w:p>
        </w:tc>
        <w:tc>
          <w:tcPr>
            <w:tcW w:w="994" w:type="pct"/>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贷款利息费用</w:t>
            </w:r>
          </w:p>
        </w:tc>
      </w:tr>
      <w:tr>
        <w:tblPrEx>
          <w:tblCellMar>
            <w:top w:w="0" w:type="dxa"/>
            <w:left w:w="0" w:type="dxa"/>
            <w:bottom w:w="0" w:type="dxa"/>
            <w:right w:w="0" w:type="dxa"/>
          </w:tblCellMar>
        </w:tblPrEx>
        <w:trPr>
          <w:trHeight w:val="413"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52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社会效益指标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保障储备粮安全及供应</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保障储备粮安全及供应</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564" w:hRule="atLeast"/>
        </w:trPr>
        <w:tc>
          <w:tcPr>
            <w:tcW w:w="72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52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1194" w:type="pct"/>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845"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713"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99%以上</w:t>
            </w:r>
          </w:p>
        </w:tc>
        <w:tc>
          <w:tcPr>
            <w:tcW w:w="994" w:type="pc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bl>
    <w:p>
      <w:pPr>
        <w:widowControl/>
        <w:jc w:val="left"/>
        <w:rPr>
          <w:rFonts w:ascii="宋体" w:hAnsi="宋体"/>
          <w:vanish/>
          <w:kern w:val="0"/>
          <w:sz w:val="24"/>
          <w:szCs w:val="24"/>
        </w:rPr>
      </w:pPr>
    </w:p>
    <w:tbl>
      <w:tblPr>
        <w:tblStyle w:val="9"/>
        <w:tblW w:w="4688" w:type="pct"/>
        <w:tblInd w:w="135" w:type="dxa"/>
        <w:tblLayout w:type="fixed"/>
        <w:tblCellMar>
          <w:top w:w="0" w:type="dxa"/>
          <w:left w:w="0" w:type="dxa"/>
          <w:bottom w:w="0" w:type="dxa"/>
          <w:right w:w="0" w:type="dxa"/>
        </w:tblCellMar>
      </w:tblPr>
      <w:tblGrid>
        <w:gridCol w:w="1644"/>
        <w:gridCol w:w="114"/>
        <w:gridCol w:w="252"/>
        <w:gridCol w:w="1022"/>
        <w:gridCol w:w="240"/>
        <w:gridCol w:w="154"/>
        <w:gridCol w:w="1874"/>
        <w:gridCol w:w="138"/>
        <w:gridCol w:w="1082"/>
        <w:gridCol w:w="297"/>
        <w:gridCol w:w="114"/>
        <w:gridCol w:w="2302"/>
        <w:gridCol w:w="109"/>
        <w:gridCol w:w="1656"/>
        <w:gridCol w:w="27"/>
        <w:gridCol w:w="27"/>
        <w:gridCol w:w="507"/>
        <w:gridCol w:w="1563"/>
      </w:tblGrid>
      <w:tr>
        <w:tblPrEx>
          <w:tblCellMar>
            <w:top w:w="0" w:type="dxa"/>
            <w:left w:w="0" w:type="dxa"/>
            <w:bottom w:w="0" w:type="dxa"/>
            <w:right w:w="0" w:type="dxa"/>
          </w:tblCellMar>
        </w:tblPrEx>
        <w:trPr>
          <w:trHeight w:val="870" w:hRule="atLeast"/>
        </w:trPr>
        <w:tc>
          <w:tcPr>
            <w:tcW w:w="13116" w:type="dxa"/>
            <w:gridSpan w:val="18"/>
            <w:tcBorders>
              <w:top w:val="nil"/>
              <w:left w:val="nil"/>
              <w:bottom w:val="single" w:color="000000" w:sz="4" w:space="0"/>
              <w:right w:val="nil"/>
            </w:tcBorders>
            <w:noWrap/>
            <w:tcMar>
              <w:top w:w="15" w:type="dxa"/>
              <w:left w:w="15" w:type="dxa"/>
              <w:bottom w:w="0" w:type="dxa"/>
              <w:right w:w="15" w:type="dxa"/>
            </w:tcMar>
            <w:vAlign w:val="center"/>
          </w:tcPr>
          <w:p>
            <w:pPr>
              <w:tabs>
                <w:tab w:val="center" w:pos="6543"/>
              </w:tabs>
              <w:spacing w:line="580" w:lineRule="exact"/>
              <w:jc w:val="left"/>
              <w:rPr>
                <w:rFonts w:hint="eastAsia" w:ascii="方正小标宋_GBK" w:hAnsi="Calibri" w:eastAsia="宋体" w:cs="宋体"/>
                <w:sz w:val="44"/>
                <w:szCs w:val="44"/>
                <w:lang w:eastAsia="zh-CN"/>
              </w:rPr>
            </w:pPr>
            <w:r>
              <w:rPr>
                <w:rFonts w:ascii="方正小标宋_GBK"/>
                <w:sz w:val="44"/>
                <w:szCs w:val="44"/>
              </w:rPr>
              <w:tab/>
            </w:r>
            <w:r>
              <w:rPr>
                <w:rFonts w:hint="eastAsia" w:ascii="方正小标宋_GBK"/>
                <w:sz w:val="44"/>
                <w:szCs w:val="44"/>
                <w:lang w:eastAsia="zh-CN"/>
              </w:rPr>
              <w:tab/>
            </w:r>
          </w:p>
          <w:p>
            <w:pPr>
              <w:spacing w:line="580" w:lineRule="exact"/>
              <w:jc w:val="center"/>
              <w:rPr>
                <w:rFonts w:ascii="宋体" w:hAnsi="宋体" w:cs="宋体"/>
                <w:b/>
                <w:color w:val="000000"/>
                <w:sz w:val="36"/>
                <w:szCs w:val="36"/>
              </w:rPr>
            </w:pPr>
            <w:r>
              <w:rPr>
                <w:rFonts w:hint="eastAsia" w:ascii="宋体" w:hAnsi="宋体"/>
                <w:b/>
                <w:color w:val="000000"/>
                <w:kern w:val="0"/>
                <w:sz w:val="36"/>
                <w:szCs w:val="36"/>
              </w:rPr>
              <w:t>政策性挂账利息项目绩效目标表</w:t>
            </w:r>
          </w:p>
        </w:tc>
      </w:tr>
      <w:tr>
        <w:tblPrEx>
          <w:tblCellMar>
            <w:top w:w="0" w:type="dxa"/>
            <w:left w:w="0" w:type="dxa"/>
            <w:bottom w:w="0" w:type="dxa"/>
            <w:right w:w="0" w:type="dxa"/>
          </w:tblCellMar>
        </w:tblPrEx>
        <w:trPr>
          <w:trHeight w:val="370" w:hRule="atLeast"/>
        </w:trPr>
        <w:tc>
          <w:tcPr>
            <w:tcW w:w="1755"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项目编码</w:t>
            </w:r>
          </w:p>
        </w:tc>
        <w:tc>
          <w:tcPr>
            <w:tcW w:w="3673" w:type="dxa"/>
            <w:gridSpan w:val="6"/>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13022521TW2F1VQUWGFQ8</w:t>
            </w:r>
          </w:p>
        </w:tc>
        <w:tc>
          <w:tcPr>
            <w:tcW w:w="1484"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项目名称</w:t>
            </w:r>
          </w:p>
        </w:tc>
        <w:tc>
          <w:tcPr>
            <w:tcW w:w="6204" w:type="dxa"/>
            <w:gridSpan w:val="7"/>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政策性挂账利息</w:t>
            </w:r>
          </w:p>
        </w:tc>
      </w:tr>
      <w:tr>
        <w:tblPrEx>
          <w:tblCellMar>
            <w:top w:w="0" w:type="dxa"/>
            <w:left w:w="0" w:type="dxa"/>
            <w:bottom w:w="0" w:type="dxa"/>
            <w:right w:w="0" w:type="dxa"/>
          </w:tblCellMar>
        </w:tblPrEx>
        <w:trPr>
          <w:trHeight w:val="370" w:hRule="atLeast"/>
        </w:trPr>
        <w:tc>
          <w:tcPr>
            <w:tcW w:w="1755" w:type="dxa"/>
            <w:gridSpan w:val="2"/>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预算规模及资金用途</w:t>
            </w:r>
          </w:p>
        </w:tc>
        <w:tc>
          <w:tcPr>
            <w:tcW w:w="1505" w:type="dxa"/>
            <w:gridSpan w:val="3"/>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　</w:t>
            </w:r>
          </w:p>
        </w:tc>
        <w:tc>
          <w:tcPr>
            <w:tcW w:w="216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65万元</w:t>
            </w:r>
          </w:p>
        </w:tc>
        <w:tc>
          <w:tcPr>
            <w:tcW w:w="1484"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31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65万元</w:t>
            </w:r>
          </w:p>
        </w:tc>
        <w:tc>
          <w:tcPr>
            <w:tcW w:w="181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20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10"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361" w:type="dxa"/>
            <w:gridSpan w:val="1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主要用于负责落实政策性挂账贷款利息消化工作</w:t>
            </w:r>
          </w:p>
        </w:tc>
      </w:tr>
      <w:tr>
        <w:tblPrEx>
          <w:tblCellMar>
            <w:top w:w="0" w:type="dxa"/>
            <w:left w:w="0" w:type="dxa"/>
            <w:bottom w:w="0" w:type="dxa"/>
            <w:right w:w="0" w:type="dxa"/>
          </w:tblCellMar>
        </w:tblPrEx>
        <w:trPr>
          <w:trHeight w:val="402" w:hRule="atLeast"/>
        </w:trPr>
        <w:tc>
          <w:tcPr>
            <w:tcW w:w="1755" w:type="dxa"/>
            <w:gridSpan w:val="2"/>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资金支出计划</w:t>
            </w:r>
            <w:r>
              <w:rPr>
                <w:rFonts w:hint="eastAsia" w:ascii="宋体" w:hAnsi="宋体"/>
                <w:b/>
                <w:color w:val="000000"/>
                <w:kern w:val="0"/>
                <w:sz w:val="20"/>
                <w:szCs w:val="20"/>
                <w:u w:val="single"/>
              </w:rPr>
              <w:t>（累计进度%）</w:t>
            </w:r>
          </w:p>
        </w:tc>
        <w:tc>
          <w:tcPr>
            <w:tcW w:w="5157" w:type="dxa"/>
            <w:gridSpan w:val="9"/>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第一季度</w:t>
            </w:r>
          </w:p>
        </w:tc>
        <w:tc>
          <w:tcPr>
            <w:tcW w:w="2316"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第二季度</w:t>
            </w:r>
          </w:p>
        </w:tc>
        <w:tc>
          <w:tcPr>
            <w:tcW w:w="1812"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第三季度</w:t>
            </w:r>
          </w:p>
        </w:tc>
        <w:tc>
          <w:tcPr>
            <w:tcW w:w="207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第四季度</w:t>
            </w:r>
          </w:p>
        </w:tc>
      </w:tr>
      <w:tr>
        <w:tblPrEx>
          <w:tblCellMar>
            <w:top w:w="0" w:type="dxa"/>
            <w:left w:w="0" w:type="dxa"/>
            <w:bottom w:w="0" w:type="dxa"/>
            <w:right w:w="0" w:type="dxa"/>
          </w:tblCellMar>
        </w:tblPrEx>
        <w:trPr>
          <w:trHeight w:val="283"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5157" w:type="dxa"/>
            <w:gridSpan w:val="9"/>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231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181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20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1755" w:type="dxa"/>
            <w:gridSpan w:val="2"/>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绩效目标</w:t>
            </w:r>
          </w:p>
        </w:tc>
        <w:tc>
          <w:tcPr>
            <w:tcW w:w="11361" w:type="dxa"/>
            <w:gridSpan w:val="16"/>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目标1：及时申请拨付政策性贷款利息消化工作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目标2：及时归还贷款利息。</w:t>
            </w:r>
          </w:p>
        </w:tc>
      </w:tr>
      <w:tr>
        <w:tblPrEx>
          <w:tblCellMar>
            <w:top w:w="0" w:type="dxa"/>
            <w:left w:w="0" w:type="dxa"/>
            <w:bottom w:w="0" w:type="dxa"/>
            <w:right w:w="0" w:type="dxa"/>
          </w:tblCellMar>
        </w:tblPrEx>
        <w:trPr>
          <w:trHeight w:val="312"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761" w:type="dxa"/>
            <w:gridSpan w:val="1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761" w:type="dxa"/>
            <w:gridSpan w:val="16"/>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17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一级指标</w:t>
            </w:r>
          </w:p>
        </w:tc>
        <w:tc>
          <w:tcPr>
            <w:tcW w:w="1505"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二级指标</w:t>
            </w:r>
          </w:p>
        </w:tc>
        <w:tc>
          <w:tcPr>
            <w:tcW w:w="3652" w:type="dxa"/>
            <w:gridSpan w:val="6"/>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三级指标</w:t>
            </w:r>
          </w:p>
        </w:tc>
        <w:tc>
          <w:tcPr>
            <w:tcW w:w="231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绩效指标描述</w:t>
            </w:r>
          </w:p>
        </w:tc>
        <w:tc>
          <w:tcPr>
            <w:tcW w:w="181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w:t>
            </w:r>
          </w:p>
        </w:tc>
        <w:tc>
          <w:tcPr>
            <w:tcW w:w="2076"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指标值确定依据</w:t>
            </w:r>
          </w:p>
        </w:tc>
      </w:tr>
      <w:tr>
        <w:tblPrEx>
          <w:tblCellMar>
            <w:top w:w="0" w:type="dxa"/>
            <w:left w:w="0" w:type="dxa"/>
            <w:bottom w:w="0" w:type="dxa"/>
            <w:right w:w="0" w:type="dxa"/>
          </w:tblCellMar>
        </w:tblPrEx>
        <w:trPr>
          <w:trHeight w:val="492" w:hRule="atLeast"/>
        </w:trPr>
        <w:tc>
          <w:tcPr>
            <w:tcW w:w="1755" w:type="dxa"/>
            <w:gridSpan w:val="2"/>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粮食企业挂账贷款金额</w:t>
            </w:r>
          </w:p>
        </w:tc>
        <w:tc>
          <w:tcPr>
            <w:tcW w:w="2316"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粮食企业挂账贷款金额</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8784.47万元</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29"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还款及时率</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还款及时率</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96"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56"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528" w:hRule="atLeast"/>
        </w:trPr>
        <w:tc>
          <w:tcPr>
            <w:tcW w:w="60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可持续影响指标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依政策归还贷款时限</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依政策归还贷款时限</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长期</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依政策归还贷款时限</w:t>
            </w:r>
          </w:p>
        </w:tc>
      </w:tr>
      <w:tr>
        <w:tblPrEx>
          <w:tblCellMar>
            <w:top w:w="0" w:type="dxa"/>
            <w:left w:w="0" w:type="dxa"/>
            <w:bottom w:w="0" w:type="dxa"/>
            <w:right w:w="0" w:type="dxa"/>
          </w:tblCellMar>
        </w:tblPrEx>
        <w:trPr>
          <w:trHeight w:val="609" w:hRule="atLeast"/>
        </w:trPr>
        <w:tc>
          <w:tcPr>
            <w:tcW w:w="17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505"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3652" w:type="dxa"/>
            <w:gridSpan w:val="6"/>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3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81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207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r>
        <w:tblPrEx>
          <w:tblCellMar>
            <w:top w:w="0" w:type="dxa"/>
            <w:left w:w="0" w:type="dxa"/>
            <w:bottom w:w="0" w:type="dxa"/>
            <w:right w:w="0" w:type="dxa"/>
          </w:tblCellMar>
        </w:tblPrEx>
        <w:trPr>
          <w:trHeight w:val="1239" w:hRule="atLeast"/>
        </w:trPr>
        <w:tc>
          <w:tcPr>
            <w:tcW w:w="13116" w:type="dxa"/>
            <w:gridSpan w:val="18"/>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b/>
                <w:color w:val="000000"/>
                <w:kern w:val="0"/>
                <w:sz w:val="36"/>
                <w:szCs w:val="36"/>
              </w:rPr>
              <w:t>企业改制费项目绩效目标表</w:t>
            </w:r>
          </w:p>
        </w:tc>
      </w:tr>
      <w:tr>
        <w:tblPrEx>
          <w:tblCellMar>
            <w:top w:w="0" w:type="dxa"/>
            <w:left w:w="0" w:type="dxa"/>
            <w:bottom w:w="0" w:type="dxa"/>
            <w:right w:w="0" w:type="dxa"/>
          </w:tblCellMar>
        </w:tblPrEx>
        <w:trPr>
          <w:trHeight w:val="365" w:hRule="atLeast"/>
        </w:trPr>
        <w:tc>
          <w:tcPr>
            <w:tcW w:w="164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项目编码</w:t>
            </w:r>
          </w:p>
        </w:tc>
        <w:tc>
          <w:tcPr>
            <w:tcW w:w="3649" w:type="dxa"/>
            <w:gridSpan w:val="6"/>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13022521TV2BYYNI5WLB2</w:t>
            </w:r>
          </w:p>
        </w:tc>
        <w:tc>
          <w:tcPr>
            <w:tcW w:w="1212"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项目名称</w:t>
            </w:r>
          </w:p>
        </w:tc>
        <w:tc>
          <w:tcPr>
            <w:tcW w:w="6612" w:type="dxa"/>
            <w:gridSpan w:val="9"/>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企业改制费</w:t>
            </w:r>
          </w:p>
        </w:tc>
      </w:tr>
      <w:tr>
        <w:tblPrEx>
          <w:tblCellMar>
            <w:top w:w="0" w:type="dxa"/>
            <w:left w:w="0" w:type="dxa"/>
            <w:bottom w:w="0" w:type="dxa"/>
            <w:right w:w="0" w:type="dxa"/>
          </w:tblCellMar>
        </w:tblPrEx>
        <w:trPr>
          <w:trHeight w:val="341" w:hRule="atLeast"/>
        </w:trPr>
        <w:tc>
          <w:tcPr>
            <w:tcW w:w="1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预算规模及资金用途</w:t>
            </w:r>
          </w:p>
        </w:tc>
        <w:tc>
          <w:tcPr>
            <w:tcW w:w="1379" w:type="dxa"/>
            <w:gridSpan w:val="3"/>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　</w:t>
            </w:r>
          </w:p>
        </w:tc>
        <w:tc>
          <w:tcPr>
            <w:tcW w:w="2270"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109.76万元</w:t>
            </w:r>
          </w:p>
        </w:tc>
        <w:tc>
          <w:tcPr>
            <w:tcW w:w="1212"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83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109.76万元</w:t>
            </w:r>
          </w:p>
        </w:tc>
        <w:tc>
          <w:tcPr>
            <w:tcW w:w="2219"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156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9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473" w:type="dxa"/>
            <w:gridSpan w:val="17"/>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主要用于负责及时缴纳社会保险费，按时发放内退人员、离退休及遗属人员费用</w:t>
            </w:r>
          </w:p>
        </w:tc>
      </w:tr>
      <w:tr>
        <w:tblPrEx>
          <w:tblCellMar>
            <w:top w:w="0" w:type="dxa"/>
            <w:left w:w="0" w:type="dxa"/>
            <w:bottom w:w="0" w:type="dxa"/>
            <w:right w:w="0" w:type="dxa"/>
          </w:tblCellMar>
        </w:tblPrEx>
        <w:trPr>
          <w:trHeight w:val="263" w:hRule="atLeast"/>
        </w:trPr>
        <w:tc>
          <w:tcPr>
            <w:tcW w:w="1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资金支出计划</w:t>
            </w:r>
            <w:r>
              <w:rPr>
                <w:rFonts w:hint="eastAsia" w:ascii="宋体" w:hAnsi="宋体"/>
                <w:b/>
                <w:color w:val="000000"/>
                <w:kern w:val="0"/>
                <w:sz w:val="20"/>
                <w:szCs w:val="20"/>
                <w:u w:val="single"/>
              </w:rPr>
              <w:t>（累计进度%）</w:t>
            </w:r>
          </w:p>
        </w:tc>
        <w:tc>
          <w:tcPr>
            <w:tcW w:w="4861" w:type="dxa"/>
            <w:gridSpan w:val="8"/>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第一季度</w:t>
            </w:r>
          </w:p>
        </w:tc>
        <w:tc>
          <w:tcPr>
            <w:tcW w:w="2832"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第二季度</w:t>
            </w:r>
          </w:p>
        </w:tc>
        <w:tc>
          <w:tcPr>
            <w:tcW w:w="2219"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第三季度</w:t>
            </w:r>
          </w:p>
        </w:tc>
        <w:tc>
          <w:tcPr>
            <w:tcW w:w="1561"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第四季度</w:t>
            </w:r>
          </w:p>
        </w:tc>
      </w:tr>
      <w:tr>
        <w:tblPrEx>
          <w:tblCellMar>
            <w:top w:w="0" w:type="dxa"/>
            <w:left w:w="0" w:type="dxa"/>
            <w:bottom w:w="0" w:type="dxa"/>
            <w:right w:w="0" w:type="dxa"/>
          </w:tblCellMar>
        </w:tblPrEx>
        <w:trPr>
          <w:trHeight w:val="31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4861" w:type="dxa"/>
            <w:gridSpan w:val="8"/>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283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2219"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156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1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绩效目标</w:t>
            </w:r>
          </w:p>
        </w:tc>
        <w:tc>
          <w:tcPr>
            <w:tcW w:w="11473" w:type="dxa"/>
            <w:gridSpan w:val="17"/>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olor w:val="000000"/>
                <w:kern w:val="0"/>
                <w:sz w:val="20"/>
                <w:szCs w:val="20"/>
              </w:rPr>
              <w:t>目标1：按时发放内退人员、离退休及遗属人员工资及补助　　　　　　</w:t>
            </w:r>
          </w:p>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目标2：负责及时缴纳社会保险费</w:t>
            </w:r>
          </w:p>
        </w:tc>
      </w:tr>
      <w:tr>
        <w:tblPrEx>
          <w:tblCellMar>
            <w:top w:w="0" w:type="dxa"/>
            <w:left w:w="0" w:type="dxa"/>
            <w:bottom w:w="0" w:type="dxa"/>
            <w:right w:w="0" w:type="dxa"/>
          </w:tblCellMar>
        </w:tblPrEx>
        <w:trPr>
          <w:trHeight w:val="312"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2061" w:type="dxa"/>
            <w:gridSpan w:val="17"/>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2061" w:type="dxa"/>
            <w:gridSpan w:val="17"/>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一级指标</w:t>
            </w:r>
          </w:p>
        </w:tc>
        <w:tc>
          <w:tcPr>
            <w:tcW w:w="1379"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二级指标</w:t>
            </w:r>
          </w:p>
        </w:tc>
        <w:tc>
          <w:tcPr>
            <w:tcW w:w="3482" w:type="dxa"/>
            <w:gridSpan w:val="5"/>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三级指标</w:t>
            </w:r>
          </w:p>
        </w:tc>
        <w:tc>
          <w:tcPr>
            <w:tcW w:w="283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绩效指标描述</w:t>
            </w:r>
          </w:p>
        </w:tc>
        <w:tc>
          <w:tcPr>
            <w:tcW w:w="1680"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w:t>
            </w:r>
          </w:p>
        </w:tc>
        <w:tc>
          <w:tcPr>
            <w:tcW w:w="2100"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指标值确定依据</w:t>
            </w:r>
          </w:p>
        </w:tc>
      </w:tr>
      <w:tr>
        <w:tblPrEx>
          <w:tblCellMar>
            <w:top w:w="0" w:type="dxa"/>
            <w:left w:w="0" w:type="dxa"/>
            <w:bottom w:w="0" w:type="dxa"/>
            <w:right w:w="0" w:type="dxa"/>
          </w:tblCellMar>
        </w:tblPrEx>
        <w:trPr>
          <w:trHeight w:val="401" w:hRule="atLeast"/>
        </w:trPr>
        <w:tc>
          <w:tcPr>
            <w:tcW w:w="16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37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3482"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补贴人数</w:t>
            </w:r>
          </w:p>
        </w:tc>
        <w:tc>
          <w:tcPr>
            <w:tcW w:w="2832" w:type="dxa"/>
            <w:gridSpan w:val="4"/>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补贴人数</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454人</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2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37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3482"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缴纳社会保险及补贴完成率</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缴纳社会保险及补贴完成率</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50"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37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3482"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53" w:hRule="atLeast"/>
        </w:trPr>
        <w:tc>
          <w:tcPr>
            <w:tcW w:w="3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379" w:type="dxa"/>
            <w:gridSpan w:val="3"/>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3482" w:type="dxa"/>
            <w:gridSpan w:val="5"/>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92" w:hRule="atLeast"/>
        </w:trPr>
        <w:tc>
          <w:tcPr>
            <w:tcW w:w="1643"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效果指标</w:t>
            </w:r>
          </w:p>
        </w:tc>
        <w:tc>
          <w:tcPr>
            <w:tcW w:w="137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经济效益指标</w:t>
            </w:r>
          </w:p>
        </w:tc>
        <w:tc>
          <w:tcPr>
            <w:tcW w:w="3482"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稳定改制职工生活</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稳定改制职工生活</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效果明显</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89"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sz w:val="20"/>
                <w:szCs w:val="20"/>
              </w:rPr>
            </w:pPr>
          </w:p>
        </w:tc>
        <w:tc>
          <w:tcPr>
            <w:tcW w:w="1379" w:type="dxa"/>
            <w:gridSpan w:val="3"/>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社会效益指标</w:t>
            </w:r>
          </w:p>
        </w:tc>
        <w:tc>
          <w:tcPr>
            <w:tcW w:w="3482" w:type="dxa"/>
            <w:gridSpan w:val="5"/>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保障社会稳定</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保障社会稳定</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逐年提升</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21" w:hRule="atLeast"/>
        </w:trPr>
        <w:tc>
          <w:tcPr>
            <w:tcW w:w="16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37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3482"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68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210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r>
        <w:tblPrEx>
          <w:tblCellMar>
            <w:top w:w="0" w:type="dxa"/>
            <w:left w:w="0" w:type="dxa"/>
            <w:bottom w:w="0" w:type="dxa"/>
            <w:right w:w="0" w:type="dxa"/>
          </w:tblCellMar>
        </w:tblPrEx>
        <w:trPr>
          <w:trHeight w:val="870" w:hRule="atLeast"/>
        </w:trPr>
        <w:tc>
          <w:tcPr>
            <w:tcW w:w="13116" w:type="dxa"/>
            <w:gridSpan w:val="18"/>
            <w:tcBorders>
              <w:top w:val="nil"/>
              <w:left w:val="nil"/>
              <w:bottom w:val="single" w:color="000000" w:sz="4" w:space="0"/>
              <w:right w:val="nil"/>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b/>
                <w:color w:val="000000"/>
                <w:kern w:val="0"/>
                <w:sz w:val="32"/>
                <w:szCs w:val="32"/>
              </w:rPr>
              <w:t>化工建设项目质量监督管理专家咨询费项目绩效目标表</w:t>
            </w:r>
          </w:p>
        </w:tc>
      </w:tr>
      <w:tr>
        <w:tblPrEx>
          <w:tblCellMar>
            <w:top w:w="0" w:type="dxa"/>
            <w:left w:w="0" w:type="dxa"/>
            <w:bottom w:w="0" w:type="dxa"/>
            <w:right w:w="0" w:type="dxa"/>
          </w:tblCellMar>
        </w:tblPrEx>
        <w:trPr>
          <w:trHeight w:val="394" w:hRule="atLeast"/>
        </w:trPr>
        <w:tc>
          <w:tcPr>
            <w:tcW w:w="2003"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项目编码</w:t>
            </w:r>
          </w:p>
        </w:tc>
        <w:tc>
          <w:tcPr>
            <w:tcW w:w="3289"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宋体" w:hAnsi="宋体"/>
                <w:color w:val="000000"/>
                <w:sz w:val="20"/>
                <w:szCs w:val="20"/>
              </w:rPr>
              <w:t>13022521U3AQYN1QWK6I9</w:t>
            </w:r>
          </w:p>
        </w:tc>
        <w:tc>
          <w:tcPr>
            <w:tcW w:w="1509"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项目名称</w:t>
            </w:r>
          </w:p>
        </w:tc>
        <w:tc>
          <w:tcPr>
            <w:tcW w:w="6315" w:type="dxa"/>
            <w:gridSpan w:val="8"/>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化工建设项目质量监督管理专家咨询费</w:t>
            </w:r>
          </w:p>
        </w:tc>
      </w:tr>
      <w:tr>
        <w:tblPrEx>
          <w:tblCellMar>
            <w:top w:w="0" w:type="dxa"/>
            <w:left w:w="0" w:type="dxa"/>
            <w:bottom w:w="0" w:type="dxa"/>
            <w:right w:w="0" w:type="dxa"/>
          </w:tblCellMar>
        </w:tblPrEx>
        <w:trPr>
          <w:trHeight w:val="375" w:hRule="atLeast"/>
        </w:trPr>
        <w:tc>
          <w:tcPr>
            <w:tcW w:w="2003" w:type="dxa"/>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预算规模及资金用途</w:t>
            </w:r>
          </w:p>
        </w:tc>
        <w:tc>
          <w:tcPr>
            <w:tcW w:w="1411" w:type="dxa"/>
            <w:gridSpan w:val="3"/>
            <w:tcBorders>
              <w:top w:val="single" w:color="000000" w:sz="4" w:space="0"/>
              <w:left w:val="nil"/>
              <w:bottom w:val="single" w:color="000000" w:sz="4" w:space="0"/>
              <w:right w:val="nil"/>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预算数　</w:t>
            </w:r>
          </w:p>
        </w:tc>
        <w:tc>
          <w:tcPr>
            <w:tcW w:w="187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20万元</w:t>
            </w:r>
          </w:p>
        </w:tc>
        <w:tc>
          <w:tcPr>
            <w:tcW w:w="1509"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其中：财政资金</w:t>
            </w:r>
          </w:p>
        </w:tc>
        <w:tc>
          <w:tcPr>
            <w:tcW w:w="2535"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20万元</w:t>
            </w:r>
          </w:p>
        </w:tc>
        <w:tc>
          <w:tcPr>
            <w:tcW w:w="165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其他资金</w:t>
            </w:r>
          </w:p>
        </w:tc>
        <w:tc>
          <w:tcPr>
            <w:tcW w:w="2124"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71"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113" w:type="dxa"/>
            <w:gridSpan w:val="1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主要用于负责本县总投资2亿元以下化工建设项目的质量监督管理</w:t>
            </w:r>
          </w:p>
        </w:tc>
      </w:tr>
      <w:tr>
        <w:tblPrEx>
          <w:tblCellMar>
            <w:top w:w="0" w:type="dxa"/>
            <w:left w:w="0" w:type="dxa"/>
            <w:bottom w:w="0" w:type="dxa"/>
            <w:right w:w="0" w:type="dxa"/>
          </w:tblCellMar>
        </w:tblPrEx>
        <w:trPr>
          <w:trHeight w:val="299" w:hRule="atLeast"/>
        </w:trPr>
        <w:tc>
          <w:tcPr>
            <w:tcW w:w="2003" w:type="dxa"/>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资金支出计划</w:t>
            </w:r>
            <w:r>
              <w:rPr>
                <w:rFonts w:hint="eastAsia" w:ascii="宋体" w:hAnsi="宋体"/>
                <w:b/>
                <w:color w:val="000000"/>
                <w:kern w:val="0"/>
                <w:sz w:val="20"/>
                <w:szCs w:val="20"/>
                <w:u w:val="single"/>
              </w:rPr>
              <w:t>（累计进度%）</w:t>
            </w:r>
          </w:p>
        </w:tc>
        <w:tc>
          <w:tcPr>
            <w:tcW w:w="4798" w:type="dxa"/>
            <w:gridSpan w:val="7"/>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第一季度</w:t>
            </w:r>
          </w:p>
        </w:tc>
        <w:tc>
          <w:tcPr>
            <w:tcW w:w="2535" w:type="dxa"/>
            <w:gridSpan w:val="3"/>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第二季度</w:t>
            </w:r>
          </w:p>
        </w:tc>
        <w:tc>
          <w:tcPr>
            <w:tcW w:w="1656" w:type="dxa"/>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第三季度</w:t>
            </w:r>
          </w:p>
        </w:tc>
        <w:tc>
          <w:tcPr>
            <w:tcW w:w="2124" w:type="dxa"/>
            <w:gridSpan w:val="4"/>
            <w:tcBorders>
              <w:top w:val="single" w:color="000000" w:sz="4" w:space="0"/>
              <w:left w:val="nil"/>
              <w:bottom w:val="single" w:color="000000" w:sz="4" w:space="0"/>
              <w:right w:val="single" w:color="000000" w:sz="4" w:space="0"/>
            </w:tcBorders>
            <w:shd w:val="clear" w:color="auto" w:fill="FFFFFF"/>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第四季度</w:t>
            </w:r>
          </w:p>
        </w:tc>
      </w:tr>
      <w:tr>
        <w:tblPrEx>
          <w:tblCellMar>
            <w:top w:w="0" w:type="dxa"/>
            <w:left w:w="0" w:type="dxa"/>
            <w:bottom w:w="0" w:type="dxa"/>
            <w:right w:w="0" w:type="dxa"/>
          </w:tblCellMar>
        </w:tblPrEx>
        <w:trPr>
          <w:trHeight w:val="252"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4798" w:type="dxa"/>
            <w:gridSpan w:val="7"/>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25%</w:t>
            </w:r>
          </w:p>
        </w:tc>
        <w:tc>
          <w:tcPr>
            <w:tcW w:w="2535"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50%</w:t>
            </w:r>
          </w:p>
        </w:tc>
        <w:tc>
          <w:tcPr>
            <w:tcW w:w="165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75%</w:t>
            </w:r>
          </w:p>
        </w:tc>
        <w:tc>
          <w:tcPr>
            <w:tcW w:w="2124"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r>
      <w:tr>
        <w:tblPrEx>
          <w:tblCellMar>
            <w:top w:w="0" w:type="dxa"/>
            <w:left w:w="0" w:type="dxa"/>
            <w:bottom w:w="0" w:type="dxa"/>
            <w:right w:w="0" w:type="dxa"/>
          </w:tblCellMar>
        </w:tblPrEx>
        <w:trPr>
          <w:trHeight w:val="312" w:hRule="atLeast"/>
        </w:trPr>
        <w:tc>
          <w:tcPr>
            <w:tcW w:w="2003" w:type="dxa"/>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绩效目标</w:t>
            </w:r>
          </w:p>
        </w:tc>
        <w:tc>
          <w:tcPr>
            <w:tcW w:w="11113" w:type="dxa"/>
            <w:gridSpan w:val="15"/>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olor w:val="000000"/>
                <w:kern w:val="0"/>
                <w:sz w:val="20"/>
                <w:szCs w:val="20"/>
              </w:rPr>
              <w:t>目标1：负责本县的化工建设项目的质量监督管理，推进监督检查工作规范化、专业化　　　　　　　　　　　　　　　　　　　　　　　　　　　　　　　　　目标2：及时发现和查处参建单位违反国家有关工程质量监管工作，及时发现和查处违反国家有关工程管理的法律、法规的行为，削除质量隐患，保证工程质量</w:t>
            </w:r>
          </w:p>
        </w:tc>
      </w:tr>
      <w:tr>
        <w:tblPrEx>
          <w:tblCellMar>
            <w:top w:w="0" w:type="dxa"/>
            <w:left w:w="0" w:type="dxa"/>
            <w:bottom w:w="0" w:type="dxa"/>
            <w:right w:w="0" w:type="dxa"/>
          </w:tblCellMar>
        </w:tblPrEx>
        <w:trPr>
          <w:trHeight w:val="312"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461" w:type="dxa"/>
            <w:gridSpan w:val="15"/>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color w:val="000000"/>
                <w:sz w:val="20"/>
                <w:szCs w:val="20"/>
              </w:rPr>
            </w:pPr>
          </w:p>
        </w:tc>
        <w:tc>
          <w:tcPr>
            <w:tcW w:w="11461" w:type="dxa"/>
            <w:gridSpan w:val="15"/>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sz w:val="20"/>
                <w:szCs w:val="20"/>
              </w:rPr>
            </w:pPr>
          </w:p>
        </w:tc>
      </w:tr>
      <w:tr>
        <w:tblPrEx>
          <w:tblCellMar>
            <w:top w:w="0" w:type="dxa"/>
            <w:left w:w="0" w:type="dxa"/>
            <w:bottom w:w="0" w:type="dxa"/>
            <w:right w:w="0" w:type="dxa"/>
          </w:tblCellMar>
        </w:tblPrEx>
        <w:trPr>
          <w:trHeight w:val="387" w:hRule="atLeast"/>
        </w:trPr>
        <w:tc>
          <w:tcPr>
            <w:tcW w:w="20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一级指标</w:t>
            </w:r>
          </w:p>
        </w:tc>
        <w:tc>
          <w:tcPr>
            <w:tcW w:w="1411"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二级指标</w:t>
            </w:r>
          </w:p>
        </w:tc>
        <w:tc>
          <w:tcPr>
            <w:tcW w:w="3090" w:type="dxa"/>
            <w:gridSpan w:val="3"/>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三级指标</w:t>
            </w:r>
          </w:p>
        </w:tc>
        <w:tc>
          <w:tcPr>
            <w:tcW w:w="2832"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绩效指标描述</w:t>
            </w:r>
          </w:p>
        </w:tc>
        <w:tc>
          <w:tcPr>
            <w:tcW w:w="165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w:t>
            </w:r>
          </w:p>
        </w:tc>
        <w:tc>
          <w:tcPr>
            <w:tcW w:w="2124" w:type="dxa"/>
            <w:gridSpan w:val="4"/>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b/>
                <w:color w:val="000000"/>
                <w:kern w:val="0"/>
                <w:sz w:val="20"/>
                <w:szCs w:val="20"/>
              </w:rPr>
              <w:t>指标值确定依据</w:t>
            </w:r>
          </w:p>
        </w:tc>
      </w:tr>
      <w:tr>
        <w:tblPrEx>
          <w:tblCellMar>
            <w:top w:w="0" w:type="dxa"/>
            <w:left w:w="0" w:type="dxa"/>
            <w:bottom w:w="0" w:type="dxa"/>
            <w:right w:w="0" w:type="dxa"/>
          </w:tblCellMar>
        </w:tblPrEx>
        <w:trPr>
          <w:trHeight w:val="456" w:hRule="atLeast"/>
        </w:trPr>
        <w:tc>
          <w:tcPr>
            <w:tcW w:w="2003" w:type="dxa"/>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产出指标</w:t>
            </w: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数量指标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化工项目安装工程质量检查次数</w:t>
            </w:r>
          </w:p>
        </w:tc>
        <w:tc>
          <w:tcPr>
            <w:tcW w:w="2832" w:type="dxa"/>
            <w:gridSpan w:val="4"/>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化工项目安装工程质量检查次数</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大于2次</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480"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质量指标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化工项目安装工程质量合格率</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化工项目安装工程质量合格率</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100%</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73"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时效指标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项目完成时限</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2021年12月底前</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350"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成本指标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预算资金完成率</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95%以上</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99" w:hRule="atLeast"/>
        </w:trPr>
        <w:tc>
          <w:tcPr>
            <w:tcW w:w="9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0"/>
                <w:szCs w:val="20"/>
              </w:rPr>
            </w:pP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社会效益指标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削除隐患，保证工程质量、公共安全和公民的生命、财产安全</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削除隐患，保证工程质量、公共安全和公民的生命、财产安全</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逐年提升</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根据年初工作计划安排</w:t>
            </w:r>
          </w:p>
        </w:tc>
      </w:tr>
      <w:tr>
        <w:tblPrEx>
          <w:tblCellMar>
            <w:top w:w="0" w:type="dxa"/>
            <w:left w:w="0" w:type="dxa"/>
            <w:bottom w:w="0" w:type="dxa"/>
            <w:right w:w="0" w:type="dxa"/>
          </w:tblCellMar>
        </w:tblPrEx>
        <w:trPr>
          <w:trHeight w:val="648" w:hRule="atLeast"/>
        </w:trPr>
        <w:tc>
          <w:tcPr>
            <w:tcW w:w="20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满意度指标</w:t>
            </w:r>
          </w:p>
        </w:tc>
        <w:tc>
          <w:tcPr>
            <w:tcW w:w="141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服务对象满意度指标</w:t>
            </w:r>
          </w:p>
        </w:tc>
        <w:tc>
          <w:tcPr>
            <w:tcW w:w="3090"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2832"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c>
          <w:tcPr>
            <w:tcW w:w="165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90%以上</w:t>
            </w:r>
          </w:p>
        </w:tc>
        <w:tc>
          <w:tcPr>
            <w:tcW w:w="2124"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olor w:val="000000"/>
                <w:kern w:val="0"/>
                <w:sz w:val="20"/>
                <w:szCs w:val="20"/>
              </w:rPr>
              <w:t>群众满意度</w:t>
            </w:r>
          </w:p>
        </w:tc>
      </w:tr>
    </w:tbl>
    <w:p>
      <w:pPr>
        <w:rPr>
          <w:rFonts w:hint="eastAsia" w:ascii="Calibri" w:hAnsi="Calibri"/>
        </w:rPr>
      </w:pPr>
      <w:r>
        <w:rPr>
          <w:rFonts w:hint="eastAsia"/>
        </w:rPr>
        <w:t xml:space="preserve"> </w:t>
      </w:r>
    </w:p>
    <w:p>
      <w:pPr>
        <w:rPr>
          <w:rFonts w:hint="eastAsia"/>
        </w:rPr>
      </w:pPr>
      <w:r>
        <w:rPr>
          <w:rFonts w:hint="eastAsia"/>
        </w:rPr>
        <w:t xml:space="preserve"> </w:t>
      </w:r>
    </w:p>
    <w:p>
      <w:pPr>
        <w:rPr>
          <w:rFonts w:ascii="宋体" w:hAnsi="宋体" w:cs="宋体"/>
          <w:b/>
          <w:color w:val="333333"/>
          <w:kern w:val="0"/>
          <w:sz w:val="32"/>
          <w:szCs w:val="32"/>
        </w:rPr>
      </w:pPr>
      <w:r>
        <w:rPr>
          <w:rFonts w:hint="eastAsia"/>
        </w:rPr>
        <w:t xml:space="preserve"> </w:t>
      </w:r>
      <w:r>
        <w:rPr>
          <w:rFonts w:ascii="方正楷体简体" w:hAnsi="方正楷体简体" w:cs="方正黑体简体"/>
          <w:b/>
          <w:color w:val="333333"/>
          <w:kern w:val="0"/>
          <w:sz w:val="32"/>
          <w:szCs w:val="32"/>
        </w:rPr>
        <w:t>六、</w:t>
      </w:r>
      <w:r>
        <w:rPr>
          <w:rFonts w:hint="eastAsia" w:ascii="宋体" w:hAnsi="宋体"/>
          <w:b/>
          <w:color w:val="333333"/>
          <w:kern w:val="0"/>
          <w:sz w:val="32"/>
          <w:szCs w:val="32"/>
        </w:rPr>
        <w:t>政府采购预算情况。</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2021年政府采购预算总金额68.86万元。具体为：项目宣传费用50万元；电脑20台，价值10.93万元；打印机、扫描仪、复印机等7.93万元。</w:t>
      </w:r>
    </w:p>
    <w:p>
      <w:pPr>
        <w:pStyle w:val="8"/>
        <w:rPr>
          <w:rFonts w:hint="eastAsia"/>
        </w:rPr>
      </w:pPr>
      <w:r>
        <w:rPr>
          <w:rFonts w:hint="eastAsia" w:ascii="宋体" w:hAnsi="宋体"/>
        </w:rPr>
        <w:t>单位政府采购预算支出一览表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951"/>
        <w:gridCol w:w="1476"/>
        <w:gridCol w:w="679"/>
        <w:gridCol w:w="617"/>
        <w:gridCol w:w="1357"/>
        <w:gridCol w:w="804"/>
        <w:gridCol w:w="436"/>
        <w:gridCol w:w="846"/>
        <w:gridCol w:w="728"/>
        <w:gridCol w:w="747"/>
        <w:gridCol w:w="830"/>
        <w:gridCol w:w="932"/>
        <w:gridCol w:w="932"/>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513" w:type="pct"/>
            <w:gridSpan w:val="10"/>
            <w:tcBorders>
              <w:top w:val="nil"/>
              <w:left w:val="nil"/>
              <w:bottom w:val="single" w:color="auto" w:sz="4" w:space="0"/>
              <w:right w:val="nil"/>
            </w:tcBorders>
            <w:vAlign w:val="center"/>
          </w:tcPr>
          <w:p>
            <w:pPr>
              <w:widowControl/>
              <w:jc w:val="left"/>
              <w:rPr>
                <w:rFonts w:ascii="黑体" w:hAnsi="黑体" w:eastAsia="黑体" w:cs="宋体"/>
                <w:b/>
                <w:bCs/>
                <w:color w:val="000000"/>
                <w:kern w:val="0"/>
              </w:rPr>
            </w:pPr>
            <w:r>
              <w:rPr>
                <w:rFonts w:hint="eastAsia" w:ascii="宋体" w:hAnsi="宋体"/>
                <w:sz w:val="28"/>
                <w:szCs w:val="28"/>
              </w:rPr>
              <w:t>乐亭县发展和改革局</w:t>
            </w:r>
          </w:p>
        </w:tc>
        <w:tc>
          <w:tcPr>
            <w:tcW w:w="1487" w:type="pct"/>
            <w:gridSpan w:val="5"/>
            <w:tcBorders>
              <w:top w:val="nil"/>
              <w:left w:val="nil"/>
              <w:bottom w:val="single" w:color="auto" w:sz="4" w:space="0"/>
              <w:right w:val="nil"/>
            </w:tcBorders>
            <w:vAlign w:val="center"/>
          </w:tcPr>
          <w:p>
            <w:pPr>
              <w:widowControl/>
              <w:jc w:val="right"/>
              <w:rPr>
                <w:rFonts w:ascii="黑体" w:hAnsi="黑体" w:eastAsia="黑体" w:cs="宋体"/>
                <w:b/>
                <w:bCs/>
                <w:color w:val="000000"/>
                <w:kern w:val="0"/>
              </w:rPr>
            </w:pPr>
            <w:r>
              <w:rPr>
                <w:rFonts w:hint="eastAsia" w:ascii="宋体" w:hAnsi="宋体"/>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30"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单位名称</w:t>
            </w:r>
          </w:p>
        </w:tc>
        <w:tc>
          <w:tcPr>
            <w:tcW w:w="109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所属项目</w:t>
            </w:r>
          </w:p>
        </w:tc>
        <w:tc>
          <w:tcPr>
            <w:tcW w:w="21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政府采购目录序号</w:t>
            </w:r>
          </w:p>
        </w:tc>
        <w:tc>
          <w:tcPr>
            <w:tcW w:w="4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采购物品名称</w:t>
            </w:r>
          </w:p>
        </w:tc>
        <w:tc>
          <w:tcPr>
            <w:tcW w:w="28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产品规格</w:t>
            </w:r>
          </w:p>
        </w:tc>
        <w:tc>
          <w:tcPr>
            <w:tcW w:w="15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单位</w:t>
            </w:r>
          </w:p>
        </w:tc>
        <w:tc>
          <w:tcPr>
            <w:tcW w:w="29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rPr>
            </w:pPr>
            <w:r>
              <w:rPr>
                <w:rFonts w:hint="eastAsia" w:ascii="黑体" w:hAnsi="黑体" w:eastAsia="黑体"/>
                <w:b/>
                <w:bCs/>
                <w:color w:val="000000"/>
                <w:kern w:val="0"/>
              </w:rPr>
              <w:t>单价(元)</w:t>
            </w:r>
          </w:p>
        </w:tc>
        <w:tc>
          <w:tcPr>
            <w:tcW w:w="25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数量</w:t>
            </w:r>
          </w:p>
        </w:tc>
        <w:tc>
          <w:tcPr>
            <w:tcW w:w="1487" w:type="pct"/>
            <w:gridSpan w:val="5"/>
            <w:tcBorders>
              <w:top w:val="single" w:color="auto" w:sz="4" w:space="0"/>
              <w:left w:val="single" w:color="auto" w:sz="4" w:space="0"/>
              <w:bottom w:val="nil"/>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33"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功能分类科目编码</w:t>
            </w:r>
          </w:p>
        </w:tc>
        <w:tc>
          <w:tcPr>
            <w:tcW w:w="521"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项目名称</w:t>
            </w:r>
          </w:p>
        </w:tc>
        <w:tc>
          <w:tcPr>
            <w:tcW w:w="240"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项目类型</w:t>
            </w:r>
          </w:p>
        </w:tc>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6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总计</w:t>
            </w:r>
          </w:p>
        </w:tc>
        <w:tc>
          <w:tcPr>
            <w:tcW w:w="1223"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3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521"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4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3" w:type="pct"/>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一般公共预算拨款安排</w:t>
            </w:r>
          </w:p>
        </w:tc>
        <w:tc>
          <w:tcPr>
            <w:tcW w:w="3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政府性基金预算拨款安排</w:t>
            </w:r>
          </w:p>
        </w:tc>
        <w:tc>
          <w:tcPr>
            <w:tcW w:w="3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color w:val="000000"/>
                <w:kern w:val="0"/>
              </w:rPr>
              <w:t>国有资本经营预算拨款安排</w:t>
            </w:r>
          </w:p>
        </w:tc>
        <w:tc>
          <w:tcPr>
            <w:tcW w:w="27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rPr>
            </w:pPr>
            <w:r>
              <w:rPr>
                <w:rFonts w:hint="eastAsia" w:ascii="黑体" w:hAnsi="黑体" w:eastAsia="黑体"/>
                <w:b/>
                <w:bCs/>
                <w:color w:val="000000"/>
                <w:kern w:val="0"/>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3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521"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4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3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521"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40"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1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47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93" w:type="pct"/>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c>
          <w:tcPr>
            <w:tcW w:w="2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 xml:space="preserve">    合计</w:t>
            </w:r>
          </w:p>
        </w:tc>
        <w:tc>
          <w:tcPr>
            <w:tcW w:w="33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1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8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9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68.86</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68.86</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7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乐亭县发展和改革局</w:t>
            </w:r>
          </w:p>
        </w:tc>
        <w:tc>
          <w:tcPr>
            <w:tcW w:w="33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2010499</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争取产业项目前期费用</w:t>
            </w:r>
          </w:p>
        </w:tc>
        <w:tc>
          <w:tcPr>
            <w:tcW w:w="2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专项公用</w:t>
            </w:r>
          </w:p>
        </w:tc>
        <w:tc>
          <w:tcPr>
            <w:tcW w:w="21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展板</w:t>
            </w:r>
          </w:p>
        </w:tc>
        <w:tc>
          <w:tcPr>
            <w:tcW w:w="28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个</w:t>
            </w:r>
          </w:p>
        </w:tc>
        <w:tc>
          <w:tcPr>
            <w:tcW w:w="29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300</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866</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26</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26</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7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乐亭县发展和改革局</w:t>
            </w:r>
          </w:p>
        </w:tc>
        <w:tc>
          <w:tcPr>
            <w:tcW w:w="33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2010499</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争取产业项目前期费用</w:t>
            </w:r>
          </w:p>
        </w:tc>
        <w:tc>
          <w:tcPr>
            <w:tcW w:w="2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专项公用</w:t>
            </w:r>
          </w:p>
        </w:tc>
        <w:tc>
          <w:tcPr>
            <w:tcW w:w="21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宣传册</w:t>
            </w:r>
          </w:p>
        </w:tc>
        <w:tc>
          <w:tcPr>
            <w:tcW w:w="28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本</w:t>
            </w:r>
          </w:p>
        </w:tc>
        <w:tc>
          <w:tcPr>
            <w:tcW w:w="29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60</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4000</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24</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24</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7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乐亭县发展和改革局</w:t>
            </w:r>
          </w:p>
        </w:tc>
        <w:tc>
          <w:tcPr>
            <w:tcW w:w="33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2010499</w:t>
            </w:r>
          </w:p>
        </w:tc>
        <w:tc>
          <w:tcPr>
            <w:tcW w:w="52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争取产业项目前期费用</w:t>
            </w:r>
          </w:p>
        </w:tc>
        <w:tc>
          <w:tcPr>
            <w:tcW w:w="2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专项公用</w:t>
            </w:r>
          </w:p>
        </w:tc>
        <w:tc>
          <w:tcPr>
            <w:tcW w:w="21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办公设备购置</w:t>
            </w:r>
          </w:p>
        </w:tc>
        <w:tc>
          <w:tcPr>
            <w:tcW w:w="28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15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olor w:val="000000"/>
                <w:kern w:val="0"/>
              </w:rPr>
              <w:t>批</w:t>
            </w:r>
          </w:p>
        </w:tc>
        <w:tc>
          <w:tcPr>
            <w:tcW w:w="29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188600</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olor w:val="000000"/>
                <w:kern w:val="0"/>
              </w:rPr>
              <w:t>1</w:t>
            </w:r>
          </w:p>
        </w:tc>
        <w:tc>
          <w:tcPr>
            <w:tcW w:w="264"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18.86</w:t>
            </w: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r>
              <w:rPr>
                <w:rFonts w:hint="eastAsia" w:ascii="宋体" w:hAnsi="宋体"/>
                <w:color w:val="000000"/>
                <w:kern w:val="0"/>
              </w:rPr>
              <w:t>18.86</w:t>
            </w: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329"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c>
          <w:tcPr>
            <w:tcW w:w="272"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rPr>
            </w:pPr>
          </w:p>
        </w:tc>
      </w:tr>
    </w:tbl>
    <w:p>
      <w:pPr>
        <w:widowControl/>
        <w:spacing w:line="360" w:lineRule="auto"/>
        <w:ind w:firstLine="640"/>
        <w:rPr>
          <w:rFonts w:ascii="方正仿宋简体" w:hAnsi="宋体" w:cs="Arial"/>
          <w:color w:val="333333"/>
          <w:kern w:val="0"/>
          <w:sz w:val="32"/>
          <w:szCs w:val="32"/>
        </w:rPr>
      </w:pPr>
      <w:r>
        <w:rPr>
          <w:rFonts w:ascii="方正仿宋简体" w:hAnsi="宋体" w:cs="Arial"/>
          <w:color w:val="333333"/>
          <w:kern w:val="0"/>
          <w:sz w:val="32"/>
          <w:szCs w:val="32"/>
        </w:rPr>
        <w:t xml:space="preserve"> </w:t>
      </w:r>
    </w:p>
    <w:p>
      <w:pPr>
        <w:widowControl/>
        <w:spacing w:line="360" w:lineRule="auto"/>
        <w:ind w:firstLine="640"/>
        <w:rPr>
          <w:rFonts w:ascii="宋体" w:hAnsi="宋体" w:cs="宋体"/>
          <w:b/>
          <w:color w:val="333333"/>
          <w:kern w:val="0"/>
          <w:sz w:val="32"/>
          <w:szCs w:val="32"/>
        </w:rPr>
      </w:pPr>
      <w:r>
        <w:rPr>
          <w:rFonts w:ascii="方正仿宋简体" w:hAnsi="方正仿宋简体" w:cs="方正黑体简体"/>
          <w:b/>
          <w:color w:val="333333"/>
          <w:kern w:val="0"/>
          <w:sz w:val="32"/>
          <w:szCs w:val="32"/>
        </w:rPr>
        <w:t>七、</w:t>
      </w:r>
      <w:r>
        <w:rPr>
          <w:rFonts w:hint="eastAsia" w:ascii="宋体" w:hAnsi="宋体"/>
          <w:b/>
          <w:color w:val="333333"/>
          <w:kern w:val="0"/>
          <w:sz w:val="32"/>
          <w:szCs w:val="32"/>
        </w:rPr>
        <w:t>国有资产信息。</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2020年末，我单位固定资产总额122.79万元，2021年拟购置电脑、打印机、监控设备等固定资产18.86万元，已列入政府采购预算表。</w:t>
      </w:r>
    </w:p>
    <w:tbl>
      <w:tblPr>
        <w:tblStyle w:val="9"/>
        <w:tblW w:w="5000" w:type="pct"/>
        <w:tblInd w:w="0" w:type="dxa"/>
        <w:tblLayout w:type="autofit"/>
        <w:tblCellMar>
          <w:top w:w="0" w:type="dxa"/>
          <w:left w:w="108" w:type="dxa"/>
          <w:bottom w:w="0" w:type="dxa"/>
          <w:right w:w="108" w:type="dxa"/>
        </w:tblCellMar>
      </w:tblPr>
      <w:tblGrid>
        <w:gridCol w:w="5491"/>
        <w:gridCol w:w="3317"/>
        <w:gridCol w:w="5366"/>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vAlign w:val="center"/>
          </w:tcPr>
          <w:p>
            <w:pPr>
              <w:widowControl/>
              <w:rPr>
                <w:rFonts w:ascii="宋体" w:hAnsi="宋体" w:cs="宋体"/>
                <w:b/>
                <w:bCs/>
                <w:kern w:val="0"/>
                <w:sz w:val="32"/>
                <w:szCs w:val="32"/>
              </w:rPr>
            </w:pPr>
            <w:r>
              <w:rPr>
                <w:rFonts w:hint="eastAsia" w:ascii="宋体" w:hAnsi="宋体"/>
                <w:b/>
                <w:bCs/>
                <w:kern w:val="0"/>
                <w:sz w:val="32"/>
                <w:szCs w:val="32"/>
              </w:rPr>
              <w:t>乐亭县发展和改革局固定资产占用情况表</w:t>
            </w:r>
          </w:p>
        </w:tc>
      </w:tr>
      <w:tr>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kern w:val="0"/>
                <w:sz w:val="22"/>
                <w:szCs w:val="22"/>
              </w:rPr>
              <w:t xml:space="preserve">编制单位：乐亭县发展和改革局 </w:t>
            </w:r>
          </w:p>
        </w:tc>
        <w:tc>
          <w:tcPr>
            <w:tcW w:w="1893" w:type="pct"/>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kern w:val="0"/>
                <w:sz w:val="22"/>
                <w:szCs w:val="22"/>
              </w:rPr>
              <w:t xml:space="preserve">截止时间：2020年12月31日  </w:t>
            </w:r>
          </w:p>
        </w:tc>
      </w:tr>
      <w:tr>
        <w:tblPrEx>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b/>
                <w:bCs/>
                <w:kern w:val="0"/>
                <w:sz w:val="22"/>
                <w:szCs w:val="22"/>
              </w:rPr>
              <w:t>项   目</w:t>
            </w:r>
          </w:p>
        </w:tc>
        <w:tc>
          <w:tcPr>
            <w:tcW w:w="117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b/>
                <w:bCs/>
                <w:kern w:val="0"/>
                <w:sz w:val="22"/>
                <w:szCs w:val="22"/>
              </w:rPr>
              <w:t>数量</w:t>
            </w:r>
          </w:p>
        </w:tc>
        <w:tc>
          <w:tcPr>
            <w:tcW w:w="189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122.79</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kern w:val="0"/>
                <w:sz w:val="22"/>
                <w:szCs w:val="22"/>
              </w:rPr>
              <w:t>交通运输设备</w:t>
            </w: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2</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37.79</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kern w:val="0"/>
                <w:sz w:val="22"/>
                <w:szCs w:val="22"/>
              </w:rPr>
              <w:t>其他固定资产</w:t>
            </w: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85</w:t>
            </w: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70"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kern w:val="0"/>
                <w:sz w:val="22"/>
                <w:szCs w:val="22"/>
              </w:rPr>
              <w:t>——</w:t>
            </w:r>
          </w:p>
        </w:tc>
        <w:tc>
          <w:tcPr>
            <w:tcW w:w="1893" w:type="pct"/>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r>
    </w:tbl>
    <w:p>
      <w:pPr>
        <w:widowControl/>
        <w:spacing w:line="360" w:lineRule="auto"/>
        <w:ind w:firstLine="640"/>
        <w:rPr>
          <w:rFonts w:hint="eastAsia" w:ascii="方正仿宋简体" w:hAnsi="宋体" w:cs="Arial"/>
          <w:color w:val="333333"/>
          <w:kern w:val="0"/>
          <w:sz w:val="32"/>
          <w:szCs w:val="32"/>
        </w:rPr>
      </w:pPr>
      <w:r>
        <w:rPr>
          <w:rFonts w:ascii="方正仿宋简体" w:hAnsi="宋体" w:cs="Arial"/>
          <w:color w:val="333333"/>
          <w:kern w:val="0"/>
          <w:sz w:val="32"/>
          <w:szCs w:val="32"/>
        </w:rPr>
        <w:t xml:space="preserve"> </w:t>
      </w:r>
    </w:p>
    <w:p>
      <w:pPr>
        <w:widowControl/>
        <w:spacing w:line="360" w:lineRule="auto"/>
        <w:ind w:firstLine="640"/>
        <w:rPr>
          <w:rFonts w:ascii="宋体" w:hAnsi="宋体" w:cs="宋体"/>
          <w:b/>
          <w:color w:val="333333"/>
          <w:kern w:val="0"/>
          <w:sz w:val="32"/>
          <w:szCs w:val="32"/>
        </w:rPr>
      </w:pPr>
      <w:r>
        <w:rPr>
          <w:rFonts w:ascii="方正仿宋简体" w:hAnsi="方正黑体简体" w:cs="方正黑体简体"/>
          <w:b/>
          <w:color w:val="333333"/>
          <w:kern w:val="0"/>
          <w:sz w:val="32"/>
          <w:szCs w:val="32"/>
        </w:rPr>
        <w:t xml:space="preserve"> </w:t>
      </w:r>
      <w:r>
        <w:rPr>
          <w:rFonts w:ascii="方正仿宋简体" w:hAnsi="方正仿宋简体" w:cs="方正黑体简体"/>
          <w:b/>
          <w:color w:val="333333"/>
          <w:kern w:val="0"/>
          <w:sz w:val="32"/>
          <w:szCs w:val="32"/>
        </w:rPr>
        <w:t>八、</w:t>
      </w:r>
      <w:r>
        <w:rPr>
          <w:rFonts w:hint="eastAsia" w:ascii="宋体" w:hAnsi="宋体"/>
          <w:b/>
          <w:color w:val="333333"/>
          <w:kern w:val="0"/>
          <w:sz w:val="32"/>
          <w:szCs w:val="32"/>
        </w:rPr>
        <w:t>相关名词解释。</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1、财政拨款收入：指本年度从县级财政部门取得的财政拨款。</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2、事业收入：指事业单位开展专业业务活动及辅助活动所取得的收入。如：医院的各项收费收入。</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3、基本支出：指为保障机构正常运转、完成日常工作任务而发生的人员支出和公用支出。</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4、项目支出：指在基本支出之外为完成特定行政任务和事业发展目标所发生的支出。</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5、“三公”经费：指部门用财政拨款安排的因公出国（境）费、公务用车购置及运行维护费和公务接待费。</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6、机关运行经费：指为保障行政单位（包括参照公务法管理的事业单位）运行用于购买货物和服务的各项资金，包括办公及印刷费、邮电费、差旅费、会议费、福利费、日常维修费、办公用房水电费、办公用房取暖费、办公用房物业管理费、公务用车运行维护费及其他费用。</w:t>
      </w:r>
    </w:p>
    <w:p>
      <w:pPr>
        <w:widowControl/>
        <w:spacing w:line="360" w:lineRule="auto"/>
        <w:ind w:firstLine="640"/>
        <w:rPr>
          <w:rFonts w:hint="eastAsia" w:ascii="宋体" w:hAnsi="宋体"/>
          <w:b/>
          <w:color w:val="333333"/>
          <w:kern w:val="0"/>
          <w:sz w:val="32"/>
          <w:szCs w:val="32"/>
        </w:rPr>
      </w:pPr>
      <w:r>
        <w:rPr>
          <w:rFonts w:hint="eastAsia" w:ascii="宋体" w:hAnsi="宋体"/>
          <w:b/>
          <w:color w:val="333333"/>
          <w:kern w:val="0"/>
          <w:sz w:val="32"/>
          <w:szCs w:val="32"/>
        </w:rPr>
        <w:t>九、项目绩效申报情况</w:t>
      </w:r>
    </w:p>
    <w:p>
      <w:pPr>
        <w:widowControl/>
        <w:spacing w:line="360" w:lineRule="auto"/>
        <w:ind w:firstLine="640"/>
        <w:rPr>
          <w:rFonts w:hint="eastAsia" w:ascii="宋体" w:hAnsi="宋体"/>
          <w:color w:val="333333"/>
          <w:kern w:val="0"/>
          <w:sz w:val="32"/>
          <w:szCs w:val="32"/>
        </w:rPr>
      </w:pPr>
      <w:r>
        <w:rPr>
          <w:rFonts w:hint="eastAsia" w:ascii="宋体" w:hAnsi="宋体"/>
          <w:color w:val="333333"/>
          <w:kern w:val="0"/>
          <w:sz w:val="32"/>
          <w:szCs w:val="32"/>
        </w:rPr>
        <w:t>主要项目预算绩效目标申报表</w:t>
      </w:r>
    </w:p>
    <w:tbl>
      <w:tblPr>
        <w:tblStyle w:val="9"/>
        <w:tblW w:w="5000" w:type="pct"/>
        <w:tblInd w:w="0" w:type="dxa"/>
        <w:tblLayout w:type="autofit"/>
        <w:tblCellMar>
          <w:top w:w="0" w:type="dxa"/>
          <w:left w:w="108" w:type="dxa"/>
          <w:bottom w:w="0" w:type="dxa"/>
          <w:right w:w="108" w:type="dxa"/>
        </w:tblCellMar>
      </w:tblPr>
      <w:tblGrid>
        <w:gridCol w:w="1261"/>
        <w:gridCol w:w="1775"/>
        <w:gridCol w:w="2948"/>
        <w:gridCol w:w="4125"/>
        <w:gridCol w:w="4065"/>
      </w:tblGrid>
      <w:tr>
        <w:tblPrEx>
          <w:tblCellMar>
            <w:top w:w="0" w:type="dxa"/>
            <w:left w:w="108" w:type="dxa"/>
            <w:bottom w:w="0" w:type="dxa"/>
            <w:right w:w="108" w:type="dxa"/>
          </w:tblCellMar>
        </w:tblPrEx>
        <w:trPr>
          <w:trHeight w:val="832" w:hRule="atLeast"/>
        </w:trPr>
        <w:tc>
          <w:tcPr>
            <w:tcW w:w="5000" w:type="pct"/>
            <w:gridSpan w:val="5"/>
            <w:tcBorders>
              <w:top w:val="nil"/>
              <w:left w:val="nil"/>
              <w:bottom w:val="single" w:color="auto" w:sz="4" w:space="0"/>
              <w:right w:val="nil"/>
            </w:tcBorders>
            <w:vAlign w:val="center"/>
          </w:tcPr>
          <w:p>
            <w:pPr>
              <w:widowControl/>
              <w:jc w:val="center"/>
              <w:rPr>
                <w:rFonts w:ascii="宋体" w:hAnsi="宋体" w:cs="宋体"/>
                <w:kern w:val="0"/>
                <w:sz w:val="52"/>
                <w:szCs w:val="52"/>
              </w:rPr>
            </w:pPr>
            <w:r>
              <w:rPr>
                <w:rFonts w:hint="eastAsia" w:ascii="宋体" w:hAnsi="宋体"/>
                <w:kern w:val="0"/>
                <w:sz w:val="40"/>
                <w:szCs w:val="40"/>
              </w:rPr>
              <w:t>2021年项目预算绩效目标申报表</w:t>
            </w:r>
          </w:p>
        </w:tc>
      </w:tr>
      <w:tr>
        <w:tblPrEx>
          <w:tblCellMar>
            <w:top w:w="0" w:type="dxa"/>
            <w:left w:w="108" w:type="dxa"/>
            <w:bottom w:w="0" w:type="dxa"/>
            <w:right w:w="108" w:type="dxa"/>
          </w:tblCellMar>
        </w:tblPrEx>
        <w:trPr>
          <w:trHeight w:val="491" w:hRule="atLeast"/>
        </w:trPr>
        <w:tc>
          <w:tcPr>
            <w:tcW w:w="107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项目名称</w:t>
            </w:r>
          </w:p>
        </w:tc>
        <w:tc>
          <w:tcPr>
            <w:tcW w:w="1040"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争取产业项目前期费用</w:t>
            </w:r>
          </w:p>
        </w:tc>
        <w:tc>
          <w:tcPr>
            <w:tcW w:w="145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项目负责人及电话</w:t>
            </w:r>
          </w:p>
        </w:tc>
        <w:tc>
          <w:tcPr>
            <w:tcW w:w="1434"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7" w:hRule="atLeast"/>
        </w:trPr>
        <w:tc>
          <w:tcPr>
            <w:tcW w:w="107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主管部门</w:t>
            </w:r>
          </w:p>
        </w:tc>
        <w:tc>
          <w:tcPr>
            <w:tcW w:w="1040"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　</w:t>
            </w:r>
          </w:p>
        </w:tc>
        <w:tc>
          <w:tcPr>
            <w:tcW w:w="145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实施单位</w:t>
            </w:r>
          </w:p>
        </w:tc>
        <w:tc>
          <w:tcPr>
            <w:tcW w:w="1434"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发改局</w:t>
            </w:r>
          </w:p>
        </w:tc>
      </w:tr>
      <w:tr>
        <w:tblPrEx>
          <w:tblCellMar>
            <w:top w:w="0" w:type="dxa"/>
            <w:left w:w="108" w:type="dxa"/>
            <w:bottom w:w="0" w:type="dxa"/>
            <w:right w:w="108" w:type="dxa"/>
          </w:tblCellMar>
        </w:tblPrEx>
        <w:trPr>
          <w:trHeight w:val="405" w:hRule="atLeast"/>
        </w:trPr>
        <w:tc>
          <w:tcPr>
            <w:tcW w:w="1071" w:type="pct"/>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资金情况（万元）</w:t>
            </w:r>
          </w:p>
        </w:tc>
        <w:tc>
          <w:tcPr>
            <w:tcW w:w="1040"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b/>
                <w:bCs/>
                <w:kern w:val="0"/>
                <w:sz w:val="24"/>
                <w:szCs w:val="24"/>
              </w:rPr>
              <w:t>年度资金总额：</w:t>
            </w:r>
          </w:p>
        </w:tc>
        <w:tc>
          <w:tcPr>
            <w:tcW w:w="2890"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200</w:t>
            </w:r>
          </w:p>
        </w:tc>
      </w:tr>
      <w:tr>
        <w:tblPrEx>
          <w:tblCellMar>
            <w:top w:w="0" w:type="dxa"/>
            <w:left w:w="108" w:type="dxa"/>
            <w:bottom w:w="0" w:type="dxa"/>
            <w:right w:w="108" w:type="dxa"/>
          </w:tblCellMar>
        </w:tblPrEx>
        <w:trPr>
          <w:trHeight w:val="381" w:hRule="atLeast"/>
        </w:trPr>
        <w:tc>
          <w:tcPr>
            <w:tcW w:w="1071"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其中：上级资金</w:t>
            </w:r>
          </w:p>
        </w:tc>
        <w:tc>
          <w:tcPr>
            <w:tcW w:w="2890"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33" w:hRule="atLeast"/>
        </w:trPr>
        <w:tc>
          <w:tcPr>
            <w:tcW w:w="1071"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县级资金</w:t>
            </w:r>
          </w:p>
        </w:tc>
        <w:tc>
          <w:tcPr>
            <w:tcW w:w="2890"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200</w:t>
            </w:r>
          </w:p>
        </w:tc>
      </w:tr>
      <w:tr>
        <w:tblPrEx>
          <w:tblCellMar>
            <w:top w:w="0" w:type="dxa"/>
            <w:left w:w="108" w:type="dxa"/>
            <w:bottom w:w="0" w:type="dxa"/>
            <w:right w:w="108" w:type="dxa"/>
          </w:tblCellMar>
        </w:tblPrEx>
        <w:trPr>
          <w:trHeight w:val="285" w:hRule="atLeast"/>
        </w:trPr>
        <w:tc>
          <w:tcPr>
            <w:tcW w:w="1071"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其他资金</w:t>
            </w:r>
          </w:p>
        </w:tc>
        <w:tc>
          <w:tcPr>
            <w:tcW w:w="2890"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44" w:hRule="atLeast"/>
        </w:trPr>
        <w:tc>
          <w:tcPr>
            <w:tcW w:w="445"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项目概况及总体目标</w:t>
            </w:r>
          </w:p>
        </w:tc>
        <w:tc>
          <w:tcPr>
            <w:tcW w:w="3121"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年度目标</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年度总体目标计划完成情况</w:t>
            </w:r>
          </w:p>
        </w:tc>
      </w:tr>
      <w:tr>
        <w:tblPrEx>
          <w:tblCellMar>
            <w:top w:w="0" w:type="dxa"/>
            <w:left w:w="108" w:type="dxa"/>
            <w:bottom w:w="0" w:type="dxa"/>
            <w:right w:w="108" w:type="dxa"/>
          </w:tblCellMar>
        </w:tblPrEx>
        <w:trPr>
          <w:trHeight w:val="1022"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3121" w:type="pct"/>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争取国家建设资金用，争取产业项目发生费用，根据中央关于京津冀协同发展的要求，承接产业项目发生费用</w:t>
            </w:r>
          </w:p>
        </w:tc>
        <w:tc>
          <w:tcPr>
            <w:tcW w:w="1434"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多措并举，助推产业项目建设新突破，加强重点项目谋划协调，推动重点项目顺利实施</w:t>
            </w:r>
          </w:p>
        </w:tc>
      </w:tr>
      <w:tr>
        <w:tblPrEx>
          <w:tblCellMar>
            <w:top w:w="0" w:type="dxa"/>
            <w:left w:w="108" w:type="dxa"/>
            <w:bottom w:w="0" w:type="dxa"/>
            <w:right w:w="108" w:type="dxa"/>
          </w:tblCellMar>
        </w:tblPrEx>
        <w:trPr>
          <w:trHeight w:val="378" w:hRule="atLeast"/>
        </w:trPr>
        <w:tc>
          <w:tcPr>
            <w:tcW w:w="445"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绩效指标</w:t>
            </w:r>
          </w:p>
        </w:tc>
        <w:tc>
          <w:tcPr>
            <w:tcW w:w="626"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一级指标</w:t>
            </w: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二级指标</w:t>
            </w:r>
          </w:p>
        </w:tc>
        <w:tc>
          <w:tcPr>
            <w:tcW w:w="14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三级指标</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指标值</w:t>
            </w:r>
          </w:p>
        </w:tc>
      </w:tr>
      <w:tr>
        <w:tblPrEx>
          <w:tblCellMar>
            <w:top w:w="0" w:type="dxa"/>
            <w:left w:w="108" w:type="dxa"/>
            <w:bottom w:w="0" w:type="dxa"/>
            <w:right w:w="108" w:type="dxa"/>
          </w:tblCellMar>
        </w:tblPrEx>
        <w:trPr>
          <w:trHeight w:val="402"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restart"/>
            <w:tcBorders>
              <w:top w:val="nil"/>
              <w:left w:val="nil"/>
              <w:bottom w:val="single" w:color="000000"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产出指标</w:t>
            </w: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数量指标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olor w:val="000000"/>
                <w:kern w:val="0"/>
                <w:sz w:val="20"/>
                <w:szCs w:val="20"/>
              </w:rPr>
              <w:t>新开工重点项目</w:t>
            </w:r>
          </w:p>
        </w:tc>
        <w:tc>
          <w:tcPr>
            <w:tcW w:w="1434"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olor w:val="000000"/>
                <w:kern w:val="0"/>
                <w:sz w:val="22"/>
                <w:szCs w:val="22"/>
              </w:rPr>
              <w:t>70项</w:t>
            </w:r>
          </w:p>
        </w:tc>
      </w:tr>
      <w:tr>
        <w:tblPrEx>
          <w:tblCellMar>
            <w:top w:w="0" w:type="dxa"/>
            <w:left w:w="108" w:type="dxa"/>
            <w:bottom w:w="0" w:type="dxa"/>
            <w:right w:w="108" w:type="dxa"/>
          </w:tblCellMar>
        </w:tblPrEx>
        <w:trPr>
          <w:trHeight w:val="426"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质量指标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有效投资完成率</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100%</w:t>
            </w:r>
          </w:p>
        </w:tc>
      </w:tr>
      <w:tr>
        <w:tblPrEx>
          <w:tblCellMar>
            <w:top w:w="0" w:type="dxa"/>
            <w:left w:w="108" w:type="dxa"/>
            <w:bottom w:w="0" w:type="dxa"/>
            <w:right w:w="108" w:type="dxa"/>
          </w:tblCellMar>
        </w:tblPrEx>
        <w:trPr>
          <w:trHeight w:val="354"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成本指标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b/>
                <w:bCs/>
                <w:kern w:val="0"/>
                <w:sz w:val="24"/>
                <w:szCs w:val="24"/>
              </w:rPr>
              <w:t>　</w:t>
            </w:r>
            <w:r>
              <w:rPr>
                <w:rFonts w:hint="eastAsia" w:ascii="宋体" w:hAnsi="宋体"/>
                <w:color w:val="000000"/>
                <w:kern w:val="0"/>
                <w:sz w:val="20"/>
                <w:szCs w:val="20"/>
              </w:rPr>
              <w:t>预算资金完成率</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kern w:val="0"/>
                <w:sz w:val="24"/>
                <w:szCs w:val="24"/>
              </w:rPr>
              <w:t>80%</w:t>
            </w:r>
            <w:r>
              <w:rPr>
                <w:rFonts w:hint="eastAsia" w:ascii="宋体" w:hAnsi="宋体"/>
                <w:b/>
                <w:bCs/>
                <w:kern w:val="0"/>
                <w:sz w:val="24"/>
                <w:szCs w:val="24"/>
              </w:rPr>
              <w:t>　</w:t>
            </w:r>
          </w:p>
        </w:tc>
      </w:tr>
      <w:tr>
        <w:tblPrEx>
          <w:tblCellMar>
            <w:top w:w="0" w:type="dxa"/>
            <w:left w:w="108" w:type="dxa"/>
            <w:bottom w:w="0" w:type="dxa"/>
            <w:right w:w="108" w:type="dxa"/>
          </w:tblCellMar>
        </w:tblPrEx>
        <w:trPr>
          <w:trHeight w:val="414"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时效指标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olor w:val="000000"/>
                <w:kern w:val="0"/>
                <w:sz w:val="20"/>
                <w:szCs w:val="20"/>
              </w:rPr>
              <w:t>项目完成时限</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2021年12月底</w:t>
            </w:r>
          </w:p>
        </w:tc>
      </w:tr>
      <w:tr>
        <w:tblPrEx>
          <w:tblCellMar>
            <w:top w:w="0" w:type="dxa"/>
            <w:left w:w="108" w:type="dxa"/>
            <w:bottom w:w="0" w:type="dxa"/>
            <w:right w:w="108" w:type="dxa"/>
          </w:tblCellMar>
        </w:tblPrEx>
        <w:trPr>
          <w:trHeight w:val="390"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经济效益指标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促进县域经济发展</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效果明显</w:t>
            </w:r>
          </w:p>
        </w:tc>
      </w:tr>
      <w:tr>
        <w:tblPrEx>
          <w:tblCellMar>
            <w:top w:w="0" w:type="dxa"/>
            <w:left w:w="108" w:type="dxa"/>
            <w:bottom w:w="0" w:type="dxa"/>
            <w:right w:w="108" w:type="dxa"/>
          </w:tblCellMar>
        </w:tblPrEx>
        <w:trPr>
          <w:trHeight w:val="538" w:hRule="atLeast"/>
        </w:trPr>
        <w:tc>
          <w:tcPr>
            <w:tcW w:w="4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626"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满意度指标</w:t>
            </w:r>
          </w:p>
        </w:tc>
        <w:tc>
          <w:tcPr>
            <w:tcW w:w="1040"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服务对象满意度指标</w:t>
            </w:r>
          </w:p>
        </w:tc>
        <w:tc>
          <w:tcPr>
            <w:tcW w:w="1455"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服务对象满意度</w:t>
            </w:r>
          </w:p>
        </w:tc>
        <w:tc>
          <w:tcPr>
            <w:tcW w:w="1434"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≥90%</w:t>
            </w:r>
          </w:p>
        </w:tc>
      </w:tr>
    </w:tbl>
    <w:p>
      <w:pPr>
        <w:widowControl/>
        <w:jc w:val="left"/>
        <w:rPr>
          <w:rFonts w:ascii="宋体" w:hAnsi="宋体"/>
          <w:vanish/>
          <w:kern w:val="0"/>
          <w:sz w:val="24"/>
          <w:szCs w:val="24"/>
        </w:rPr>
      </w:pPr>
    </w:p>
    <w:tbl>
      <w:tblPr>
        <w:tblStyle w:val="9"/>
        <w:tblW w:w="5000" w:type="pct"/>
        <w:tblInd w:w="0" w:type="dxa"/>
        <w:tblLayout w:type="autofit"/>
        <w:tblCellMar>
          <w:top w:w="0" w:type="dxa"/>
          <w:left w:w="108" w:type="dxa"/>
          <w:bottom w:w="0" w:type="dxa"/>
          <w:right w:w="108" w:type="dxa"/>
        </w:tblCellMar>
      </w:tblPr>
      <w:tblGrid>
        <w:gridCol w:w="1343"/>
        <w:gridCol w:w="1698"/>
        <w:gridCol w:w="2934"/>
        <w:gridCol w:w="3833"/>
        <w:gridCol w:w="4366"/>
      </w:tblGrid>
      <w:tr>
        <w:tblPrEx>
          <w:tblCellMar>
            <w:top w:w="0" w:type="dxa"/>
            <w:left w:w="108" w:type="dxa"/>
            <w:bottom w:w="0" w:type="dxa"/>
            <w:right w:w="108" w:type="dxa"/>
          </w:tblCellMar>
        </w:tblPrEx>
        <w:trPr>
          <w:trHeight w:val="482" w:hRule="atLeast"/>
        </w:trPr>
        <w:tc>
          <w:tcPr>
            <w:tcW w:w="5000" w:type="pct"/>
            <w:gridSpan w:val="5"/>
            <w:tcBorders>
              <w:top w:val="nil"/>
              <w:left w:val="nil"/>
              <w:bottom w:val="single" w:color="auto" w:sz="4" w:space="0"/>
              <w:right w:val="nil"/>
            </w:tcBorders>
            <w:vAlign w:val="center"/>
          </w:tcPr>
          <w:p>
            <w:pPr>
              <w:widowControl/>
              <w:jc w:val="center"/>
              <w:rPr>
                <w:rFonts w:ascii="宋体" w:hAnsi="宋体" w:cs="宋体"/>
                <w:kern w:val="0"/>
                <w:sz w:val="52"/>
                <w:szCs w:val="52"/>
              </w:rPr>
            </w:pPr>
            <w:r>
              <w:rPr>
                <w:rFonts w:hint="eastAsia" w:ascii="宋体" w:hAnsi="宋体"/>
                <w:kern w:val="0"/>
                <w:sz w:val="40"/>
                <w:szCs w:val="40"/>
              </w:rPr>
              <w:t>2021年项目预算绩效目标申报表</w:t>
            </w:r>
          </w:p>
        </w:tc>
      </w:tr>
      <w:tr>
        <w:tblPrEx>
          <w:tblCellMar>
            <w:top w:w="0" w:type="dxa"/>
            <w:left w:w="108" w:type="dxa"/>
            <w:bottom w:w="0" w:type="dxa"/>
            <w:right w:w="108" w:type="dxa"/>
          </w:tblCellMar>
        </w:tblPrEx>
        <w:trPr>
          <w:trHeight w:val="455" w:hRule="atLeast"/>
        </w:trPr>
        <w:tc>
          <w:tcPr>
            <w:tcW w:w="107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项目名称</w:t>
            </w:r>
          </w:p>
        </w:tc>
        <w:tc>
          <w:tcPr>
            <w:tcW w:w="1035"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直属库县级储备粮补贴</w:t>
            </w:r>
          </w:p>
        </w:tc>
        <w:tc>
          <w:tcPr>
            <w:tcW w:w="13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项目负责人及电话</w:t>
            </w:r>
          </w:p>
        </w:tc>
        <w:tc>
          <w:tcPr>
            <w:tcW w:w="1541"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01" w:hRule="atLeast"/>
        </w:trPr>
        <w:tc>
          <w:tcPr>
            <w:tcW w:w="107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主管部门</w:t>
            </w:r>
          </w:p>
        </w:tc>
        <w:tc>
          <w:tcPr>
            <w:tcW w:w="1035"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　</w:t>
            </w:r>
          </w:p>
        </w:tc>
        <w:tc>
          <w:tcPr>
            <w:tcW w:w="135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实施单位</w:t>
            </w:r>
          </w:p>
        </w:tc>
        <w:tc>
          <w:tcPr>
            <w:tcW w:w="1541"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发改局</w:t>
            </w:r>
          </w:p>
        </w:tc>
      </w:tr>
      <w:tr>
        <w:tblPrEx>
          <w:tblCellMar>
            <w:top w:w="0" w:type="dxa"/>
            <w:left w:w="108" w:type="dxa"/>
            <w:bottom w:w="0" w:type="dxa"/>
            <w:right w:w="108" w:type="dxa"/>
          </w:tblCellMar>
        </w:tblPrEx>
        <w:trPr>
          <w:trHeight w:val="331" w:hRule="atLeast"/>
        </w:trPr>
        <w:tc>
          <w:tcPr>
            <w:tcW w:w="1073" w:type="pct"/>
            <w:gridSpan w:val="2"/>
            <w:vMerge w:val="restart"/>
            <w:tcBorders>
              <w:top w:val="nil"/>
              <w:left w:val="single" w:color="auto" w:sz="4" w:space="0"/>
              <w:bottom w:val="single" w:color="000000" w:sz="4" w:space="0"/>
              <w:right w:val="single" w:color="000000"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资金情况（万元）</w:t>
            </w:r>
          </w:p>
        </w:tc>
        <w:tc>
          <w:tcPr>
            <w:tcW w:w="1035" w:type="pct"/>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b/>
                <w:bCs/>
                <w:kern w:val="0"/>
                <w:sz w:val="24"/>
                <w:szCs w:val="24"/>
              </w:rPr>
              <w:t>年度资金总额：</w:t>
            </w:r>
          </w:p>
        </w:tc>
        <w:tc>
          <w:tcPr>
            <w:tcW w:w="2892"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31" w:hRule="atLeast"/>
        </w:trPr>
        <w:tc>
          <w:tcPr>
            <w:tcW w:w="1073" w:type="pct"/>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其中：上级资金</w:t>
            </w:r>
          </w:p>
        </w:tc>
        <w:tc>
          <w:tcPr>
            <w:tcW w:w="2892"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67" w:hRule="atLeast"/>
        </w:trPr>
        <w:tc>
          <w:tcPr>
            <w:tcW w:w="1073" w:type="pct"/>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县级资金</w:t>
            </w:r>
          </w:p>
        </w:tc>
        <w:tc>
          <w:tcPr>
            <w:tcW w:w="2892"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100</w:t>
            </w:r>
          </w:p>
        </w:tc>
      </w:tr>
      <w:tr>
        <w:tblPrEx>
          <w:tblCellMar>
            <w:top w:w="0" w:type="dxa"/>
            <w:left w:w="108" w:type="dxa"/>
            <w:bottom w:w="0" w:type="dxa"/>
            <w:right w:w="108" w:type="dxa"/>
          </w:tblCellMar>
        </w:tblPrEx>
        <w:trPr>
          <w:trHeight w:val="379" w:hRule="atLeast"/>
        </w:trPr>
        <w:tc>
          <w:tcPr>
            <w:tcW w:w="1073" w:type="pct"/>
            <w:gridSpan w:val="2"/>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right"/>
              <w:rPr>
                <w:rFonts w:ascii="宋体" w:hAnsi="宋体" w:cs="宋体"/>
                <w:b/>
                <w:bCs/>
                <w:kern w:val="0"/>
                <w:sz w:val="24"/>
                <w:szCs w:val="24"/>
              </w:rPr>
            </w:pPr>
            <w:r>
              <w:rPr>
                <w:rFonts w:hint="eastAsia" w:ascii="宋体" w:hAnsi="宋体"/>
                <w:b/>
                <w:bCs/>
                <w:kern w:val="0"/>
                <w:sz w:val="24"/>
                <w:szCs w:val="24"/>
              </w:rPr>
              <w:t>其他资金</w:t>
            </w:r>
          </w:p>
        </w:tc>
        <w:tc>
          <w:tcPr>
            <w:tcW w:w="2892"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62" w:hRule="atLeast"/>
        </w:trPr>
        <w:tc>
          <w:tcPr>
            <w:tcW w:w="474"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项目概况及总体目标</w:t>
            </w:r>
          </w:p>
        </w:tc>
        <w:tc>
          <w:tcPr>
            <w:tcW w:w="2986" w:type="pct"/>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年度目标</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年度总体目标计划完成情况</w:t>
            </w:r>
          </w:p>
        </w:tc>
      </w:tr>
      <w:tr>
        <w:tblPrEx>
          <w:tblCellMar>
            <w:top w:w="0" w:type="dxa"/>
            <w:left w:w="108" w:type="dxa"/>
            <w:bottom w:w="0" w:type="dxa"/>
            <w:right w:w="108" w:type="dxa"/>
          </w:tblCellMar>
        </w:tblPrEx>
        <w:trPr>
          <w:trHeight w:val="816"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2986" w:type="pct"/>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据乐亭县县级储备粮管理办法规定，落实粮食购销政策，确保粮食流通规范有序，确保县级储备粮安全、有效发挥储备粮在宏观调控中的作用。</w:t>
            </w:r>
          </w:p>
        </w:tc>
        <w:tc>
          <w:tcPr>
            <w:tcW w:w="154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确保粮食收的进、储的好、用的上。</w:t>
            </w:r>
          </w:p>
        </w:tc>
      </w:tr>
      <w:tr>
        <w:tblPrEx>
          <w:tblCellMar>
            <w:top w:w="0" w:type="dxa"/>
            <w:left w:w="108" w:type="dxa"/>
            <w:bottom w:w="0" w:type="dxa"/>
            <w:right w:w="108" w:type="dxa"/>
          </w:tblCellMar>
        </w:tblPrEx>
        <w:trPr>
          <w:trHeight w:val="402" w:hRule="atLeast"/>
        </w:trPr>
        <w:tc>
          <w:tcPr>
            <w:tcW w:w="474"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绩效指标</w:t>
            </w:r>
          </w:p>
        </w:tc>
        <w:tc>
          <w:tcPr>
            <w:tcW w:w="5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一级指标</w:t>
            </w: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二级指标</w:t>
            </w:r>
          </w:p>
        </w:tc>
        <w:tc>
          <w:tcPr>
            <w:tcW w:w="1351"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三级指标</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指标值</w:t>
            </w:r>
          </w:p>
        </w:tc>
      </w:tr>
      <w:tr>
        <w:tblPrEx>
          <w:tblCellMar>
            <w:top w:w="0" w:type="dxa"/>
            <w:left w:w="108" w:type="dxa"/>
            <w:bottom w:w="0" w:type="dxa"/>
            <w:right w:w="108" w:type="dxa"/>
          </w:tblCellMar>
        </w:tblPrEx>
        <w:trPr>
          <w:trHeight w:val="357"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restart"/>
            <w:tcBorders>
              <w:top w:val="nil"/>
              <w:left w:val="nil"/>
              <w:bottom w:val="single" w:color="000000"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产出指标</w:t>
            </w:r>
          </w:p>
        </w:tc>
        <w:tc>
          <w:tcPr>
            <w:tcW w:w="1035" w:type="pct"/>
            <w:vMerge w:val="restart"/>
            <w:tcBorders>
              <w:top w:val="nil"/>
              <w:left w:val="nil"/>
              <w:bottom w:val="single" w:color="000000"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数量指标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玉米储备数量（吨）</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8000</w:t>
            </w:r>
          </w:p>
        </w:tc>
      </w:tr>
      <w:tr>
        <w:tblPrEx>
          <w:tblCellMar>
            <w:top w:w="0" w:type="dxa"/>
            <w:left w:w="108" w:type="dxa"/>
            <w:bottom w:w="0" w:type="dxa"/>
            <w:right w:w="108" w:type="dxa"/>
          </w:tblCellMar>
        </w:tblPrEx>
        <w:trPr>
          <w:trHeight w:val="393"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小麦储备数量（吨）</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4527</w:t>
            </w:r>
          </w:p>
        </w:tc>
      </w:tr>
      <w:tr>
        <w:tblPrEx>
          <w:tblCellMar>
            <w:top w:w="0" w:type="dxa"/>
            <w:left w:w="108" w:type="dxa"/>
            <w:bottom w:w="0" w:type="dxa"/>
            <w:right w:w="108" w:type="dxa"/>
          </w:tblCellMar>
        </w:tblPrEx>
        <w:trPr>
          <w:trHeight w:val="357"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质量指标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储备粮质量</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符合国家标准</w:t>
            </w:r>
          </w:p>
        </w:tc>
      </w:tr>
      <w:tr>
        <w:tblPrEx>
          <w:tblCellMar>
            <w:top w:w="0" w:type="dxa"/>
            <w:left w:w="108" w:type="dxa"/>
            <w:bottom w:w="0" w:type="dxa"/>
            <w:right w:w="108" w:type="dxa"/>
          </w:tblCellMar>
        </w:tblPrEx>
        <w:trPr>
          <w:trHeight w:val="90"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vMerge w:val="restart"/>
            <w:tcBorders>
              <w:top w:val="nil"/>
              <w:left w:val="nil"/>
              <w:bottom w:val="single" w:color="000000"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成本指标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每吨轮换费用（元）</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xml:space="preserve">120.00 </w:t>
            </w:r>
          </w:p>
        </w:tc>
      </w:tr>
      <w:tr>
        <w:tblPrEx>
          <w:tblCellMar>
            <w:top w:w="0" w:type="dxa"/>
            <w:left w:w="108" w:type="dxa"/>
            <w:bottom w:w="0" w:type="dxa"/>
            <w:right w:w="108" w:type="dxa"/>
          </w:tblCellMar>
        </w:tblPrEx>
        <w:trPr>
          <w:trHeight w:val="357"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每吨储存费用（元）</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xml:space="preserve">86.00 </w:t>
            </w:r>
          </w:p>
        </w:tc>
      </w:tr>
      <w:tr>
        <w:tblPrEx>
          <w:tblCellMar>
            <w:top w:w="0" w:type="dxa"/>
            <w:left w:w="108" w:type="dxa"/>
            <w:bottom w:w="0" w:type="dxa"/>
            <w:right w:w="108" w:type="dxa"/>
          </w:tblCellMar>
        </w:tblPrEx>
        <w:trPr>
          <w:trHeight w:val="117"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贷款利息费用（万元）</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 xml:space="preserve">150.00 </w:t>
            </w:r>
          </w:p>
        </w:tc>
      </w:tr>
      <w:tr>
        <w:tblPrEx>
          <w:tblCellMar>
            <w:top w:w="0" w:type="dxa"/>
            <w:left w:w="108" w:type="dxa"/>
            <w:bottom w:w="0" w:type="dxa"/>
            <w:right w:w="108" w:type="dxa"/>
          </w:tblCellMar>
        </w:tblPrEx>
        <w:trPr>
          <w:trHeight w:val="405"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时效指标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olor w:val="000000"/>
                <w:kern w:val="0"/>
                <w:sz w:val="24"/>
                <w:szCs w:val="24"/>
              </w:rPr>
              <w:t>项目完成时限</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2021年12月底　</w:t>
            </w:r>
          </w:p>
        </w:tc>
      </w:tr>
      <w:tr>
        <w:tblPrEx>
          <w:tblCellMar>
            <w:top w:w="0" w:type="dxa"/>
            <w:left w:w="108" w:type="dxa"/>
            <w:bottom w:w="0" w:type="dxa"/>
            <w:right w:w="108" w:type="dxa"/>
          </w:tblCellMar>
        </w:tblPrEx>
        <w:trPr>
          <w:trHeight w:val="333"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vMerge w:val="continue"/>
            <w:tcBorders>
              <w:top w:val="nil"/>
              <w:left w:val="nil"/>
              <w:bottom w:val="single" w:color="000000" w:sz="4" w:space="0"/>
              <w:right w:val="single" w:color="auto" w:sz="4" w:space="0"/>
            </w:tcBorders>
            <w:vAlign w:val="center"/>
          </w:tcPr>
          <w:p>
            <w:pPr>
              <w:widowControl/>
              <w:jc w:val="left"/>
              <w:rPr>
                <w:rFonts w:ascii="宋体" w:hAnsi="宋体" w:cs="宋体"/>
                <w:b/>
                <w:bCs/>
                <w:kern w:val="0"/>
                <w:sz w:val="24"/>
                <w:szCs w:val="24"/>
              </w:rPr>
            </w:pP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社会效益指标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保障储备粮安全及供应</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100%</w:t>
            </w:r>
          </w:p>
        </w:tc>
      </w:tr>
      <w:tr>
        <w:tblPrEx>
          <w:tblCellMar>
            <w:top w:w="0" w:type="dxa"/>
            <w:left w:w="108" w:type="dxa"/>
            <w:bottom w:w="0" w:type="dxa"/>
            <w:right w:w="108" w:type="dxa"/>
          </w:tblCellMar>
        </w:tblPrEx>
        <w:trPr>
          <w:trHeight w:val="416" w:hRule="atLeast"/>
        </w:trPr>
        <w:tc>
          <w:tcPr>
            <w:tcW w:w="4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szCs w:val="24"/>
              </w:rPr>
            </w:pPr>
          </w:p>
        </w:tc>
        <w:tc>
          <w:tcPr>
            <w:tcW w:w="5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满意度指标</w:t>
            </w:r>
          </w:p>
        </w:tc>
        <w:tc>
          <w:tcPr>
            <w:tcW w:w="1035" w:type="pct"/>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b/>
                <w:bCs/>
                <w:kern w:val="0"/>
                <w:sz w:val="24"/>
                <w:szCs w:val="24"/>
              </w:rPr>
              <w:t>服务对象满意度指标</w:t>
            </w:r>
          </w:p>
        </w:tc>
        <w:tc>
          <w:tcPr>
            <w:tcW w:w="1351" w:type="pct"/>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kern w:val="0"/>
                <w:sz w:val="24"/>
                <w:szCs w:val="24"/>
              </w:rPr>
              <w:t>企业满意度</w:t>
            </w:r>
          </w:p>
        </w:tc>
        <w:tc>
          <w:tcPr>
            <w:tcW w:w="1541" w:type="pc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kern w:val="0"/>
                <w:sz w:val="24"/>
                <w:szCs w:val="24"/>
              </w:rPr>
              <w:t>≥99%</w:t>
            </w:r>
          </w:p>
        </w:tc>
      </w:tr>
    </w:tbl>
    <w:p>
      <w:pPr>
        <w:widowControl/>
        <w:spacing w:line="360" w:lineRule="auto"/>
        <w:ind w:firstLine="640"/>
        <w:rPr>
          <w:rFonts w:hint="eastAsia" w:ascii="宋体" w:hAnsi="宋体"/>
          <w:b/>
          <w:color w:val="333333"/>
          <w:kern w:val="0"/>
          <w:sz w:val="32"/>
          <w:szCs w:val="32"/>
        </w:rPr>
      </w:pPr>
      <w:r>
        <w:rPr>
          <w:rFonts w:hint="eastAsia" w:ascii="宋体" w:hAnsi="宋体"/>
          <w:b/>
          <w:color w:val="333333"/>
          <w:kern w:val="0"/>
          <w:sz w:val="32"/>
          <w:szCs w:val="32"/>
        </w:rPr>
        <w:t>十、其他需要说明的情况</w:t>
      </w:r>
    </w:p>
    <w:p>
      <w:pPr>
        <w:adjustRightInd w:val="0"/>
        <w:snapToGrid w:val="0"/>
        <w:spacing w:line="560" w:lineRule="exact"/>
        <w:ind w:firstLine="640" w:firstLineChars="200"/>
        <w:rPr>
          <w:rFonts w:hint="eastAsia" w:ascii="宋体" w:hAnsi="宋体"/>
          <w:sz w:val="32"/>
          <w:szCs w:val="32"/>
        </w:rPr>
      </w:pPr>
      <w:r>
        <w:rPr>
          <w:rFonts w:hint="eastAsia" w:ascii="宋体" w:hAnsi="宋体"/>
          <w:sz w:val="32"/>
          <w:szCs w:val="32"/>
        </w:rPr>
        <w:t>1、乐亭县发展和改革局2021年单位预算中未安排政府性基金预算，故政府性基金预算支出表为空。</w:t>
      </w:r>
    </w:p>
    <w:p>
      <w:pPr>
        <w:adjustRightInd w:val="0"/>
        <w:snapToGrid w:val="0"/>
        <w:spacing w:line="560" w:lineRule="exact"/>
        <w:ind w:firstLine="640" w:firstLineChars="200"/>
        <w:rPr>
          <w:rFonts w:hint="eastAsia" w:ascii="方正仿宋简体" w:hAnsi="宋体" w:cs="Arial"/>
          <w:color w:val="333333"/>
          <w:kern w:val="0"/>
          <w:sz w:val="32"/>
          <w:szCs w:val="32"/>
        </w:rPr>
      </w:pPr>
      <w:r>
        <w:rPr>
          <w:rFonts w:hint="eastAsia" w:ascii="宋体" w:hAnsi="宋体"/>
          <w:sz w:val="32"/>
          <w:szCs w:val="32"/>
        </w:rPr>
        <w:t>2、乐亭县发展和改革局2021年单位预算中未安排国有资本经营预算，故国有资本经营预算支出表为空。</w:t>
      </w:r>
      <w:r>
        <w:rPr>
          <w:rFonts w:ascii="方正仿宋简体" w:hAnsi="宋体" w:cs="Arial"/>
          <w:color w:val="333333"/>
          <w:kern w:val="0"/>
          <w:sz w:val="32"/>
          <w:szCs w:val="32"/>
        </w:rPr>
        <w:t xml:space="preserve"> </w:t>
      </w:r>
    </w:p>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宋体-方正超大字符集">
    <w:altName w:val="Times New Roman"/>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方正仿宋简体">
    <w:altName w:val="Times New Roman"/>
    <w:panose1 w:val="00000000000000000000"/>
    <w:charset w:val="00"/>
    <w:family w:val="auto"/>
    <w:pitch w:val="default"/>
    <w:sig w:usb0="00000000" w:usb1="00000000" w:usb2="00000000" w:usb3="00000000" w:csb0="00000000" w:csb1="00000000"/>
  </w:font>
  <w:font w:name="方正黑体简体">
    <w:altName w:val="Times New Roman"/>
    <w:panose1 w:val="00000000000000000000"/>
    <w:charset w:val="00"/>
    <w:family w:val="auto"/>
    <w:pitch w:val="default"/>
    <w:sig w:usb0="00000000" w:usb1="00000000" w:usb2="00000000" w:usb3="00000000" w:csb0="00000000" w:csb1="00000000"/>
  </w:font>
  <w:font w:name="方正楷体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805A9"/>
    <w:multiLevelType w:val="multilevel"/>
    <w:tmpl w:val="424805A9"/>
    <w:lvl w:ilvl="0" w:tentative="0">
      <w:start w:val="2"/>
      <w:numFmt w:val="japaneseCounting"/>
      <w:lvlText w:val="（%1）"/>
      <w:lvlJc w:val="left"/>
      <w:pPr>
        <w:ind w:left="1709" w:hanging="1080"/>
      </w:pPr>
      <w:rPr>
        <w:rFonts w:hint="default" w:ascii="Times New Roman" w:hAnsi="Times New Roman" w:cs="Times New Roman"/>
      </w:rPr>
    </w:lvl>
    <w:lvl w:ilvl="1" w:tentative="0">
      <w:start w:val="1"/>
      <w:numFmt w:val="lowerLetter"/>
      <w:lvlText w:val="%2)"/>
      <w:lvlJc w:val="left"/>
      <w:pPr>
        <w:ind w:left="1469" w:hanging="420"/>
      </w:pPr>
      <w:rPr>
        <w:rFonts w:hint="default" w:ascii="Times New Roman" w:hAnsi="Times New Roman" w:cs="Times New Roman"/>
      </w:rPr>
    </w:lvl>
    <w:lvl w:ilvl="2" w:tentative="0">
      <w:start w:val="1"/>
      <w:numFmt w:val="lowerRoman"/>
      <w:lvlText w:val="%3."/>
      <w:lvlJc w:val="right"/>
      <w:pPr>
        <w:ind w:left="1889" w:hanging="420"/>
      </w:pPr>
      <w:rPr>
        <w:rFonts w:hint="default" w:ascii="Times New Roman" w:hAnsi="Times New Roman" w:cs="Times New Roman"/>
      </w:rPr>
    </w:lvl>
    <w:lvl w:ilvl="3" w:tentative="0">
      <w:start w:val="1"/>
      <w:numFmt w:val="decimal"/>
      <w:lvlText w:val="%4."/>
      <w:lvlJc w:val="left"/>
      <w:pPr>
        <w:ind w:left="2309" w:hanging="420"/>
      </w:pPr>
      <w:rPr>
        <w:rFonts w:hint="default" w:ascii="Times New Roman" w:hAnsi="Times New Roman" w:cs="Times New Roman"/>
      </w:rPr>
    </w:lvl>
    <w:lvl w:ilvl="4" w:tentative="0">
      <w:start w:val="1"/>
      <w:numFmt w:val="lowerLetter"/>
      <w:lvlText w:val="%5)"/>
      <w:lvlJc w:val="left"/>
      <w:pPr>
        <w:ind w:left="2729" w:hanging="420"/>
      </w:pPr>
      <w:rPr>
        <w:rFonts w:hint="default" w:ascii="Times New Roman" w:hAnsi="Times New Roman" w:cs="Times New Roman"/>
      </w:rPr>
    </w:lvl>
    <w:lvl w:ilvl="5" w:tentative="0">
      <w:start w:val="1"/>
      <w:numFmt w:val="lowerRoman"/>
      <w:lvlText w:val="%6."/>
      <w:lvlJc w:val="right"/>
      <w:pPr>
        <w:ind w:left="3149" w:hanging="420"/>
      </w:pPr>
      <w:rPr>
        <w:rFonts w:hint="default" w:ascii="Times New Roman" w:hAnsi="Times New Roman" w:cs="Times New Roman"/>
      </w:rPr>
    </w:lvl>
    <w:lvl w:ilvl="6" w:tentative="0">
      <w:start w:val="1"/>
      <w:numFmt w:val="decimal"/>
      <w:lvlText w:val="%7."/>
      <w:lvlJc w:val="left"/>
      <w:pPr>
        <w:ind w:left="3569" w:hanging="420"/>
      </w:pPr>
      <w:rPr>
        <w:rFonts w:hint="default" w:ascii="Times New Roman" w:hAnsi="Times New Roman" w:cs="Times New Roman"/>
      </w:rPr>
    </w:lvl>
    <w:lvl w:ilvl="7" w:tentative="0">
      <w:start w:val="1"/>
      <w:numFmt w:val="lowerLetter"/>
      <w:lvlText w:val="%8)"/>
      <w:lvlJc w:val="left"/>
      <w:pPr>
        <w:ind w:left="3989" w:hanging="420"/>
      </w:pPr>
      <w:rPr>
        <w:rFonts w:hint="default" w:ascii="Times New Roman" w:hAnsi="Times New Roman" w:cs="Times New Roman"/>
      </w:rPr>
    </w:lvl>
    <w:lvl w:ilvl="8" w:tentative="0">
      <w:start w:val="1"/>
      <w:numFmt w:val="lowerRoman"/>
      <w:lvlText w:val="%9."/>
      <w:lvlJc w:val="right"/>
      <w:pPr>
        <w:ind w:left="4409" w:hanging="42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5YmY5ZjNkM2YxMmM3ZDdhYjE3NjJmMTAxYTA0MzgifQ=="/>
  </w:docVars>
  <w:rsids>
    <w:rsidRoot w:val="005879D9"/>
    <w:rsid w:val="002761F6"/>
    <w:rsid w:val="005879D9"/>
    <w:rsid w:val="00694536"/>
    <w:rsid w:val="00A4683D"/>
    <w:rsid w:val="1C783BAD"/>
    <w:rsid w:val="1D5D1D7E"/>
    <w:rsid w:val="1EA16E61"/>
    <w:rsid w:val="40E70812"/>
    <w:rsid w:val="67887204"/>
    <w:rsid w:val="6EE364B1"/>
    <w:rsid w:val="76E1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toc 3"/>
    <w:basedOn w:val="1"/>
    <w:next w:val="1"/>
    <w:unhideWhenUsed/>
    <w:qFormat/>
    <w:uiPriority w:val="39"/>
    <w:pPr>
      <w:ind w:left="840" w:leftChars="4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nhideWhenUsed/>
    <w:qFormat/>
    <w:uiPriority w:val="39"/>
    <w:pPr>
      <w:ind w:left="420" w:leftChars="200"/>
    </w:pPr>
  </w:style>
  <w:style w:type="paragraph" w:styleId="7">
    <w:name w:val="Normal (Web)"/>
    <w:basedOn w:val="1"/>
    <w:semiHidden/>
    <w:unhideWhenUsed/>
    <w:qFormat/>
    <w:uiPriority w:val="99"/>
    <w:pPr>
      <w:spacing w:before="100" w:beforeAutospacing="1" w:after="100" w:afterAutospacing="1"/>
      <w:jc w:val="left"/>
    </w:pPr>
    <w:rPr>
      <w:rFonts w:ascii="方正黑体_GBK" w:hAnsi="方正黑体_GBK" w:cs="宋体"/>
      <w:kern w:val="0"/>
      <w:sz w:val="24"/>
      <w:szCs w:val="24"/>
    </w:rPr>
  </w:style>
  <w:style w:type="paragraph" w:styleId="8">
    <w:name w:val="Title"/>
    <w:basedOn w:val="1"/>
    <w:next w:val="1"/>
    <w:link w:val="14"/>
    <w:qFormat/>
    <w:uiPriority w:val="99"/>
    <w:pPr>
      <w:spacing w:before="240" w:after="60"/>
      <w:jc w:val="center"/>
      <w:outlineLvl w:val="0"/>
    </w:pPr>
    <w:rPr>
      <w:rFonts w:ascii="Cambria" w:hAnsi="Cambria" w:cs="宋体"/>
      <w:b/>
      <w:bCs/>
      <w:sz w:val="32"/>
      <w:szCs w:val="32"/>
    </w:rPr>
  </w:style>
  <w:style w:type="character" w:styleId="11">
    <w:name w:val="Hyperlink"/>
    <w:basedOn w:val="10"/>
    <w:unhideWhenUsed/>
    <w:qFormat/>
    <w:uiPriority w:val="99"/>
    <w:rPr>
      <w:color w:val="0000FF"/>
      <w:u w:val="single"/>
    </w:rPr>
  </w:style>
  <w:style w:type="paragraph" w:customStyle="1" w:styleId="12">
    <w:name w:val="List Paragraph"/>
    <w:basedOn w:val="1"/>
    <w:qFormat/>
    <w:uiPriority w:val="0"/>
    <w:pPr>
      <w:ind w:firstLine="420" w:firstLineChars="200"/>
    </w:pPr>
    <w:rPr>
      <w:rFonts w:ascii="Calibri" w:hAnsi="Calibri" w:cs="宋体"/>
    </w:rPr>
  </w:style>
  <w:style w:type="paragraph" w:customStyle="1" w:styleId="13">
    <w:name w:val="List Paragraph1"/>
    <w:basedOn w:val="1"/>
    <w:qFormat/>
    <w:uiPriority w:val="0"/>
    <w:pPr>
      <w:ind w:firstLine="420" w:firstLineChars="200"/>
    </w:pPr>
    <w:rPr>
      <w:rFonts w:ascii="方正黑体_GBK" w:hAnsi="方正黑体_GBK" w:cs="宋体"/>
    </w:rPr>
  </w:style>
  <w:style w:type="character" w:customStyle="1" w:styleId="14">
    <w:name w:val="标题 Char"/>
    <w:basedOn w:val="10"/>
    <w:link w:val="8"/>
    <w:qFormat/>
    <w:uiPriority w:val="99"/>
    <w:rPr>
      <w:rFonts w:ascii="Cambria" w:hAnsi="Cambria" w:eastAsia="宋体" w:cs="宋体"/>
      <w:b/>
      <w:bCs/>
      <w:sz w:val="32"/>
      <w:szCs w:val="32"/>
    </w:rPr>
  </w:style>
  <w:style w:type="character" w:customStyle="1" w:styleId="15">
    <w:name w:val="10"/>
    <w:basedOn w:val="10"/>
    <w:qFormat/>
    <w:uiPriority w:val="0"/>
    <w:rPr>
      <w:rFonts w:hint="default" w:ascii="Calibri" w:hAnsi="Calibri"/>
    </w:rPr>
  </w:style>
  <w:style w:type="character" w:customStyle="1" w:styleId="16">
    <w:name w:val="15"/>
    <w:basedOn w:val="10"/>
    <w:qFormat/>
    <w:uiPriority w:val="0"/>
    <w:rPr>
      <w:rFonts w:hint="eastAsia" w:ascii="宋体" w:hAnsi="宋体" w:eastAsia="宋体"/>
      <w:b/>
      <w:bCs/>
      <w:color w:val="000000"/>
      <w:sz w:val="20"/>
      <w:szCs w:val="20"/>
    </w:rPr>
  </w:style>
  <w:style w:type="character" w:customStyle="1" w:styleId="17">
    <w:name w:val="16"/>
    <w:basedOn w:val="10"/>
    <w:qFormat/>
    <w:uiPriority w:val="0"/>
    <w:rPr>
      <w:rFonts w:hint="eastAsia" w:ascii="宋体" w:hAnsi="宋体" w:eastAsia="宋体"/>
      <w:b/>
      <w:bCs/>
      <w:color w:val="000000"/>
      <w:sz w:val="20"/>
      <w:szCs w:val="2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13336</Words>
  <Characters>18565</Characters>
  <Lines>138</Lines>
  <Paragraphs>38</Paragraphs>
  <TotalTime>7</TotalTime>
  <ScaleCrop>false</ScaleCrop>
  <LinksUpToDate>false</LinksUpToDate>
  <CharactersWithSpaces>18838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2022-09-16T02:46:00Z</dcterms:created>
  <dc:creator>Administrator</dc:creator>
  <cp:lastModifiedBy>WPS_1607043127</cp:lastModifiedBy>
  <dcterms:modified xsi:type="dcterms:W3CDTF">2024-01-15T01:55:41Z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BA1128A0000A48738E6D9A6162AA9549</vt:lpwstr>
  </property>
</Properties>
</file>