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r>
        <w:rPr>
          <w:rFonts w:hint="eastAsia" w:ascii="宋体-方正超大字符集" w:hAnsi="宋体-方正超大字符集"/>
          <w:b/>
          <w:bCs/>
          <w:sz w:val="36"/>
          <w:szCs w:val="36"/>
          <w:lang w:eastAsia="zh-CN"/>
        </w:rPr>
        <w:t>乐亭县发展和改革局</w:t>
      </w:r>
      <w:r>
        <w:rPr>
          <w:rFonts w:ascii="宋体-方正超大字符集" w:hAnsi="宋体-方正超大字符集"/>
          <w:b/>
          <w:bCs/>
          <w:sz w:val="36"/>
          <w:szCs w:val="36"/>
        </w:rPr>
        <w:t>2021年</w:t>
      </w:r>
      <w:r>
        <w:rPr>
          <w:rFonts w:hint="eastAsia" w:ascii="宋体-方正超大字符集" w:hAnsi="宋体-方正超大字符集"/>
          <w:b/>
          <w:bCs/>
          <w:sz w:val="36"/>
          <w:szCs w:val="36"/>
          <w:lang w:eastAsia="zh-CN"/>
        </w:rPr>
        <w:t>部门</w:t>
      </w:r>
      <w:r>
        <w:rPr>
          <w:rFonts w:ascii="宋体-方正超大字符集" w:hAnsi="宋体-方正超大字符集"/>
          <w:b/>
          <w:bCs/>
          <w:sz w:val="36"/>
          <w:szCs w:val="36"/>
        </w:rPr>
        <w:t>预算信息公开目录</w:t>
      </w:r>
    </w:p>
    <w:p>
      <w:pPr>
        <w:jc w:val="left"/>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lang w:eastAsia="zh-CN"/>
        </w:rPr>
        <w:t>部门</w:t>
      </w:r>
      <w:r>
        <w:rPr>
          <w:rFonts w:hint="eastAsia" w:asciiTheme="minorEastAsia" w:hAnsiTheme="minorEastAsia" w:eastAsiaTheme="minorEastAsia" w:cstheme="minorEastAsia"/>
          <w:b/>
          <w:sz w:val="28"/>
        </w:rPr>
        <w:t>预算公开表</w:t>
      </w:r>
    </w:p>
    <w:p>
      <w:pPr>
        <w:pStyle w:val="6"/>
        <w:tabs>
          <w:tab w:val="right" w:leader="dot" w:pos="14789"/>
        </w:tabs>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fldChar w:fldCharType="begin"/>
      </w:r>
      <w:r>
        <w:instrText xml:space="preserve"> HYPERLINK \l "_Toc65763868" </w:instrText>
      </w:r>
      <w:r>
        <w:fldChar w:fldCharType="separate"/>
      </w:r>
      <w:r>
        <w:rPr>
          <w:rStyle w:val="11"/>
          <w:rFonts w:hint="eastAsia" w:eastAsia="方正仿宋_GBK"/>
          <w:sz w:val="28"/>
          <w:u w:val="none"/>
          <w:lang w:eastAsia="zh-CN"/>
        </w:rPr>
        <w:t>部门</w:t>
      </w:r>
      <w:r>
        <w:rPr>
          <w:rStyle w:val="11"/>
          <w:rFonts w:hint="eastAsia" w:ascii="Times New Roman" w:eastAsia="方正仿宋_GBK"/>
          <w:sz w:val="28"/>
          <w:u w:val="none"/>
        </w:rPr>
        <w:t>预算收支总表</w:t>
      </w:r>
      <w:r>
        <w:rPr>
          <w:rStyle w:val="11"/>
          <w:rFonts w:hint="eastAsia" w:eastAsia="方正仿宋_GBK"/>
          <w:sz w:val="28"/>
          <w:u w:val="none"/>
          <w:lang w:val="en-US" w:eastAsia="zh-CN"/>
        </w:rPr>
        <w:t>...............................................................................................................................................................</w:t>
      </w:r>
      <w:r>
        <w:rPr>
          <w:rFonts w:hint="eastAsia" w:ascii="Times New Roman" w:eastAsia="方正仿宋_GBK"/>
          <w:sz w:val="28"/>
        </w:rPr>
        <w:t>2</w:t>
      </w:r>
      <w:r>
        <w:rPr>
          <w:rFonts w:hint="eastAsia" w:ascii="Times New Roman" w:eastAsia="方正仿宋_GBK"/>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"_Toc65763869" </w:instrText>
      </w:r>
      <w:r>
        <w:fldChar w:fldCharType="separate"/>
      </w:r>
      <w:r>
        <w:rPr>
          <w:rStyle w:val="11"/>
          <w:rFonts w:hint="eastAsia" w:eastAsia="方正仿宋_GBK"/>
          <w:sz w:val="28"/>
          <w:u w:val="none"/>
          <w:lang w:eastAsia="zh-CN"/>
        </w:rPr>
        <w:t>部门</w:t>
      </w:r>
      <w:r>
        <w:rPr>
          <w:rStyle w:val="11"/>
          <w:rFonts w:hint="eastAsia" w:ascii="Times New Roman" w:eastAsia="方正仿宋_GBK"/>
          <w:sz w:val="28"/>
          <w:u w:val="none"/>
        </w:rPr>
        <w:t>预算收入总表</w:t>
      </w:r>
      <w:r>
        <w:rPr>
          <w:rStyle w:val="11"/>
          <w:rFonts w:hint="eastAsia" w:eastAsia="方正仿宋_GBK"/>
          <w:sz w:val="28"/>
          <w:u w:val="none"/>
          <w:lang w:val="en-US" w:eastAsia="zh-CN"/>
        </w:rPr>
        <w:t>...............................................................................................................................................................</w:t>
      </w:r>
      <w:r>
        <w:rPr>
          <w:rFonts w:hint="eastAsia" w:eastAsia="方正仿宋_GBK"/>
          <w:sz w:val="28"/>
          <w:lang w:val="en-US" w:eastAsia="zh-CN"/>
        </w:rPr>
        <w:t>4</w:t>
      </w:r>
      <w:r>
        <w:rPr>
          <w:rFonts w:ascii="Times New Roman" w:eastAsia="方正仿宋_GBK"/>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"_Toc65763870" </w:instrText>
      </w:r>
      <w:r>
        <w:fldChar w:fldCharType="separate"/>
      </w:r>
      <w:r>
        <w:rPr>
          <w:rStyle w:val="11"/>
          <w:rFonts w:hint="eastAsia" w:eastAsia="方正仿宋_GBK"/>
          <w:sz w:val="28"/>
          <w:u w:val="none"/>
          <w:lang w:eastAsia="zh-CN"/>
        </w:rPr>
        <w:t>部门</w:t>
      </w:r>
      <w:r>
        <w:rPr>
          <w:rStyle w:val="11"/>
          <w:rFonts w:hint="eastAsia" w:ascii="Times New Roman" w:eastAsia="方正仿宋_GBK"/>
          <w:sz w:val="28"/>
          <w:u w:val="none"/>
        </w:rPr>
        <w:t>预算支出总表</w:t>
      </w:r>
      <w:r>
        <w:rPr>
          <w:rFonts w:ascii="Times New Roman" w:eastAsia="方正仿宋_GBK"/>
          <w:sz w:val="28"/>
        </w:rPr>
        <w:fldChar w:fldCharType="end"/>
      </w:r>
      <w:r>
        <w:rPr>
          <w:rFonts w:hint="eastAsia" w:eastAsia="方正仿宋_GBK"/>
          <w:sz w:val="28"/>
          <w:lang w:val="en-US" w:eastAsia="zh-CN"/>
        </w:rPr>
        <w:t>...............................................................................................................................................................6</w:t>
      </w:r>
      <w:r>
        <w:fldChar w:fldCharType="begin"/>
      </w:r>
      <w:r>
        <w:instrText xml:space="preserve"> HYPERLINK \l "_Toc65763871" </w:instrText>
      </w:r>
      <w:r>
        <w:fldChar w:fldCharType="separate"/>
      </w:r>
      <w:r>
        <w:rPr>
          <w:rStyle w:val="11"/>
          <w:rFonts w:hint="eastAsia" w:eastAsia="方正仿宋_GBK"/>
          <w:sz w:val="28"/>
          <w:u w:val="none"/>
          <w:lang w:eastAsia="zh-CN"/>
        </w:rPr>
        <w:t>部门</w:t>
      </w:r>
      <w:r>
        <w:rPr>
          <w:rStyle w:val="11"/>
          <w:rFonts w:hint="eastAsia" w:ascii="Times New Roman" w:eastAsia="方正仿宋_GBK"/>
          <w:sz w:val="28"/>
          <w:u w:val="none"/>
        </w:rPr>
        <w:t>预算财政拨款收支总表</w:t>
      </w:r>
      <w:r>
        <w:rPr>
          <w:rStyle w:val="11"/>
          <w:rFonts w:hint="eastAsia" w:eastAsia="方正仿宋_GBK"/>
          <w:sz w:val="28"/>
          <w:u w:val="none"/>
          <w:lang w:val="en-US" w:eastAsia="zh-CN"/>
        </w:rPr>
        <w:t>...............................................................................................................................................</w:t>
      </w:r>
      <w:r>
        <w:rPr>
          <w:rFonts w:hint="eastAsia" w:eastAsia="方正仿宋_GBK"/>
          <w:sz w:val="28"/>
          <w:lang w:val="en-US" w:eastAsia="zh-CN"/>
        </w:rPr>
        <w:t>8</w:t>
      </w:r>
      <w:r>
        <w:rPr>
          <w:rFonts w:ascii="Times New Roman" w:eastAsia="方正仿宋_GBK"/>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"_Toc65763872" </w:instrText>
      </w:r>
      <w:r>
        <w:fldChar w:fldCharType="separate"/>
      </w:r>
      <w:r>
        <w:rPr>
          <w:rStyle w:val="11"/>
          <w:rFonts w:hint="eastAsia" w:eastAsia="方正仿宋_GBK"/>
          <w:sz w:val="28"/>
          <w:u w:val="none"/>
          <w:lang w:eastAsia="zh-CN"/>
        </w:rPr>
        <w:t>部门</w:t>
      </w:r>
      <w:r>
        <w:rPr>
          <w:rStyle w:val="11"/>
          <w:rFonts w:hint="eastAsia" w:ascii="Times New Roman" w:eastAsia="方正仿宋_GBK"/>
          <w:sz w:val="28"/>
          <w:u w:val="none"/>
        </w:rPr>
        <w:t>预算一般公共预算财政拨款支出表</w:t>
      </w:r>
      <w:r>
        <w:rPr>
          <w:rStyle w:val="11"/>
          <w:rFonts w:hint="eastAsia"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_Toc65763872 \h </w:instrText>
      </w:r>
      <w:r>
        <w:rPr>
          <w:rFonts w:ascii="Times New Roman" w:eastAsia="方正仿宋_GBK"/>
          <w:sz w:val="28"/>
        </w:rPr>
        <w:fldChar w:fldCharType="separate"/>
      </w:r>
      <w:r>
        <w:rPr>
          <w:rFonts w:ascii="Times New Roman" w:eastAsia="方正仿宋_GBK"/>
          <w:sz w:val="28"/>
        </w:rPr>
        <w:t>10</w:t>
      </w:r>
      <w:r>
        <w:rPr>
          <w:rFonts w:ascii="Times New Roman" w:eastAsia="方正仿宋_GBK"/>
          <w:sz w:val="28"/>
        </w:rPr>
        <w:fldChar w:fldCharType="end"/>
      </w:r>
      <w:r>
        <w:rPr>
          <w:rFonts w:ascii="Times New Roman" w:eastAsia="方正仿宋_GBK"/>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"_Toc65763873" </w:instrText>
      </w:r>
      <w:r>
        <w:fldChar w:fldCharType="separate"/>
      </w:r>
      <w:r>
        <w:rPr>
          <w:rStyle w:val="11"/>
          <w:rFonts w:hint="eastAsia" w:eastAsia="方正仿宋_GBK"/>
          <w:sz w:val="28"/>
          <w:u w:val="none"/>
          <w:lang w:eastAsia="zh-CN"/>
        </w:rPr>
        <w:t>部门</w:t>
      </w:r>
      <w:r>
        <w:rPr>
          <w:rStyle w:val="11"/>
          <w:rFonts w:hint="eastAsia" w:ascii="Times New Roman" w:eastAsia="方正仿宋_GBK"/>
          <w:sz w:val="28"/>
          <w:u w:val="none"/>
        </w:rPr>
        <w:t>预算一般公共预算财政拨款基本支出表</w:t>
      </w:r>
      <w:r>
        <w:rPr>
          <w:rStyle w:val="11"/>
          <w:rFonts w:hint="eastAsia"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_Toc65763873 \h </w:instrText>
      </w:r>
      <w:r>
        <w:rPr>
          <w:rFonts w:ascii="Times New Roman" w:eastAsia="方正仿宋_GBK"/>
          <w:sz w:val="28"/>
        </w:rPr>
        <w:fldChar w:fldCharType="separate"/>
      </w:r>
      <w:r>
        <w:rPr>
          <w:rFonts w:ascii="Times New Roman" w:eastAsia="方正仿宋_GBK"/>
          <w:sz w:val="28"/>
        </w:rPr>
        <w:t>12</w:t>
      </w:r>
      <w:r>
        <w:rPr>
          <w:rFonts w:ascii="Times New Roman" w:eastAsia="方正仿宋_GBK"/>
          <w:sz w:val="28"/>
        </w:rPr>
        <w:fldChar w:fldCharType="end"/>
      </w:r>
      <w:r>
        <w:rPr>
          <w:rFonts w:ascii="Times New Roman" w:eastAsia="方正仿宋_GBK"/>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"_Toc65763874" </w:instrText>
      </w:r>
      <w:r>
        <w:fldChar w:fldCharType="separate"/>
      </w:r>
      <w:r>
        <w:rPr>
          <w:rStyle w:val="11"/>
          <w:rFonts w:hint="eastAsia" w:eastAsia="方正仿宋_GBK"/>
          <w:sz w:val="28"/>
          <w:u w:val="none"/>
          <w:lang w:eastAsia="zh-CN"/>
        </w:rPr>
        <w:t>部门</w:t>
      </w:r>
      <w:r>
        <w:rPr>
          <w:rStyle w:val="11"/>
          <w:rFonts w:hint="eastAsia" w:ascii="Times New Roman" w:eastAsia="方正仿宋_GBK"/>
          <w:sz w:val="28"/>
          <w:u w:val="none"/>
        </w:rPr>
        <w:t>预算政府基金预算财政拨款支出表</w:t>
      </w:r>
      <w:r>
        <w:rPr>
          <w:rStyle w:val="11"/>
          <w:rFonts w:hint="eastAsia"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_Toc65763874 \h </w:instrText>
      </w:r>
      <w:r>
        <w:rPr>
          <w:rFonts w:ascii="Times New Roman" w:eastAsia="方正仿宋_GBK"/>
          <w:sz w:val="28"/>
        </w:rPr>
        <w:fldChar w:fldCharType="separate"/>
      </w:r>
      <w:r>
        <w:rPr>
          <w:rFonts w:ascii="Times New Roman" w:eastAsia="方正仿宋_GBK"/>
          <w:sz w:val="28"/>
        </w:rPr>
        <w:t>14</w:t>
      </w:r>
      <w:r>
        <w:rPr>
          <w:rFonts w:ascii="Times New Roman" w:eastAsia="方正仿宋_GBK"/>
          <w:sz w:val="28"/>
        </w:rPr>
        <w:fldChar w:fldCharType="end"/>
      </w:r>
      <w:r>
        <w:rPr>
          <w:rFonts w:ascii="Times New Roman" w:eastAsia="方正仿宋_GBK"/>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"_Toc65763875" </w:instrText>
      </w:r>
      <w:r>
        <w:fldChar w:fldCharType="separate"/>
      </w:r>
      <w:r>
        <w:rPr>
          <w:rStyle w:val="11"/>
          <w:rFonts w:hint="eastAsia" w:eastAsia="方正仿宋_GBK"/>
          <w:sz w:val="28"/>
          <w:u w:val="none"/>
          <w:lang w:eastAsia="zh-CN"/>
        </w:rPr>
        <w:t>部门</w:t>
      </w:r>
      <w:r>
        <w:rPr>
          <w:rStyle w:val="11"/>
          <w:rFonts w:hint="eastAsia" w:ascii="Times New Roman" w:eastAsia="方正仿宋_GBK"/>
          <w:sz w:val="28"/>
          <w:u w:val="none"/>
        </w:rPr>
        <w:t>预算国有资本经营预算财政拨款支出表</w:t>
      </w:r>
      <w:r>
        <w:rPr>
          <w:rStyle w:val="11"/>
          <w:rFonts w:hint="eastAsia"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_Toc65763875 \h </w:instrText>
      </w:r>
      <w:r>
        <w:rPr>
          <w:rFonts w:ascii="Times New Roman" w:eastAsia="方正仿宋_GBK"/>
          <w:sz w:val="28"/>
        </w:rPr>
        <w:fldChar w:fldCharType="separate"/>
      </w:r>
      <w:r>
        <w:rPr>
          <w:rFonts w:ascii="Times New Roman" w:eastAsia="方正仿宋_GBK"/>
          <w:sz w:val="28"/>
        </w:rPr>
        <w:t>15</w:t>
      </w:r>
      <w:r>
        <w:rPr>
          <w:rFonts w:ascii="Times New Roman" w:eastAsia="方正仿宋_GBK"/>
          <w:sz w:val="28"/>
        </w:rPr>
        <w:fldChar w:fldCharType="end"/>
      </w:r>
      <w:r>
        <w:rPr>
          <w:rFonts w:ascii="Times New Roman" w:eastAsia="方正仿宋_GBK"/>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"_Toc65763876" </w:instrText>
      </w:r>
      <w:r>
        <w:fldChar w:fldCharType="separate"/>
      </w:r>
      <w:r>
        <w:rPr>
          <w:rStyle w:val="11"/>
          <w:rFonts w:hint="eastAsia" w:eastAsia="方正仿宋_GBK"/>
          <w:sz w:val="28"/>
          <w:u w:val="none"/>
          <w:lang w:eastAsia="zh-CN"/>
        </w:rPr>
        <w:t>部门</w:t>
      </w:r>
      <w:r>
        <w:rPr>
          <w:rStyle w:val="11"/>
          <w:rFonts w:hint="eastAsia" w:ascii="Times New Roman" w:eastAsia="方正仿宋_GBK"/>
          <w:sz w:val="28"/>
          <w:u w:val="none"/>
        </w:rPr>
        <w:t>预算财政拨款“三公”经费支出表</w:t>
      </w:r>
      <w:r>
        <w:rPr>
          <w:rStyle w:val="11"/>
          <w:rFonts w:hint="eastAsia"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_Toc65763876 \h </w:instrText>
      </w:r>
      <w:r>
        <w:rPr>
          <w:rFonts w:ascii="Times New Roman" w:eastAsia="方正仿宋_GBK"/>
          <w:sz w:val="28"/>
        </w:rPr>
        <w:fldChar w:fldCharType="separate"/>
      </w:r>
      <w:r>
        <w:rPr>
          <w:rFonts w:ascii="Times New Roman" w:eastAsia="方正仿宋_GBK"/>
          <w:sz w:val="28"/>
        </w:rPr>
        <w:t>16</w:t>
      </w:r>
      <w:r>
        <w:rPr>
          <w:rFonts w:ascii="Times New Roman" w:eastAsia="方正仿宋_GBK"/>
          <w:sz w:val="28"/>
        </w:rPr>
        <w:fldChar w:fldCharType="end"/>
      </w:r>
      <w:r>
        <w:rPr>
          <w:rFonts w:ascii="Times New Roman" w:eastAsia="方正仿宋_GBK"/>
          <w:sz w:val="28"/>
        </w:rPr>
        <w:fldChar w:fldCharType="end"/>
      </w:r>
    </w:p>
    <w:p>
      <w:pPr>
        <w:ind w:left="420" w:leftChars="200"/>
        <w:jc w:val="center"/>
        <w:rPr>
          <w:rFonts w:ascii="Times New Roman" w:hAnsi="宋体"/>
        </w:rPr>
      </w:pPr>
      <w:r>
        <w:rPr>
          <w:rFonts w:ascii="Times New Roman" w:eastAsia="方正仿宋_GBK"/>
          <w:sz w:val="28"/>
        </w:rPr>
        <w:fldChar w:fldCharType="end"/>
      </w:r>
    </w:p>
    <w:p>
      <w:pPr>
        <w:jc w:val="left"/>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lang w:eastAsia="zh-CN"/>
        </w:rPr>
        <w:t>部门</w:t>
      </w:r>
      <w:r>
        <w:rPr>
          <w:rFonts w:hint="eastAsia" w:asciiTheme="minorEastAsia" w:hAnsiTheme="minorEastAsia" w:eastAsiaTheme="minorEastAsia" w:cstheme="minorEastAsia"/>
          <w:b/>
          <w:sz w:val="28"/>
        </w:rPr>
        <w:t>预算信息公开情况说明</w:t>
      </w:r>
    </w:p>
    <w:p>
      <w:pPr>
        <w:pStyle w:val="3"/>
        <w:tabs>
          <w:tab w:val="right" w:leader="dot" w:pos="14789"/>
        </w:tabs>
        <w:ind w:left="420" w:leftChars="200"/>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fldChar w:fldCharType="begin"/>
      </w:r>
      <w:r>
        <w:instrText xml:space="preserve"> HYPERLINK \l "_Toc65763877" </w:instrText>
      </w:r>
      <w:r>
        <w:fldChar w:fldCharType="separate"/>
      </w:r>
      <w:r>
        <w:rPr>
          <w:rStyle w:val="11"/>
          <w:rFonts w:hint="eastAsia" w:ascii="Times New Roman" w:hAnsi="黑体" w:eastAsia="方正仿宋_GBK"/>
          <w:sz w:val="28"/>
          <w:u w:val="none"/>
        </w:rPr>
        <w:t>一、</w:t>
      </w:r>
      <w:r>
        <w:rPr>
          <w:rStyle w:val="11"/>
          <w:rFonts w:hint="eastAsia" w:hAnsi="黑体" w:eastAsia="方正仿宋_GBK"/>
          <w:sz w:val="28"/>
          <w:u w:val="none"/>
          <w:lang w:eastAsia="zh-CN"/>
        </w:rPr>
        <w:t>部门</w:t>
      </w:r>
      <w:r>
        <w:rPr>
          <w:rStyle w:val="11"/>
          <w:rFonts w:hint="eastAsia" w:ascii="Times New Roman" w:hAnsi="黑体" w:eastAsia="方正仿宋_GBK"/>
          <w:sz w:val="28"/>
          <w:u w:val="none"/>
        </w:rPr>
        <w:t>职责及机构设置情况</w:t>
      </w:r>
      <w:r>
        <w:rPr>
          <w:rStyle w:val="11"/>
          <w:rFonts w:hint="eastAsia" w:hAnsi="黑体"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_Toc65763877 \h </w:instrText>
      </w:r>
      <w:r>
        <w:rPr>
          <w:rFonts w:ascii="Times New Roman" w:eastAsia="方正仿宋_GBK"/>
          <w:sz w:val="28"/>
        </w:rPr>
        <w:fldChar w:fldCharType="separate"/>
      </w:r>
      <w:r>
        <w:rPr>
          <w:rFonts w:ascii="Times New Roman" w:eastAsia="方正仿宋_GBK"/>
          <w:sz w:val="28"/>
        </w:rPr>
        <w:t>17</w:t>
      </w:r>
      <w:r>
        <w:rPr>
          <w:rFonts w:ascii="Times New Roman" w:eastAsia="方正仿宋_GBK"/>
          <w:sz w:val="28"/>
        </w:rPr>
        <w:fldChar w:fldCharType="end"/>
      </w:r>
      <w:r>
        <w:rPr>
          <w:rFonts w:ascii="Times New Roman" w:eastAsia="方正仿宋_GBK"/>
          <w:sz w:val="28"/>
        </w:rPr>
        <w:fldChar w:fldCharType="end"/>
      </w:r>
    </w:p>
    <w:p>
      <w:pPr>
        <w:pStyle w:val="3"/>
        <w:tabs>
          <w:tab w:val="right" w:leader="dot" w:pos="14789"/>
        </w:tabs>
        <w:ind w:left="420" w:leftChars="200"/>
        <w:jc w:val="cente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3"/>
        <w:tabs>
          <w:tab w:val="right" w:leader="dot" w:pos="14789"/>
        </w:tabs>
        <w:ind w:left="420" w:leftChars="200"/>
        <w:jc w:val="center"/>
        <w:rPr>
          <w:rFonts w:ascii="Times New Roman" w:eastAsia="方正仿宋_GBK"/>
          <w:sz w:val="28"/>
        </w:rPr>
      </w:pPr>
      <w:r>
        <w:fldChar w:fldCharType="begin"/>
      </w:r>
      <w:r>
        <w:instrText xml:space="preserve"> HYPERLINK \l "_Toc65763878" </w:instrText>
      </w:r>
      <w:r>
        <w:fldChar w:fldCharType="separate"/>
      </w:r>
      <w:r>
        <w:rPr>
          <w:rStyle w:val="11"/>
          <w:rFonts w:hint="eastAsia" w:ascii="Times New Roman" w:hAnsi="黑体" w:eastAsia="方正仿宋_GBK"/>
          <w:sz w:val="28"/>
          <w:u w:val="none"/>
        </w:rPr>
        <w:t>二、</w:t>
      </w:r>
      <w:r>
        <w:rPr>
          <w:rStyle w:val="11"/>
          <w:rFonts w:hint="eastAsia" w:hAnsi="黑体" w:eastAsia="方正仿宋_GBK"/>
          <w:sz w:val="28"/>
          <w:u w:val="none"/>
          <w:lang w:eastAsia="zh-CN"/>
        </w:rPr>
        <w:t>部门</w:t>
      </w:r>
      <w:r>
        <w:rPr>
          <w:rStyle w:val="11"/>
          <w:rFonts w:hint="eastAsia" w:ascii="Times New Roman" w:hAnsi="黑体" w:eastAsia="方正仿宋_GBK"/>
          <w:sz w:val="28"/>
          <w:u w:val="none"/>
        </w:rPr>
        <w:t>预算安排的总体情况</w:t>
      </w:r>
      <w:r>
        <w:rPr>
          <w:rStyle w:val="11"/>
          <w:rFonts w:hint="eastAsia" w:hAnsi="黑体" w:eastAsia="方正仿宋_GBK"/>
          <w:sz w:val="28"/>
          <w:u w:val="none"/>
          <w:lang w:val="en-US" w:eastAsia="zh-CN"/>
        </w:rPr>
        <w:t>.........................................................................................................................................</w:t>
      </w:r>
      <w:r>
        <w:rPr>
          <w:rFonts w:hint="eastAsia" w:ascii="Times New Roman" w:eastAsia="方正仿宋_GBK"/>
          <w:sz w:val="28"/>
        </w:rPr>
        <w:t>2</w:t>
      </w:r>
      <w:r>
        <w:rPr>
          <w:rFonts w:hint="eastAsia" w:eastAsia="方正仿宋_GBK"/>
          <w:sz w:val="28"/>
          <w:lang w:val="en-US" w:eastAsia="zh-CN"/>
        </w:rPr>
        <w:t>1</w:t>
      </w:r>
      <w:r>
        <w:rPr>
          <w:rFonts w:hint="eastAsia" w:ascii="Times New Roman" w:eastAsia="方正仿宋_GBK"/>
          <w:sz w:val="28"/>
        </w:rPr>
        <w:fldChar w:fldCharType="end"/>
      </w:r>
    </w:p>
    <w:p>
      <w:pPr>
        <w:pStyle w:val="3"/>
        <w:tabs>
          <w:tab w:val="right" w:leader="dot" w:pos="14789"/>
        </w:tabs>
        <w:ind w:left="420" w:leftChars="200"/>
        <w:jc w:val="center"/>
        <w:rPr>
          <w:rFonts w:ascii="Times New Roman" w:eastAsia="方正仿宋_GBK"/>
          <w:sz w:val="28"/>
        </w:rPr>
      </w:pPr>
      <w:r>
        <w:fldChar w:fldCharType="begin"/>
      </w:r>
      <w:r>
        <w:instrText xml:space="preserve"> HYPERLINK \l "_Toc65763879" </w:instrText>
      </w:r>
      <w:r>
        <w:fldChar w:fldCharType="separate"/>
      </w:r>
      <w:r>
        <w:rPr>
          <w:rStyle w:val="11"/>
          <w:rFonts w:hint="eastAsia" w:ascii="Times New Roman" w:hAnsi="黑体" w:eastAsia="方正仿宋_GBK"/>
          <w:sz w:val="28"/>
          <w:u w:val="none"/>
        </w:rPr>
        <w:t>三、机关运行经费安排情况</w:t>
      </w:r>
      <w:r>
        <w:rPr>
          <w:rStyle w:val="11"/>
          <w:rFonts w:hint="eastAsia" w:hAnsi="黑体" w:eastAsia="方正仿宋_GBK"/>
          <w:sz w:val="28"/>
          <w:u w:val="none"/>
          <w:lang w:val="en-US" w:eastAsia="zh-CN"/>
        </w:rPr>
        <w:t>.............................................................................................................................................2</w:t>
      </w:r>
      <w:r>
        <w:rPr>
          <w:rFonts w:hint="eastAsia" w:eastAsia="方正仿宋_GBK"/>
          <w:sz w:val="28"/>
          <w:lang w:val="en-US" w:eastAsia="zh-CN"/>
        </w:rPr>
        <w:t>2</w:t>
      </w:r>
      <w:r>
        <w:rPr>
          <w:rFonts w:hint="eastAsia" w:ascii="Times New Roman" w:eastAsia="方正仿宋_GBK"/>
          <w:sz w:val="28"/>
        </w:rPr>
        <w:fldChar w:fldCharType="end"/>
      </w:r>
    </w:p>
    <w:p>
      <w:pPr>
        <w:pStyle w:val="3"/>
        <w:tabs>
          <w:tab w:val="right" w:leader="dot" w:pos="14789"/>
        </w:tabs>
        <w:ind w:left="420" w:leftChars="200"/>
        <w:jc w:val="center"/>
        <w:rPr>
          <w:rFonts w:ascii="Times New Roman" w:eastAsia="方正仿宋_GBK"/>
          <w:sz w:val="28"/>
        </w:rPr>
      </w:pPr>
      <w:r>
        <w:fldChar w:fldCharType="begin"/>
      </w:r>
      <w:r>
        <w:instrText xml:space="preserve"> HYPERLINK \l "_Toc65763880" </w:instrText>
      </w:r>
      <w:r>
        <w:fldChar w:fldCharType="separate"/>
      </w:r>
      <w:r>
        <w:rPr>
          <w:rStyle w:val="11"/>
          <w:rFonts w:hint="eastAsia" w:ascii="Times New Roman" w:hAnsi="黑体" w:eastAsia="方正仿宋_GBK"/>
          <w:sz w:val="28"/>
          <w:u w:val="none"/>
        </w:rPr>
        <w:t>四、财政拨款</w:t>
      </w:r>
      <w:r>
        <w:rPr>
          <w:rStyle w:val="11"/>
          <w:rFonts w:ascii="Times New Roman" w:hAnsi="黑体" w:eastAsia="方正仿宋_GBK"/>
          <w:sz w:val="28"/>
          <w:u w:val="none"/>
        </w:rPr>
        <w:t>“</w:t>
      </w:r>
      <w:r>
        <w:rPr>
          <w:rStyle w:val="11"/>
          <w:rFonts w:hint="eastAsia" w:ascii="Times New Roman" w:hAnsi="黑体" w:eastAsia="方正仿宋_GBK"/>
          <w:sz w:val="28"/>
          <w:u w:val="none"/>
        </w:rPr>
        <w:t>三公</w:t>
      </w:r>
      <w:r>
        <w:rPr>
          <w:rStyle w:val="11"/>
          <w:rFonts w:ascii="Times New Roman" w:hAnsi="黑体" w:eastAsia="方正仿宋_GBK"/>
          <w:sz w:val="28"/>
          <w:u w:val="none"/>
        </w:rPr>
        <w:t>”</w:t>
      </w:r>
      <w:r>
        <w:rPr>
          <w:rStyle w:val="11"/>
          <w:rFonts w:hint="eastAsia" w:ascii="Times New Roman" w:hAnsi="黑体" w:eastAsia="方正仿宋_GBK"/>
          <w:sz w:val="28"/>
          <w:u w:val="none"/>
        </w:rPr>
        <w:t>经费预算情况及增减变化原因</w:t>
      </w:r>
      <w:r>
        <w:rPr>
          <w:rStyle w:val="11"/>
          <w:rFonts w:hint="eastAsia" w:hAnsi="黑体" w:eastAsia="方正仿宋_GBK"/>
          <w:sz w:val="28"/>
          <w:u w:val="none"/>
          <w:lang w:val="en-US" w:eastAsia="zh-CN"/>
        </w:rPr>
        <w:t>.................................................................................................</w:t>
      </w:r>
      <w:r>
        <w:rPr>
          <w:rFonts w:hint="eastAsia" w:ascii="Times New Roman" w:eastAsia="方正仿宋_GBK"/>
          <w:sz w:val="28"/>
        </w:rPr>
        <w:t>2</w:t>
      </w:r>
      <w:r>
        <w:rPr>
          <w:rFonts w:hint="eastAsia" w:eastAsia="方正仿宋_GBK"/>
          <w:sz w:val="28"/>
          <w:lang w:val="en-US" w:eastAsia="zh-CN"/>
        </w:rPr>
        <w:t>3</w:t>
      </w:r>
      <w:r>
        <w:rPr>
          <w:rFonts w:hint="eastAsia" w:ascii="Times New Roman" w:eastAsia="方正仿宋_GBK"/>
          <w:sz w:val="28"/>
        </w:rPr>
        <w:fldChar w:fldCharType="end"/>
      </w:r>
    </w:p>
    <w:p>
      <w:pPr>
        <w:pStyle w:val="3"/>
        <w:tabs>
          <w:tab w:val="right" w:leader="dot" w:pos="14789"/>
        </w:tabs>
        <w:ind w:left="420" w:leftChars="200"/>
        <w:jc w:val="center"/>
        <w:rPr>
          <w:rFonts w:ascii="Times New Roman" w:eastAsia="方正仿宋_GBK"/>
          <w:sz w:val="28"/>
        </w:rPr>
      </w:pPr>
      <w:r>
        <w:fldChar w:fldCharType="begin"/>
      </w:r>
      <w:r>
        <w:instrText xml:space="preserve"> HYPERLINK \l "_Toc65763881" </w:instrText>
      </w:r>
      <w:r>
        <w:fldChar w:fldCharType="separate"/>
      </w:r>
      <w:r>
        <w:rPr>
          <w:rStyle w:val="11"/>
          <w:rFonts w:hint="eastAsia" w:ascii="Times New Roman" w:hAnsi="黑体" w:eastAsia="方正仿宋_GBK"/>
          <w:sz w:val="28"/>
          <w:u w:val="none"/>
        </w:rPr>
        <w:t>五、预算绩效信息</w:t>
      </w:r>
      <w:r>
        <w:rPr>
          <w:rStyle w:val="11"/>
          <w:rFonts w:hint="eastAsia" w:hAnsi="黑体" w:eastAsia="方正仿宋_GBK"/>
          <w:sz w:val="28"/>
          <w:u w:val="none"/>
          <w:lang w:val="en-US" w:eastAsia="zh-CN"/>
        </w:rPr>
        <w:t>.............................................................................................................................................................</w:t>
      </w:r>
      <w:r>
        <w:rPr>
          <w:rFonts w:hint="eastAsia" w:ascii="Times New Roman" w:eastAsia="方正仿宋_GBK"/>
          <w:sz w:val="28"/>
        </w:rPr>
        <w:t>2</w:t>
      </w:r>
      <w:r>
        <w:rPr>
          <w:rFonts w:hint="eastAsia" w:eastAsia="方正仿宋_GBK"/>
          <w:sz w:val="28"/>
          <w:lang w:val="en-US" w:eastAsia="zh-CN"/>
        </w:rPr>
        <w:t>3</w:t>
      </w:r>
      <w:r>
        <w:rPr>
          <w:rFonts w:hint="eastAsia" w:ascii="Times New Roman" w:eastAsia="方正仿宋_GBK"/>
          <w:sz w:val="28"/>
        </w:rPr>
        <w:fldChar w:fldCharType="end"/>
      </w:r>
    </w:p>
    <w:p>
      <w:pPr>
        <w:pStyle w:val="3"/>
        <w:tabs>
          <w:tab w:val="right" w:leader="dot" w:pos="14789"/>
        </w:tabs>
        <w:ind w:left="420" w:leftChars="200"/>
        <w:jc w:val="center"/>
      </w:pPr>
      <w:r>
        <w:fldChar w:fldCharType="begin"/>
      </w:r>
      <w:r>
        <w:instrText xml:space="preserve"> HYPERLINK \l "_Toc65763882" </w:instrText>
      </w:r>
      <w:r>
        <w:fldChar w:fldCharType="separate"/>
      </w:r>
      <w:r>
        <w:rPr>
          <w:rStyle w:val="11"/>
          <w:rFonts w:hint="eastAsia" w:ascii="Times New Roman" w:eastAsia="方正仿宋_GBK"/>
          <w:sz w:val="28"/>
          <w:u w:val="none"/>
        </w:rPr>
        <w:t>六、</w:t>
      </w:r>
      <w:r>
        <w:rPr>
          <w:rStyle w:val="11"/>
          <w:rFonts w:hint="eastAsia" w:eastAsia="方正仿宋_GBK"/>
          <w:sz w:val="28"/>
          <w:u w:val="none"/>
          <w:lang w:eastAsia="zh-CN"/>
        </w:rPr>
        <w:t>政府采购预算</w:t>
      </w:r>
      <w:r>
        <w:rPr>
          <w:rStyle w:val="11"/>
          <w:rFonts w:hint="eastAsia" w:ascii="Times New Roman" w:eastAsia="方正仿宋_GBK"/>
          <w:sz w:val="28"/>
          <w:u w:val="none"/>
        </w:rPr>
        <w:t>情况</w:t>
      </w:r>
      <w:r>
        <w:rPr>
          <w:rStyle w:val="11"/>
          <w:rFonts w:hint="eastAsia"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_Toc65763882 \h </w:instrText>
      </w:r>
      <w:r>
        <w:rPr>
          <w:rFonts w:ascii="Times New Roman" w:eastAsia="方正仿宋_GBK"/>
          <w:sz w:val="28"/>
        </w:rPr>
        <w:fldChar w:fldCharType="separate"/>
      </w:r>
      <w:r>
        <w:rPr>
          <w:rFonts w:hint="eastAsia" w:ascii="Times New Roman" w:eastAsia="方正仿宋_GBK"/>
          <w:sz w:val="28"/>
        </w:rPr>
        <w:t>3</w:t>
      </w:r>
      <w:r>
        <w:rPr>
          <w:rFonts w:ascii="Times New Roman" w:eastAsia="方正仿宋_GBK"/>
          <w:sz w:val="28"/>
        </w:rPr>
        <w:t>7</w:t>
      </w:r>
      <w:r>
        <w:rPr>
          <w:rFonts w:ascii="Times New Roman" w:eastAsia="方正仿宋_GBK"/>
          <w:sz w:val="28"/>
        </w:rPr>
        <w:fldChar w:fldCharType="end"/>
      </w:r>
      <w:r>
        <w:rPr>
          <w:rFonts w:ascii="Times New Roman" w:eastAsia="方正仿宋_GBK"/>
          <w:sz w:val="28"/>
        </w:rPr>
        <w:fldChar w:fldCharType="end"/>
      </w:r>
    </w:p>
    <w:p>
      <w:pPr>
        <w:pStyle w:val="3"/>
        <w:tabs>
          <w:tab w:val="right" w:leader="dot" w:pos="14789"/>
        </w:tabs>
        <w:ind w:left="420" w:leftChars="200"/>
        <w:jc w:val="center"/>
        <w:rPr>
          <w:rFonts w:ascii="Times New Roman" w:eastAsia="方正仿宋_GBK"/>
          <w:sz w:val="28"/>
        </w:rPr>
      </w:pPr>
      <w:r>
        <w:fldChar w:fldCharType="begin"/>
      </w:r>
      <w:r>
        <w:instrText xml:space="preserve"> HYPERLINK \l "_Toc65763882" </w:instrText>
      </w:r>
      <w:r>
        <w:fldChar w:fldCharType="separate"/>
      </w:r>
      <w:r>
        <w:rPr>
          <w:rStyle w:val="11"/>
          <w:rFonts w:hint="eastAsia" w:ascii="Times New Roman" w:eastAsia="方正仿宋_GBK"/>
          <w:sz w:val="28"/>
          <w:u w:val="none"/>
          <w:lang w:eastAsia="zh-CN"/>
        </w:rPr>
        <w:t>七</w:t>
      </w:r>
      <w:r>
        <w:rPr>
          <w:rStyle w:val="11"/>
          <w:rFonts w:hint="eastAsia" w:ascii="Times New Roman" w:eastAsia="方正仿宋_GBK"/>
          <w:sz w:val="28"/>
          <w:u w:val="none"/>
        </w:rPr>
        <w:t>、</w:t>
      </w:r>
      <w:r>
        <w:rPr>
          <w:rStyle w:val="11"/>
          <w:rFonts w:hint="eastAsia" w:eastAsia="方正仿宋_GBK"/>
          <w:sz w:val="28"/>
          <w:u w:val="none"/>
          <w:lang w:eastAsia="zh-CN"/>
        </w:rPr>
        <w:t>国有资产信息</w:t>
      </w:r>
      <w:r>
        <w:rPr>
          <w:rStyle w:val="11"/>
          <w:rFonts w:hint="eastAsia"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_Toc65763882 \h </w:instrText>
      </w:r>
      <w:r>
        <w:rPr>
          <w:rFonts w:ascii="Times New Roman" w:eastAsia="方正仿宋_GBK"/>
          <w:sz w:val="28"/>
        </w:rPr>
        <w:fldChar w:fldCharType="separate"/>
      </w:r>
      <w:r>
        <w:rPr>
          <w:rFonts w:hint="eastAsia" w:ascii="Times New Roman" w:eastAsia="方正仿宋_GBK"/>
          <w:sz w:val="28"/>
        </w:rPr>
        <w:t>3</w:t>
      </w:r>
      <w:r>
        <w:rPr>
          <w:rFonts w:hint="eastAsia" w:eastAsia="方正仿宋_GBK"/>
          <w:sz w:val="28"/>
          <w:lang w:val="en-US" w:eastAsia="zh-CN"/>
        </w:rPr>
        <w:t>8</w:t>
      </w:r>
      <w:r>
        <w:rPr>
          <w:rFonts w:ascii="Times New Roman" w:eastAsia="方正仿宋_GBK"/>
          <w:sz w:val="28"/>
        </w:rPr>
        <w:fldChar w:fldCharType="end"/>
      </w:r>
      <w:r>
        <w:rPr>
          <w:rFonts w:ascii="Times New Roman" w:eastAsia="方正仿宋_GBK"/>
          <w:sz w:val="28"/>
        </w:rPr>
        <w:fldChar w:fldCharType="end"/>
      </w:r>
    </w:p>
    <w:p>
      <w:pPr>
        <w:pStyle w:val="3"/>
        <w:tabs>
          <w:tab w:val="right" w:leader="dot" w:pos="14789"/>
        </w:tabs>
        <w:ind w:left="420" w:leftChars="200"/>
        <w:jc w:val="center"/>
        <w:rPr>
          <w:rFonts w:ascii="Times New Roman" w:eastAsia="方正仿宋_GBK"/>
          <w:sz w:val="28"/>
        </w:rPr>
      </w:pPr>
      <w:r>
        <w:fldChar w:fldCharType="begin"/>
      </w:r>
      <w:r>
        <w:instrText xml:space="preserve"> HYPERLINK \l "_Toc65763883" </w:instrText>
      </w:r>
      <w:r>
        <w:fldChar w:fldCharType="separate"/>
      </w:r>
      <w:r>
        <w:rPr>
          <w:rStyle w:val="11"/>
          <w:rFonts w:hint="eastAsia" w:ascii="Times New Roman" w:hAnsi="黑体" w:eastAsia="方正仿宋_GBK"/>
          <w:sz w:val="28"/>
          <w:u w:val="none"/>
          <w:lang w:eastAsia="zh-CN"/>
        </w:rPr>
        <w:t>八</w:t>
      </w:r>
      <w:r>
        <w:rPr>
          <w:rStyle w:val="11"/>
          <w:rFonts w:hint="eastAsia" w:ascii="Times New Roman" w:hAnsi="黑体" w:eastAsia="方正仿宋_GBK"/>
          <w:sz w:val="28"/>
          <w:u w:val="none"/>
        </w:rPr>
        <w:t>、</w:t>
      </w:r>
      <w:r>
        <w:rPr>
          <w:rStyle w:val="11"/>
          <w:rFonts w:hint="eastAsia" w:hAnsi="黑体" w:eastAsia="方正仿宋_GBK"/>
          <w:sz w:val="28"/>
          <w:u w:val="none"/>
          <w:lang w:eastAsia="zh-CN"/>
        </w:rPr>
        <w:t>名词解释</w:t>
      </w:r>
      <w:r>
        <w:rPr>
          <w:rStyle w:val="11"/>
          <w:rFonts w:hint="eastAsia" w:hAnsi="黑体"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_Toc65763883 \h </w:instrText>
      </w:r>
      <w:r>
        <w:rPr>
          <w:rFonts w:ascii="Times New Roman" w:eastAsia="方正仿宋_GBK"/>
          <w:sz w:val="28"/>
        </w:rPr>
        <w:fldChar w:fldCharType="separate"/>
      </w:r>
      <w:r>
        <w:rPr>
          <w:rFonts w:hint="eastAsia" w:ascii="Times New Roman" w:eastAsia="方正仿宋_GBK"/>
          <w:sz w:val="28"/>
        </w:rPr>
        <w:t>3</w:t>
      </w:r>
      <w:r>
        <w:rPr>
          <w:rFonts w:hint="eastAsia" w:eastAsia="方正仿宋_GBK"/>
          <w:sz w:val="28"/>
          <w:lang w:val="en-US" w:eastAsia="zh-CN"/>
        </w:rPr>
        <w:t>9</w:t>
      </w:r>
      <w:r>
        <w:rPr>
          <w:rFonts w:ascii="Times New Roman" w:eastAsia="方正仿宋_GBK"/>
          <w:sz w:val="28"/>
        </w:rPr>
        <w:fldChar w:fldCharType="end"/>
      </w:r>
      <w:r>
        <w:rPr>
          <w:rFonts w:ascii="Times New Roman" w:eastAsia="方正仿宋_GBK"/>
          <w:sz w:val="28"/>
        </w:rPr>
        <w:fldChar w:fldCharType="end"/>
      </w:r>
    </w:p>
    <w:p>
      <w:pPr>
        <w:pStyle w:val="3"/>
        <w:tabs>
          <w:tab w:val="right" w:leader="dot" w:pos="14789"/>
        </w:tabs>
        <w:ind w:left="420" w:leftChars="200"/>
        <w:jc w:val="center"/>
        <w:rPr>
          <w:rFonts w:ascii="Times New Roman" w:eastAsia="方正仿宋_GBK"/>
          <w:sz w:val="28"/>
        </w:rPr>
      </w:pPr>
      <w:r>
        <w:fldChar w:fldCharType="begin"/>
      </w:r>
      <w:r>
        <w:instrText xml:space="preserve"> HYPERLINK \l "_Toc65763884" </w:instrText>
      </w:r>
      <w:r>
        <w:fldChar w:fldCharType="separate"/>
      </w:r>
      <w:r>
        <w:rPr>
          <w:rStyle w:val="11"/>
          <w:rFonts w:hint="eastAsia" w:ascii="Times New Roman" w:hAnsi="黑体" w:eastAsia="方正仿宋_GBK"/>
          <w:sz w:val="28"/>
          <w:u w:val="none"/>
          <w:lang w:eastAsia="zh-CN"/>
        </w:rPr>
        <w:t>九</w:t>
      </w:r>
      <w:r>
        <w:rPr>
          <w:rStyle w:val="11"/>
          <w:rFonts w:hint="eastAsia" w:ascii="Times New Roman" w:hAnsi="黑体" w:eastAsia="方正仿宋_GBK"/>
          <w:sz w:val="28"/>
          <w:u w:val="none"/>
        </w:rPr>
        <w:t>、</w:t>
      </w:r>
      <w:r>
        <w:rPr>
          <w:rStyle w:val="11"/>
          <w:rFonts w:hint="eastAsia" w:hAnsi="黑体" w:eastAsia="方正仿宋_GBK"/>
          <w:sz w:val="28"/>
          <w:u w:val="none"/>
          <w:lang w:eastAsia="zh-CN"/>
        </w:rPr>
        <w:t>项目绩效申报情况</w:t>
      </w:r>
      <w:r>
        <w:rPr>
          <w:rStyle w:val="11"/>
          <w:rFonts w:hint="eastAsia" w:hAnsi="黑体"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_Toc65763884 \h </w:instrText>
      </w:r>
      <w:r>
        <w:rPr>
          <w:rFonts w:ascii="Times New Roman" w:eastAsia="方正仿宋_GBK"/>
          <w:sz w:val="28"/>
        </w:rPr>
        <w:fldChar w:fldCharType="separate"/>
      </w:r>
      <w:r>
        <w:rPr>
          <w:rFonts w:hint="eastAsia" w:ascii="Times New Roman" w:eastAsia="方正仿宋_GBK"/>
          <w:sz w:val="28"/>
        </w:rPr>
        <w:t>3</w:t>
      </w:r>
      <w:r>
        <w:rPr>
          <w:rFonts w:hint="eastAsia" w:eastAsia="方正仿宋_GBK"/>
          <w:sz w:val="28"/>
          <w:lang w:val="en-US" w:eastAsia="zh-CN"/>
        </w:rPr>
        <w:t>9</w:t>
      </w:r>
      <w:r>
        <w:rPr>
          <w:rFonts w:ascii="Times New Roman" w:eastAsia="方正仿宋_GBK"/>
          <w:sz w:val="28"/>
        </w:rPr>
        <w:fldChar w:fldCharType="end"/>
      </w:r>
      <w:r>
        <w:rPr>
          <w:rFonts w:ascii="Times New Roman" w:eastAsia="方正仿宋_GBK"/>
          <w:sz w:val="28"/>
        </w:rPr>
        <w:fldChar w:fldCharType="end"/>
      </w:r>
    </w:p>
    <w:p>
      <w:pPr>
        <w:pStyle w:val="3"/>
        <w:tabs>
          <w:tab w:val="right" w:leader="dot" w:pos="14789"/>
        </w:tabs>
        <w:ind w:left="420" w:leftChars="200"/>
        <w:jc w:val="center"/>
        <w:rPr>
          <w:rFonts w:hint="eastAsia" w:ascii="Times New Roman" w:eastAsia="方正仿宋_GBK"/>
          <w:sz w:val="28"/>
          <w:lang w:val="en-US" w:eastAsia="zh-CN"/>
        </w:rPr>
      </w:pPr>
      <w:r>
        <w:fldChar w:fldCharType="begin"/>
      </w:r>
      <w:r>
        <w:instrText xml:space="preserve"> HYPERLINK \l "_Toc65763885" </w:instrText>
      </w:r>
      <w:r>
        <w:fldChar w:fldCharType="separate"/>
      </w:r>
      <w:r>
        <w:rPr>
          <w:rStyle w:val="11"/>
          <w:rFonts w:hint="eastAsia" w:ascii="Times New Roman" w:hAnsi="黑体" w:eastAsia="方正仿宋_GBK"/>
          <w:sz w:val="28"/>
          <w:u w:val="none"/>
          <w:lang w:eastAsia="zh-CN"/>
        </w:rPr>
        <w:t>十</w:t>
      </w:r>
      <w:r>
        <w:rPr>
          <w:rStyle w:val="11"/>
          <w:rFonts w:hint="eastAsia" w:ascii="Times New Roman" w:hAnsi="黑体" w:eastAsia="方正仿宋_GBK"/>
          <w:sz w:val="28"/>
          <w:u w:val="none"/>
        </w:rPr>
        <w:t>、其他需要说明的事项</w:t>
      </w:r>
      <w:r>
        <w:rPr>
          <w:rStyle w:val="11"/>
          <w:rFonts w:hint="eastAsia" w:hAnsi="黑体" w:eastAsia="方正仿宋_GBK"/>
          <w:sz w:val="28"/>
          <w:u w:val="none"/>
          <w:lang w:val="en-US" w:eastAsia="zh-CN"/>
        </w:rPr>
        <w:t>..................................................................................................................................................</w:t>
      </w:r>
      <w:r>
        <w:rPr>
          <w:rFonts w:hint="eastAsia" w:eastAsia="方正仿宋_GBK"/>
          <w:sz w:val="28"/>
          <w:lang w:val="en-US" w:eastAsia="zh-CN"/>
        </w:rPr>
        <w:t>4</w:t>
      </w:r>
      <w:r>
        <w:rPr>
          <w:rFonts w:ascii="Times New Roman" w:eastAsia="方正仿宋_GBK"/>
          <w:sz w:val="28"/>
        </w:rPr>
        <w:fldChar w:fldCharType="end"/>
      </w:r>
      <w:r>
        <w:rPr>
          <w:rFonts w:hint="eastAsia" w:eastAsia="方正仿宋_GBK"/>
          <w:sz w:val="28"/>
          <w:lang w:val="en-US" w:eastAsia="zh-CN"/>
        </w:rPr>
        <w:t>2</w:t>
      </w:r>
    </w:p>
    <w:p>
      <w:pPr>
        <w:autoSpaceDE w:val="0"/>
        <w:autoSpaceDN w:val="0"/>
        <w:adjustRightInd w:val="0"/>
        <w:ind w:firstLine="560" w:firstLineChars="200"/>
        <w:jc w:val="left"/>
        <w:rPr>
          <w:rFonts w:ascii="仿宋_GB2312" w:hAnsi="仿宋_GB2312"/>
          <w:sz w:val="30"/>
          <w:szCs w:val="30"/>
        </w:rPr>
      </w:pPr>
      <w:r>
        <w:rPr>
          <w:rFonts w:ascii="Times New Roman" w:eastAsia="方正仿宋_GBK"/>
          <w:sz w:val="28"/>
        </w:rPr>
        <w:fldChar w:fldCharType="end"/>
      </w:r>
    </w:p>
    <w:p>
      <w:pPr>
        <w:autoSpaceDE w:val="0"/>
        <w:autoSpaceDN w:val="0"/>
        <w:adjustRightInd w:val="0"/>
        <w:ind w:firstLine="600" w:firstLineChars="200"/>
        <w:jc w:val="left"/>
        <w:rPr>
          <w:rFonts w:ascii="仿宋_GB2312" w:hAnsi="仿宋_GB2312"/>
          <w:sz w:val="30"/>
          <w:szCs w:val="30"/>
        </w:rPr>
      </w:pPr>
    </w:p>
    <w:p>
      <w:pPr>
        <w:autoSpaceDE w:val="0"/>
        <w:autoSpaceDN w:val="0"/>
        <w:adjustRightInd w:val="0"/>
        <w:ind w:firstLine="600" w:firstLineChars="200"/>
        <w:jc w:val="left"/>
        <w:rPr>
          <w:rFonts w:ascii="仿宋_GB2312" w:hAnsi="仿宋_GB2312"/>
          <w:sz w:val="30"/>
          <w:szCs w:val="30"/>
        </w:rPr>
      </w:pPr>
    </w:p>
    <w:p>
      <w:pPr>
        <w:autoSpaceDE w:val="0"/>
        <w:autoSpaceDN w:val="0"/>
        <w:adjustRightInd w:val="0"/>
        <w:ind w:firstLine="600" w:firstLineChars="200"/>
        <w:jc w:val="left"/>
        <w:rPr>
          <w:rFonts w:ascii="仿宋_GB2312" w:hAnsi="仿宋_GB2312"/>
          <w:sz w:val="30"/>
          <w:szCs w:val="30"/>
        </w:rPr>
      </w:pPr>
    </w:p>
    <w:p>
      <w:pPr>
        <w:pStyle w:val="2"/>
        <w:rPr>
          <w:rFonts w:ascii="仿宋_GB2312" w:hAnsi="仿宋_GB2312"/>
          <w:sz w:val="30"/>
          <w:szCs w:val="30"/>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
        <w:rPr>
          <w:rFonts w:ascii="仿宋_GB2312" w:hAnsi="仿宋_GB2312"/>
          <w:sz w:val="30"/>
          <w:szCs w:val="30"/>
        </w:rPr>
      </w:pPr>
    </w:p>
    <w:p>
      <w:pPr>
        <w:pStyle w:val="2"/>
        <w:rPr>
          <w:rFonts w:ascii="仿宋_GB2312" w:hAnsi="仿宋_GB2312"/>
          <w:sz w:val="30"/>
          <w:szCs w:val="30"/>
        </w:rPr>
      </w:pPr>
    </w:p>
    <w:p>
      <w:pPr>
        <w:autoSpaceDE w:val="0"/>
        <w:autoSpaceDN w:val="0"/>
        <w:adjustRightInd w:val="0"/>
        <w:ind w:firstLine="1440" w:firstLineChars="200"/>
        <w:jc w:val="center"/>
        <w:rPr>
          <w:rFonts w:hint="eastAsia" w:ascii="仿宋_GB2312" w:hAnsi="仿宋_GB2312" w:eastAsia="宋体"/>
          <w:sz w:val="30"/>
          <w:szCs w:val="30"/>
          <w:lang w:eastAsia="zh-CN"/>
        </w:rPr>
      </w:pPr>
      <w:r>
        <w:rPr>
          <w:rFonts w:hint="eastAsia" w:ascii="方正小标宋_GBK" w:hAnsi="方正小标宋_GBK" w:cs="方正小标宋_GBK"/>
          <w:color w:val="000000"/>
          <w:sz w:val="72"/>
          <w:lang w:eastAsia="zh-CN"/>
        </w:rPr>
        <w:t>预算公开表</w:t>
      </w:r>
    </w:p>
    <w:p>
      <w:pPr>
        <w:autoSpaceDE w:val="0"/>
        <w:autoSpaceDN w:val="0"/>
        <w:adjustRightInd w:val="0"/>
        <w:ind w:firstLine="600" w:firstLineChars="200"/>
        <w:jc w:val="left"/>
        <w:rPr>
          <w:rFonts w:ascii="仿宋_GB2312" w:hAnsi="仿宋_GB2312"/>
          <w:sz w:val="30"/>
          <w:szCs w:val="30"/>
        </w:rPr>
      </w:pPr>
    </w:p>
    <w:p>
      <w:pPr>
        <w:autoSpaceDE w:val="0"/>
        <w:autoSpaceDN w:val="0"/>
        <w:adjustRightInd w:val="0"/>
        <w:ind w:firstLine="600" w:firstLineChars="200"/>
        <w:jc w:val="left"/>
        <w:rPr>
          <w:rFonts w:ascii="仿宋_GB2312" w:hAnsi="仿宋_GB2312"/>
          <w:sz w:val="30"/>
          <w:szCs w:val="30"/>
        </w:rPr>
      </w:pPr>
    </w:p>
    <w:p>
      <w:pPr>
        <w:autoSpaceDE w:val="0"/>
        <w:autoSpaceDN w:val="0"/>
        <w:adjustRightInd w:val="0"/>
        <w:ind w:firstLine="600" w:firstLineChars="200"/>
        <w:jc w:val="left"/>
        <w:rPr>
          <w:rFonts w:ascii="仿宋_GB2312" w:hAnsi="仿宋_GB2312"/>
          <w:sz w:val="30"/>
          <w:szCs w:val="30"/>
        </w:rPr>
      </w:pPr>
    </w:p>
    <w:p>
      <w:pPr>
        <w:autoSpaceDE w:val="0"/>
        <w:autoSpaceDN w:val="0"/>
        <w:adjustRightInd w:val="0"/>
        <w:ind w:firstLine="600" w:firstLineChars="200"/>
        <w:jc w:val="left"/>
        <w:rPr>
          <w:rFonts w:ascii="仿宋_GB2312" w:hAnsi="仿宋_GB2312"/>
          <w:sz w:val="30"/>
          <w:szCs w:val="30"/>
        </w:rPr>
      </w:pPr>
    </w:p>
    <w:p>
      <w:pPr>
        <w:autoSpaceDE w:val="0"/>
        <w:autoSpaceDN w:val="0"/>
        <w:adjustRightInd w:val="0"/>
        <w:ind w:firstLine="600" w:firstLineChars="200"/>
        <w:jc w:val="left"/>
        <w:rPr>
          <w:rFonts w:ascii="仿宋_GB2312" w:hAnsi="仿宋_GB2312"/>
          <w:sz w:val="30"/>
          <w:szCs w:val="30"/>
        </w:rPr>
      </w:pPr>
    </w:p>
    <w:p>
      <w:pPr>
        <w:pStyle w:val="2"/>
      </w:pPr>
    </w:p>
    <w:p>
      <w:pPr>
        <w:autoSpaceDE w:val="0"/>
        <w:autoSpaceDN w:val="0"/>
        <w:adjustRightInd w:val="0"/>
        <w:ind w:firstLine="600" w:firstLineChars="200"/>
        <w:jc w:val="left"/>
        <w:rPr>
          <w:rFonts w:ascii="仿宋_GB2312" w:hAnsi="仿宋_GB2312"/>
          <w:sz w:val="30"/>
          <w:szCs w:val="30"/>
        </w:rPr>
      </w:pPr>
    </w:p>
    <w:p>
      <w:pPr>
        <w:autoSpaceDE w:val="0"/>
        <w:autoSpaceDN w:val="0"/>
        <w:adjustRightInd w:val="0"/>
        <w:ind w:firstLine="600" w:firstLineChars="200"/>
        <w:jc w:val="left"/>
        <w:rPr>
          <w:rFonts w:ascii="仿宋_GB2312" w:hAnsi="仿宋_GB2312"/>
          <w:sz w:val="30"/>
          <w:szCs w:val="30"/>
        </w:rPr>
      </w:pPr>
    </w:p>
    <w:p>
      <w:pPr>
        <w:autoSpaceDE w:val="0"/>
        <w:autoSpaceDN w:val="0"/>
        <w:adjustRightInd w:val="0"/>
        <w:ind w:firstLine="600" w:firstLineChars="200"/>
        <w:jc w:val="left"/>
        <w:rPr>
          <w:rFonts w:ascii="仿宋_GB2312" w:hAnsi="仿宋_GB2312"/>
          <w:sz w:val="30"/>
          <w:szCs w:val="30"/>
        </w:rPr>
      </w:pPr>
    </w:p>
    <w:tbl>
      <w:tblPr>
        <w:tblStyle w:val="9"/>
        <w:tblW w:w="5000" w:type="pct"/>
        <w:tblInd w:w="0" w:type="dxa"/>
        <w:tblLayout w:type="autofit"/>
        <w:tblCellMar>
          <w:top w:w="0" w:type="dxa"/>
          <w:left w:w="108" w:type="dxa"/>
          <w:bottom w:w="0" w:type="dxa"/>
          <w:right w:w="108" w:type="dxa"/>
        </w:tblCellMar>
      </w:tblPr>
      <w:tblGrid>
        <w:gridCol w:w="1142"/>
        <w:gridCol w:w="3597"/>
        <w:gridCol w:w="3597"/>
        <w:gridCol w:w="4162"/>
        <w:gridCol w:w="1676"/>
      </w:tblGrid>
      <w:tr>
        <w:tblPrEx>
          <w:tblCellMar>
            <w:top w:w="0" w:type="dxa"/>
            <w:left w:w="108" w:type="dxa"/>
            <w:bottom w:w="0" w:type="dxa"/>
            <w:right w:w="108" w:type="dxa"/>
          </w:tblCellMar>
        </w:tblPrEx>
        <w:trPr>
          <w:trHeight w:val="552" w:hRule="atLeast"/>
        </w:trPr>
        <w:tc>
          <w:tcPr>
            <w:tcW w:w="5000" w:type="pct"/>
            <w:gridSpan w:val="5"/>
            <w:tcBorders>
              <w:top w:val="nil"/>
              <w:left w:val="nil"/>
              <w:bottom w:val="nil"/>
              <w:right w:val="nil"/>
            </w:tcBorders>
            <w:shd w:val="clear" w:color="auto" w:fill="FFFFFF"/>
            <w:vAlign w:val="center"/>
          </w:tcPr>
          <w:p>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lang w:eastAsia="zh-CN"/>
              </w:rPr>
              <w:t>部门</w:t>
            </w:r>
            <w:r>
              <w:rPr>
                <w:rFonts w:hint="eastAsia" w:ascii="宋体" w:hAnsi="宋体" w:cs="宋体"/>
                <w:b/>
                <w:bCs/>
                <w:color w:val="000000"/>
                <w:kern w:val="0"/>
                <w:sz w:val="44"/>
                <w:szCs w:val="44"/>
              </w:rPr>
              <w:t>预算收支总表</w:t>
            </w:r>
          </w:p>
        </w:tc>
      </w:tr>
      <w:tr>
        <w:tblPrEx>
          <w:tblCellMar>
            <w:top w:w="0" w:type="dxa"/>
            <w:left w:w="108" w:type="dxa"/>
            <w:bottom w:w="0" w:type="dxa"/>
            <w:right w:w="108" w:type="dxa"/>
          </w:tblCellMar>
        </w:tblPrEx>
        <w:trPr>
          <w:trHeight w:val="288" w:hRule="atLeast"/>
        </w:trPr>
        <w:tc>
          <w:tcPr>
            <w:tcW w:w="2940" w:type="pct"/>
            <w:gridSpan w:val="3"/>
            <w:tcBorders>
              <w:top w:val="nil"/>
              <w:left w:val="nil"/>
              <w:bottom w:val="nil"/>
              <w:right w:val="nil"/>
            </w:tcBorders>
            <w:shd w:val="clear" w:color="auto" w:fill="FFFFFF"/>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预算单位编码及名称：[303]</w:t>
            </w:r>
            <w:r>
              <w:rPr>
                <w:rFonts w:hint="eastAsia" w:ascii="宋体" w:hAnsi="宋体" w:cs="宋体"/>
                <w:color w:val="000000"/>
                <w:kern w:val="0"/>
                <w:sz w:val="18"/>
                <w:szCs w:val="18"/>
                <w:lang w:eastAsia="zh-CN"/>
              </w:rPr>
              <w:t>发展计划委员会</w:t>
            </w:r>
          </w:p>
        </w:tc>
        <w:tc>
          <w:tcPr>
            <w:tcW w:w="1468" w:type="pct"/>
            <w:tcBorders>
              <w:top w:val="nil"/>
              <w:left w:val="nil"/>
              <w:bottom w:val="nil"/>
              <w:right w:val="nil"/>
            </w:tcBorders>
            <w:shd w:val="clear" w:color="auto"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预算年度：2021</w:t>
            </w:r>
          </w:p>
        </w:tc>
        <w:tc>
          <w:tcPr>
            <w:tcW w:w="592" w:type="pct"/>
            <w:tcBorders>
              <w:top w:val="nil"/>
              <w:left w:val="nil"/>
              <w:bottom w:val="nil"/>
              <w:right w:val="nil"/>
            </w:tcBorders>
            <w:shd w:val="clear" w:color="auto"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8" w:hRule="atLeast"/>
        </w:trPr>
        <w:tc>
          <w:tcPr>
            <w:tcW w:w="4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收入</w:t>
            </w:r>
          </w:p>
        </w:tc>
        <w:tc>
          <w:tcPr>
            <w:tcW w:w="206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288" w:hRule="atLeast"/>
        </w:trPr>
        <w:tc>
          <w:tcPr>
            <w:tcW w:w="40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    目</w:t>
            </w:r>
          </w:p>
        </w:tc>
        <w:tc>
          <w:tcPr>
            <w:tcW w:w="1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预算数</w:t>
            </w:r>
          </w:p>
        </w:tc>
        <w:tc>
          <w:tcPr>
            <w:tcW w:w="14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    目</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1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一、一般公共预算拨款收入</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1344.74</w:t>
            </w:r>
          </w:p>
        </w:tc>
        <w:tc>
          <w:tcPr>
            <w:tcW w:w="1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二、政府性基金预算拨款收入</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三、国有资本经营预算拨款收入</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四、财政专户管理资金收入</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五、事业收入</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六、事业单位经营收入</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七、上级补助收入</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八、附属单位上缴收入</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九、其他收入</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九、社会保险基金支出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十、卫生健康支出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十一、节能环保支出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十二、城乡社区支出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十三、农林水支出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十四、交通运输支出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十五、资源勘探工业信息等支出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十六、商业服务业等支出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十七、金融支出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十八、援助其他地区支出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十九、自然资源海洋气象等支出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二十、住房保障支出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二十一、粮油物资储备支出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334.76</w:t>
            </w: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二十二、国有资本经营预算支出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二十三、灾害防治及应急管理支出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二十四、预备费</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二十五、其他支出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二十六、转移性支出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二十七、债务还本支出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二十八、债务付息支出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二十九、债务发行费用支出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三十、抗疫特别国债安排的支出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本年收入合计</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1344.74</w:t>
            </w: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本年支出合计</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1344.74</w:t>
            </w: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上年结转结余</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年终结转结余</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收入总计</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1344.74</w:t>
            </w: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支出总计</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1344.74</w:t>
            </w:r>
          </w:p>
        </w:tc>
      </w:tr>
    </w:tbl>
    <w:p>
      <w:pPr>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9"/>
        <w:tblpPr w:leftFromText="180" w:rightFromText="180" w:vertAnchor="text" w:horzAnchor="page" w:tblpX="1761" w:tblpY="309"/>
        <w:tblOverlap w:val="never"/>
        <w:tblW w:w="5103" w:type="pct"/>
        <w:tblInd w:w="0" w:type="dxa"/>
        <w:tblLayout w:type="fixed"/>
        <w:tblCellMar>
          <w:top w:w="0" w:type="dxa"/>
          <w:left w:w="108" w:type="dxa"/>
          <w:bottom w:w="0" w:type="dxa"/>
          <w:right w:w="108" w:type="dxa"/>
        </w:tblCellMar>
      </w:tblPr>
      <w:tblGrid>
        <w:gridCol w:w="607"/>
        <w:gridCol w:w="1232"/>
        <w:gridCol w:w="4360"/>
        <w:gridCol w:w="1232"/>
        <w:gridCol w:w="1232"/>
        <w:gridCol w:w="1232"/>
        <w:gridCol w:w="607"/>
        <w:gridCol w:w="607"/>
        <w:gridCol w:w="619"/>
        <w:gridCol w:w="607"/>
        <w:gridCol w:w="855"/>
        <w:gridCol w:w="579"/>
        <w:gridCol w:w="697"/>
      </w:tblGrid>
      <w:tr>
        <w:tblPrEx>
          <w:tblCellMar>
            <w:top w:w="0" w:type="dxa"/>
            <w:left w:w="108" w:type="dxa"/>
            <w:bottom w:w="0" w:type="dxa"/>
            <w:right w:w="108" w:type="dxa"/>
          </w:tblCellMar>
        </w:tblPrEx>
        <w:trPr>
          <w:trHeight w:val="552" w:hRule="atLeast"/>
        </w:trPr>
        <w:tc>
          <w:tcPr>
            <w:tcW w:w="5000" w:type="pct"/>
            <w:gridSpan w:val="13"/>
            <w:tcBorders>
              <w:top w:val="nil"/>
              <w:left w:val="nil"/>
              <w:bottom w:val="nil"/>
              <w:right w:val="nil"/>
            </w:tcBorders>
            <w:shd w:val="clear" w:color="FFFFFF" w:themeColor="background1" w:fill="auto"/>
            <w:vAlign w:val="center"/>
          </w:tcPr>
          <w:p>
            <w:pPr>
              <w:widowControl/>
              <w:jc w:val="center"/>
              <w:rPr>
                <w:rFonts w:ascii="宋体" w:hAnsi="宋体" w:cs="宋体"/>
                <w:b/>
                <w:bCs/>
                <w:color w:val="auto"/>
                <w:kern w:val="0"/>
                <w:sz w:val="44"/>
                <w:szCs w:val="44"/>
                <w:shd w:val="clear" w:color="auto" w:fill="auto"/>
              </w:rPr>
            </w:pPr>
            <w:r>
              <w:rPr>
                <w:rFonts w:hint="eastAsia" w:ascii="宋体" w:hAnsi="宋体" w:cs="宋体"/>
                <w:b/>
                <w:bCs/>
                <w:color w:val="auto"/>
                <w:kern w:val="0"/>
                <w:sz w:val="44"/>
                <w:szCs w:val="44"/>
                <w:shd w:val="clear" w:color="auto" w:fill="auto"/>
                <w:lang w:eastAsia="zh-CN"/>
              </w:rPr>
              <w:t>部门</w:t>
            </w:r>
            <w:r>
              <w:rPr>
                <w:rFonts w:hint="eastAsia" w:ascii="宋体" w:hAnsi="宋体" w:cs="宋体"/>
                <w:b/>
                <w:bCs/>
                <w:color w:val="auto"/>
                <w:kern w:val="0"/>
                <w:sz w:val="44"/>
                <w:szCs w:val="44"/>
                <w:shd w:val="clear" w:color="auto" w:fill="auto"/>
              </w:rPr>
              <w:t>预算收入总表</w:t>
            </w:r>
          </w:p>
        </w:tc>
      </w:tr>
      <w:tr>
        <w:tblPrEx>
          <w:tblCellMar>
            <w:top w:w="0" w:type="dxa"/>
            <w:left w:w="108" w:type="dxa"/>
            <w:bottom w:w="0" w:type="dxa"/>
            <w:right w:w="108" w:type="dxa"/>
          </w:tblCellMar>
        </w:tblPrEx>
        <w:trPr>
          <w:trHeight w:val="288" w:hRule="atLeast"/>
        </w:trPr>
        <w:tc>
          <w:tcPr>
            <w:tcW w:w="4053" w:type="pct"/>
            <w:gridSpan w:val="9"/>
            <w:tcBorders>
              <w:top w:val="nil"/>
              <w:left w:val="nil"/>
              <w:bottom w:val="nil"/>
              <w:right w:val="nil"/>
            </w:tcBorders>
            <w:shd w:val="clear" w:color="FFFFFF" w:themeColor="background1" w:fill="auto"/>
            <w:vAlign w:val="center"/>
          </w:tcPr>
          <w:p>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预算单位编码及名称：</w:t>
            </w:r>
            <w:r>
              <w:rPr>
                <w:rFonts w:hint="eastAsia" w:ascii="宋体" w:hAnsi="宋体" w:cs="宋体"/>
                <w:color w:val="000000"/>
                <w:kern w:val="0"/>
                <w:sz w:val="18"/>
                <w:szCs w:val="18"/>
              </w:rPr>
              <w:t>[303]</w:t>
            </w:r>
            <w:r>
              <w:rPr>
                <w:rFonts w:hint="eastAsia" w:ascii="宋体" w:hAnsi="宋体" w:cs="宋体"/>
                <w:color w:val="000000"/>
                <w:kern w:val="0"/>
                <w:sz w:val="18"/>
                <w:szCs w:val="18"/>
                <w:lang w:eastAsia="zh-CN"/>
              </w:rPr>
              <w:t>发展计划委员会</w:t>
            </w:r>
          </w:p>
        </w:tc>
        <w:tc>
          <w:tcPr>
            <w:tcW w:w="505" w:type="pct"/>
            <w:gridSpan w:val="2"/>
            <w:tcBorders>
              <w:top w:val="nil"/>
              <w:left w:val="nil"/>
              <w:bottom w:val="nil"/>
              <w:right w:val="nil"/>
            </w:tcBorders>
            <w:shd w:val="clear" w:color="FFFFFF" w:themeColor="background1" w:fill="auto"/>
            <w:vAlign w:val="center"/>
          </w:tcPr>
          <w:p>
            <w:pPr>
              <w:widowControl/>
              <w:jc w:val="righ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预算年度：2021</w:t>
            </w:r>
          </w:p>
        </w:tc>
        <w:tc>
          <w:tcPr>
            <w:tcW w:w="440" w:type="pct"/>
            <w:gridSpan w:val="2"/>
            <w:tcBorders>
              <w:top w:val="nil"/>
              <w:left w:val="nil"/>
              <w:bottom w:val="nil"/>
              <w:right w:val="nil"/>
            </w:tcBorders>
            <w:shd w:val="clear" w:color="FFFFFF" w:themeColor="background1" w:fill="auto"/>
            <w:vAlign w:val="center"/>
          </w:tcPr>
          <w:p>
            <w:pPr>
              <w:widowControl/>
              <w:jc w:val="righ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金额单位：万元</w:t>
            </w:r>
          </w:p>
        </w:tc>
      </w:tr>
      <w:tr>
        <w:tblPrEx>
          <w:tblCellMar>
            <w:top w:w="0" w:type="dxa"/>
            <w:left w:w="108" w:type="dxa"/>
            <w:bottom w:w="0" w:type="dxa"/>
            <w:right w:w="108" w:type="dxa"/>
          </w:tblCellMar>
        </w:tblPrEx>
        <w:trPr>
          <w:trHeight w:val="288" w:hRule="atLeast"/>
        </w:trPr>
        <w:tc>
          <w:tcPr>
            <w:tcW w:w="209"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序号</w:t>
            </w:r>
          </w:p>
        </w:tc>
        <w:tc>
          <w:tcPr>
            <w:tcW w:w="1932" w:type="pct"/>
            <w:gridSpan w:val="2"/>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功能分类科目</w:t>
            </w:r>
          </w:p>
        </w:tc>
        <w:tc>
          <w:tcPr>
            <w:tcW w:w="425"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合计</w:t>
            </w:r>
          </w:p>
        </w:tc>
        <w:tc>
          <w:tcPr>
            <w:tcW w:w="2190" w:type="pct"/>
            <w:gridSpan w:val="8"/>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本年收入</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上年结转</w:t>
            </w:r>
          </w:p>
        </w:tc>
      </w:tr>
      <w:tr>
        <w:tblPrEx>
          <w:tblCellMar>
            <w:top w:w="0" w:type="dxa"/>
            <w:left w:w="108" w:type="dxa"/>
            <w:bottom w:w="0" w:type="dxa"/>
            <w:right w:w="108" w:type="dxa"/>
          </w:tblCellMar>
        </w:tblPrEx>
        <w:trPr>
          <w:trHeight w:val="1224" w:hRule="atLeast"/>
        </w:trPr>
        <w:tc>
          <w:tcPr>
            <w:tcW w:w="209"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left"/>
              <w:rPr>
                <w:rFonts w:ascii="宋体" w:hAnsi="宋体" w:cs="宋体"/>
                <w:color w:val="auto"/>
                <w:kern w:val="0"/>
                <w:sz w:val="18"/>
                <w:szCs w:val="18"/>
                <w:shd w:val="clear" w:color="auto" w:fill="auto"/>
              </w:rPr>
            </w:pPr>
          </w:p>
        </w:tc>
        <w:tc>
          <w:tcPr>
            <w:tcW w:w="42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科目编码</w:t>
            </w:r>
          </w:p>
        </w:tc>
        <w:tc>
          <w:tcPr>
            <w:tcW w:w="1507"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科目名称</w:t>
            </w:r>
          </w:p>
        </w:tc>
        <w:tc>
          <w:tcPr>
            <w:tcW w:w="425"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left"/>
              <w:rPr>
                <w:rFonts w:ascii="宋体" w:hAnsi="宋体" w:cs="宋体"/>
                <w:color w:val="auto"/>
                <w:kern w:val="0"/>
                <w:sz w:val="18"/>
                <w:szCs w:val="18"/>
                <w:shd w:val="clear" w:color="auto" w:fill="auto"/>
              </w:rPr>
            </w:pPr>
          </w:p>
        </w:tc>
        <w:tc>
          <w:tcPr>
            <w:tcW w:w="42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小计</w:t>
            </w:r>
          </w:p>
        </w:tc>
        <w:tc>
          <w:tcPr>
            <w:tcW w:w="42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财政拨款收入</w:t>
            </w:r>
          </w:p>
        </w:tc>
        <w:tc>
          <w:tcPr>
            <w:tcW w:w="20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财政专户收入</w:t>
            </w:r>
          </w:p>
        </w:tc>
        <w:tc>
          <w:tcPr>
            <w:tcW w:w="20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事业收入</w:t>
            </w:r>
          </w:p>
        </w:tc>
        <w:tc>
          <w:tcPr>
            <w:tcW w:w="21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经营收入</w:t>
            </w:r>
          </w:p>
        </w:tc>
        <w:tc>
          <w:tcPr>
            <w:tcW w:w="20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上级补助收入</w:t>
            </w:r>
          </w:p>
        </w:tc>
        <w:tc>
          <w:tcPr>
            <w:tcW w:w="29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附属单位上缴收入</w:t>
            </w:r>
          </w:p>
        </w:tc>
        <w:tc>
          <w:tcPr>
            <w:tcW w:w="200" w:type="pct"/>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其他收入</w:t>
            </w:r>
          </w:p>
        </w:tc>
        <w:tc>
          <w:tcPr>
            <w:tcW w:w="240"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auto"/>
                <w:kern w:val="0"/>
                <w:sz w:val="18"/>
                <w:szCs w:val="18"/>
                <w:shd w:val="clear" w:color="auto" w:fill="auto"/>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栏次</w:t>
            </w:r>
          </w:p>
        </w:tc>
        <w:tc>
          <w:tcPr>
            <w:tcW w:w="42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1507"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42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w:t>
            </w:r>
          </w:p>
        </w:tc>
        <w:tc>
          <w:tcPr>
            <w:tcW w:w="42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4</w:t>
            </w:r>
          </w:p>
        </w:tc>
        <w:tc>
          <w:tcPr>
            <w:tcW w:w="42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5</w:t>
            </w:r>
          </w:p>
        </w:tc>
        <w:tc>
          <w:tcPr>
            <w:tcW w:w="20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w:t>
            </w:r>
          </w:p>
        </w:tc>
        <w:tc>
          <w:tcPr>
            <w:tcW w:w="20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7</w:t>
            </w:r>
          </w:p>
        </w:tc>
        <w:tc>
          <w:tcPr>
            <w:tcW w:w="21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8</w:t>
            </w:r>
          </w:p>
        </w:tc>
        <w:tc>
          <w:tcPr>
            <w:tcW w:w="20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9</w:t>
            </w:r>
          </w:p>
        </w:tc>
        <w:tc>
          <w:tcPr>
            <w:tcW w:w="29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w:t>
            </w:r>
          </w:p>
        </w:tc>
        <w:tc>
          <w:tcPr>
            <w:tcW w:w="2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11</w:t>
            </w:r>
          </w:p>
        </w:tc>
        <w:tc>
          <w:tcPr>
            <w:tcW w:w="240" w:type="pct"/>
            <w:tcBorders>
              <w:top w:val="nil"/>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12</w:t>
            </w: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rPr>
            </w:pP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合计</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1344.74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1344.74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1344.74</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一般公共服务支出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发展与改革事务</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行政运行</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2010408</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物价管理</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2010499</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其他发展与改革事务支出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220.00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2080506</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机关事业单位职业年金缴费支出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2101101</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行政单位医疗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2101103</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粮油物资储备支出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334.76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334.76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334.76</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粮油事务</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234.76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234.76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234.76</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2220112</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粮食财务挂账利息补贴</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65.00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65.00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65.00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2220199</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其他粮油事务支出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169.76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169.76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169.76</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22204</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粮油储备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2220401</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储备粮油补贴</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tbl>
      <w:tblPr>
        <w:tblStyle w:val="9"/>
        <w:tblW w:w="5000" w:type="pct"/>
        <w:tblInd w:w="0" w:type="dxa"/>
        <w:tblLayout w:type="autofit"/>
        <w:tblCellMar>
          <w:top w:w="0" w:type="dxa"/>
          <w:left w:w="108" w:type="dxa"/>
          <w:bottom w:w="0" w:type="dxa"/>
          <w:right w:w="108" w:type="dxa"/>
        </w:tblCellMar>
      </w:tblPr>
      <w:tblGrid>
        <w:gridCol w:w="1144"/>
        <w:gridCol w:w="1144"/>
        <w:gridCol w:w="3498"/>
        <w:gridCol w:w="1398"/>
        <w:gridCol w:w="1398"/>
        <w:gridCol w:w="1398"/>
        <w:gridCol w:w="1398"/>
        <w:gridCol w:w="1398"/>
        <w:gridCol w:w="1398"/>
      </w:tblGrid>
      <w:tr>
        <w:tblPrEx>
          <w:tblCellMar>
            <w:top w:w="0" w:type="dxa"/>
            <w:left w:w="108" w:type="dxa"/>
            <w:bottom w:w="0" w:type="dxa"/>
            <w:right w:w="108" w:type="dxa"/>
          </w:tblCellMar>
        </w:tblPrEx>
        <w:trPr>
          <w:trHeight w:val="528" w:hRule="atLeast"/>
        </w:trPr>
        <w:tc>
          <w:tcPr>
            <w:tcW w:w="5000" w:type="pct"/>
            <w:gridSpan w:val="9"/>
            <w:tcBorders>
              <w:top w:val="nil"/>
              <w:left w:val="nil"/>
              <w:bottom w:val="nil"/>
              <w:right w:val="nil"/>
            </w:tcBorders>
            <w:shd w:val="clear" w:color="FFFFFF" w:themeColor="background1" w:fill="auto"/>
            <w:vAlign w:val="center"/>
          </w:tcPr>
          <w:p>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lang w:eastAsia="zh-CN"/>
              </w:rPr>
              <w:t>部门</w:t>
            </w:r>
            <w:r>
              <w:rPr>
                <w:rFonts w:hint="eastAsia" w:ascii="宋体" w:hAnsi="宋体" w:cs="宋体"/>
                <w:b/>
                <w:bCs/>
                <w:color w:val="000000"/>
                <w:kern w:val="0"/>
                <w:sz w:val="44"/>
                <w:szCs w:val="44"/>
              </w:rPr>
              <w:t>预算支出总表</w:t>
            </w:r>
          </w:p>
        </w:tc>
      </w:tr>
      <w:tr>
        <w:tblPrEx>
          <w:tblCellMar>
            <w:top w:w="0" w:type="dxa"/>
            <w:left w:w="108" w:type="dxa"/>
            <w:bottom w:w="0" w:type="dxa"/>
            <w:right w:w="108" w:type="dxa"/>
          </w:tblCellMar>
        </w:tblPrEx>
        <w:trPr>
          <w:trHeight w:val="288" w:hRule="atLeast"/>
        </w:trPr>
        <w:tc>
          <w:tcPr>
            <w:tcW w:w="3028" w:type="pct"/>
            <w:gridSpan w:val="5"/>
            <w:tcBorders>
              <w:top w:val="nil"/>
              <w:left w:val="nil"/>
              <w:bottom w:val="nil"/>
              <w:right w:val="nil"/>
            </w:tcBorders>
            <w:shd w:val="clear" w:color="FFFFFF" w:themeColor="background1"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预算单位编码及名称：[303]</w:t>
            </w:r>
            <w:r>
              <w:rPr>
                <w:rFonts w:hint="eastAsia" w:ascii="宋体" w:hAnsi="宋体" w:cs="宋体"/>
                <w:color w:val="000000"/>
                <w:kern w:val="0"/>
                <w:sz w:val="18"/>
                <w:szCs w:val="18"/>
                <w:lang w:eastAsia="zh-CN"/>
              </w:rPr>
              <w:t>发展计划委员会</w:t>
            </w:r>
          </w:p>
        </w:tc>
        <w:tc>
          <w:tcPr>
            <w:tcW w:w="986" w:type="pct"/>
            <w:gridSpan w:val="2"/>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预算年度：2021</w:t>
            </w:r>
          </w:p>
        </w:tc>
        <w:tc>
          <w:tcPr>
            <w:tcW w:w="986" w:type="pct"/>
            <w:gridSpan w:val="2"/>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8" w:hRule="atLeast"/>
        </w:trPr>
        <w:tc>
          <w:tcPr>
            <w:tcW w:w="404" w:type="pct"/>
            <w:vMerge w:val="restart"/>
            <w:tcBorders>
              <w:top w:val="single" w:color="000000" w:sz="4" w:space="0"/>
              <w:left w:val="single" w:color="000000" w:sz="4" w:space="0"/>
              <w:bottom w:val="nil"/>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637" w:type="pct"/>
            <w:gridSpan w:val="2"/>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支出功能分类科目</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本年支出合计</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基本支出</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经营支出</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上缴上级支出</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对附属单位补助支出</w:t>
            </w:r>
          </w:p>
        </w:tc>
      </w:tr>
      <w:tr>
        <w:tblPrEx>
          <w:tblCellMar>
            <w:top w:w="0" w:type="dxa"/>
            <w:left w:w="108" w:type="dxa"/>
            <w:bottom w:w="0" w:type="dxa"/>
            <w:right w:w="108" w:type="dxa"/>
          </w:tblCellMar>
        </w:tblPrEx>
        <w:trPr>
          <w:trHeight w:val="288" w:hRule="atLeast"/>
        </w:trPr>
        <w:tc>
          <w:tcPr>
            <w:tcW w:w="404" w:type="pct"/>
            <w:vMerge w:val="continue"/>
            <w:tcBorders>
              <w:top w:val="single" w:color="000000" w:sz="4" w:space="0"/>
              <w:left w:val="single" w:color="000000" w:sz="4" w:space="0"/>
              <w:bottom w:val="nil"/>
              <w:right w:val="nil"/>
            </w:tcBorders>
            <w:shd w:val="clear" w:color="FFFFFF" w:themeColor="background1" w:fill="auto"/>
            <w:vAlign w:val="center"/>
          </w:tcPr>
          <w:p>
            <w:pPr>
              <w:widowControl/>
              <w:jc w:val="left"/>
              <w:rPr>
                <w:rFonts w:ascii="宋体" w:hAnsi="宋体" w:cs="宋体"/>
                <w:color w:val="000000"/>
                <w:kern w:val="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12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40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4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1344.74</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763.98</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580.76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一般公共服务支出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246.00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0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w:t>
            </w:r>
          </w:p>
        </w:tc>
        <w:tc>
          <w:tcPr>
            <w:tcW w:w="123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发展与改革事务</w:t>
            </w:r>
          </w:p>
        </w:tc>
        <w:tc>
          <w:tcPr>
            <w:tcW w:w="493"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493"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493"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246.00</w:t>
            </w:r>
          </w:p>
        </w:tc>
        <w:tc>
          <w:tcPr>
            <w:tcW w:w="493"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行政运行</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2010408</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物价管理</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2010499</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其他发展与改革事务支出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220.00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220.00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2080506</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机关事业单位职业年金缴费支出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行政单位医疗</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2101103</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粮油物资储备支出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334.76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334.76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粮油事务</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234.76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234.76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2220112</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粮食财务挂账利息补贴</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65.00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65.00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2220199</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其他粮油事务支出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169.76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169.76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22204</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粮油储备</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2220401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储备粮油补贴</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rPr>
          <w:rFonts w:hint="eastAsia"/>
        </w:rPr>
      </w:pPr>
    </w:p>
    <w:tbl>
      <w:tblPr>
        <w:tblStyle w:val="9"/>
        <w:tblW w:w="4999" w:type="pct"/>
        <w:tblInd w:w="0" w:type="dxa"/>
        <w:tblLayout w:type="fixed"/>
        <w:tblCellMar>
          <w:top w:w="0" w:type="dxa"/>
          <w:left w:w="108" w:type="dxa"/>
          <w:bottom w:w="0" w:type="dxa"/>
          <w:right w:w="108" w:type="dxa"/>
        </w:tblCellMar>
      </w:tblPr>
      <w:tblGrid>
        <w:gridCol w:w="637"/>
        <w:gridCol w:w="2389"/>
        <w:gridCol w:w="1296"/>
        <w:gridCol w:w="3012"/>
        <w:gridCol w:w="1116"/>
        <w:gridCol w:w="1812"/>
        <w:gridCol w:w="1944"/>
        <w:gridCol w:w="1966"/>
      </w:tblGrid>
      <w:tr>
        <w:tblPrEx>
          <w:tblCellMar>
            <w:top w:w="0" w:type="dxa"/>
            <w:left w:w="108" w:type="dxa"/>
            <w:bottom w:w="0" w:type="dxa"/>
            <w:right w:w="108" w:type="dxa"/>
          </w:tblCellMar>
        </w:tblPrEx>
        <w:trPr>
          <w:trHeight w:val="552" w:hRule="atLeast"/>
        </w:trPr>
        <w:tc>
          <w:tcPr>
            <w:tcW w:w="5000" w:type="pct"/>
            <w:gridSpan w:val="8"/>
            <w:tcBorders>
              <w:top w:val="nil"/>
              <w:left w:val="nil"/>
              <w:bottom w:val="nil"/>
              <w:right w:val="nil"/>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000000"/>
                <w:kern w:val="0"/>
                <w:sz w:val="44"/>
                <w:szCs w:val="44"/>
              </w:rPr>
            </w:pPr>
            <w:r>
              <w:rPr>
                <w:rFonts w:hint="eastAsia" w:ascii="宋体" w:hAnsi="宋体" w:cs="宋体"/>
                <w:b/>
                <w:bCs/>
                <w:color w:val="000000"/>
                <w:kern w:val="0"/>
                <w:sz w:val="44"/>
                <w:szCs w:val="44"/>
                <w:lang w:eastAsia="zh-CN"/>
              </w:rPr>
              <w:t>部门</w:t>
            </w:r>
            <w:r>
              <w:rPr>
                <w:rFonts w:hint="eastAsia" w:ascii="宋体" w:hAnsi="宋体" w:cs="宋体"/>
                <w:b/>
                <w:bCs/>
                <w:color w:val="000000"/>
                <w:kern w:val="0"/>
                <w:sz w:val="44"/>
                <w:szCs w:val="44"/>
              </w:rPr>
              <w:t>预算财政拨款收支总表</w:t>
            </w:r>
          </w:p>
        </w:tc>
      </w:tr>
      <w:tr>
        <w:tblPrEx>
          <w:tblCellMar>
            <w:top w:w="0" w:type="dxa"/>
            <w:left w:w="108" w:type="dxa"/>
            <w:bottom w:w="0" w:type="dxa"/>
            <w:right w:w="108" w:type="dxa"/>
          </w:tblCellMar>
        </w:tblPrEx>
        <w:trPr>
          <w:trHeight w:val="288" w:hRule="atLeast"/>
        </w:trPr>
        <w:tc>
          <w:tcPr>
            <w:tcW w:w="2587" w:type="pct"/>
            <w:gridSpan w:val="4"/>
            <w:tcBorders>
              <w:top w:val="nil"/>
              <w:left w:val="nil"/>
              <w:bottom w:val="nil"/>
              <w:right w:val="nil"/>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预算单位编码及名称：[303]</w:t>
            </w:r>
            <w:r>
              <w:rPr>
                <w:rFonts w:hint="eastAsia" w:ascii="宋体" w:hAnsi="宋体" w:cs="宋体"/>
                <w:color w:val="000000"/>
                <w:kern w:val="0"/>
                <w:sz w:val="18"/>
                <w:szCs w:val="18"/>
                <w:lang w:eastAsia="zh-CN"/>
              </w:rPr>
              <w:t>发展计划委员会</w:t>
            </w:r>
            <w:r>
              <w:rPr>
                <w:rFonts w:hint="eastAsia" w:ascii="宋体" w:hAnsi="宋体" w:cs="宋体"/>
                <w:color w:val="000000"/>
                <w:kern w:val="0"/>
                <w:sz w:val="18"/>
                <w:szCs w:val="18"/>
              </w:rPr>
              <w:t>　</w:t>
            </w:r>
          </w:p>
        </w:tc>
        <w:tc>
          <w:tcPr>
            <w:tcW w:w="1033" w:type="pct"/>
            <w:gridSpan w:val="2"/>
            <w:tcBorders>
              <w:top w:val="nil"/>
              <w:left w:val="nil"/>
              <w:bottom w:val="nil"/>
              <w:right w:val="nil"/>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预算年度：2021</w:t>
            </w:r>
          </w:p>
        </w:tc>
        <w:tc>
          <w:tcPr>
            <w:tcW w:w="1379" w:type="pct"/>
            <w:gridSpan w:val="2"/>
            <w:tcBorders>
              <w:top w:val="nil"/>
              <w:left w:val="nil"/>
              <w:bottom w:val="nil"/>
              <w:right w:val="nil"/>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8" w:hRule="atLeast"/>
        </w:trPr>
        <w:tc>
          <w:tcPr>
            <w:tcW w:w="224"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序号</w:t>
            </w:r>
          </w:p>
        </w:tc>
        <w:tc>
          <w:tcPr>
            <w:tcW w:w="1300" w:type="pct"/>
            <w:gridSpan w:val="2"/>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收入</w:t>
            </w:r>
          </w:p>
        </w:tc>
        <w:tc>
          <w:tcPr>
            <w:tcW w:w="3475" w:type="pct"/>
            <w:gridSpan w:val="5"/>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648" w:hRule="atLeast"/>
        </w:trPr>
        <w:tc>
          <w:tcPr>
            <w:tcW w:w="224"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842"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项    目</w:t>
            </w:r>
          </w:p>
        </w:tc>
        <w:tc>
          <w:tcPr>
            <w:tcW w:w="457"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金额</w:t>
            </w:r>
          </w:p>
        </w:tc>
        <w:tc>
          <w:tcPr>
            <w:tcW w:w="1062"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项    目</w:t>
            </w:r>
          </w:p>
        </w:tc>
        <w:tc>
          <w:tcPr>
            <w:tcW w:w="3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合计</w:t>
            </w:r>
          </w:p>
        </w:tc>
        <w:tc>
          <w:tcPr>
            <w:tcW w:w="63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一般公共预算财政拨款</w:t>
            </w:r>
          </w:p>
        </w:tc>
        <w:tc>
          <w:tcPr>
            <w:tcW w:w="68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政府性基金预算财政拨款</w:t>
            </w:r>
          </w:p>
        </w:tc>
        <w:tc>
          <w:tcPr>
            <w:tcW w:w="6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国有资本经营预算财政拨款</w:t>
            </w: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栏次</w:t>
            </w:r>
          </w:p>
        </w:tc>
        <w:tc>
          <w:tcPr>
            <w:tcW w:w="842"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457"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062"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3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w:t>
            </w:r>
          </w:p>
        </w:tc>
        <w:tc>
          <w:tcPr>
            <w:tcW w:w="63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68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w:t>
            </w:r>
          </w:p>
        </w:tc>
        <w:tc>
          <w:tcPr>
            <w:tcW w:w="6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w:t>
            </w: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一、一般公共预算拨款</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1344.74</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773.62</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773.62</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二、政府性基金预算拨款</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三、国有资本经营预算拨款</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302"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42"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11</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12</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13</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87.41</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87.41</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14</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九、社会保险基金支出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十、卫生健康支出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95.79</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95.79</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16</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十一、节能环保支出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17</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十二、城乡社区支出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18</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十三、农林水支出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19</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十四、交通运输支出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十五、资源勘探工业信息等支出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21</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十六、商业服务业等支出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22</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十七、金融支出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23</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十八、援助其他地区支出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24</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十九、自然资源海洋气象等支出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25</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二十、住房保障支出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53.16</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53.16</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26</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二十一、粮油物资储备支出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334.76</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334.76</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27</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二十二、国有资本经营预算支出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28</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二十三、灾害防治及应急管理支出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29</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二十四、预备费</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二十五、其他支出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31</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二十六、转移性支出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32</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二十七、债务还本支出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33</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二十八、债务付息支出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34</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二十九、债务发行费用支出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35</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三十、抗疫特别国债安排的支出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36</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本年收入合计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1344.74</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本年支出合计</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1344.74</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1344.74</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37</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年初财政拨款结转和结余</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年末财政拨款结转和结余</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38</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一、一般公共预算拨款</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39</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二、政府性基金预算拨款</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40</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三、国有资本经营预算拨款</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41</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收入总计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1344.74</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支出总计</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1344.74</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1344.74</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W w:w="5000" w:type="pct"/>
        <w:tblInd w:w="0" w:type="dxa"/>
        <w:tblLayout w:type="autofit"/>
        <w:tblCellMar>
          <w:top w:w="0" w:type="dxa"/>
          <w:left w:w="108" w:type="dxa"/>
          <w:bottom w:w="0" w:type="dxa"/>
          <w:right w:w="108" w:type="dxa"/>
        </w:tblCellMar>
      </w:tblPr>
      <w:tblGrid>
        <w:gridCol w:w="1241"/>
        <w:gridCol w:w="1242"/>
        <w:gridCol w:w="3955"/>
        <w:gridCol w:w="1562"/>
        <w:gridCol w:w="1562"/>
        <w:gridCol w:w="1562"/>
        <w:gridCol w:w="1227"/>
        <w:gridCol w:w="1823"/>
      </w:tblGrid>
      <w:tr>
        <w:tblPrEx>
          <w:tblCellMar>
            <w:top w:w="0" w:type="dxa"/>
            <w:left w:w="108" w:type="dxa"/>
            <w:bottom w:w="0" w:type="dxa"/>
            <w:right w:w="108" w:type="dxa"/>
          </w:tblCellMar>
        </w:tblPrEx>
        <w:trPr>
          <w:trHeight w:val="552" w:hRule="atLeast"/>
        </w:trPr>
        <w:tc>
          <w:tcPr>
            <w:tcW w:w="5000" w:type="pct"/>
            <w:gridSpan w:val="8"/>
            <w:tcBorders>
              <w:top w:val="nil"/>
              <w:left w:val="nil"/>
              <w:bottom w:val="nil"/>
              <w:right w:val="nil"/>
            </w:tcBorders>
            <w:shd w:val="clear" w:color="FFFFFF" w:themeColor="background1" w:fill="auto"/>
            <w:vAlign w:val="center"/>
          </w:tcPr>
          <w:p>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lang w:eastAsia="zh-CN"/>
              </w:rPr>
              <w:t>部门</w:t>
            </w:r>
            <w:r>
              <w:rPr>
                <w:rFonts w:hint="eastAsia" w:ascii="宋体" w:hAnsi="宋体" w:cs="宋体"/>
                <w:b/>
                <w:bCs/>
                <w:color w:val="000000"/>
                <w:kern w:val="0"/>
                <w:sz w:val="44"/>
                <w:szCs w:val="44"/>
              </w:rPr>
              <w:t>预算一般公共预算财政拨款支出表</w:t>
            </w:r>
          </w:p>
        </w:tc>
      </w:tr>
      <w:tr>
        <w:tblPrEx>
          <w:tblCellMar>
            <w:top w:w="0" w:type="dxa"/>
            <w:left w:w="108" w:type="dxa"/>
            <w:bottom w:w="0" w:type="dxa"/>
            <w:right w:w="108" w:type="dxa"/>
          </w:tblCellMar>
        </w:tblPrEx>
        <w:trPr>
          <w:trHeight w:val="288" w:hRule="atLeast"/>
        </w:trPr>
        <w:tc>
          <w:tcPr>
            <w:tcW w:w="3373" w:type="pct"/>
            <w:gridSpan w:val="5"/>
            <w:tcBorders>
              <w:top w:val="nil"/>
              <w:left w:val="nil"/>
              <w:bottom w:val="nil"/>
              <w:right w:val="nil"/>
            </w:tcBorders>
            <w:shd w:val="clear" w:color="FFFFFF" w:themeColor="background1"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预算单位编码及名称：[303]</w:t>
            </w:r>
            <w:r>
              <w:rPr>
                <w:rFonts w:hint="eastAsia" w:ascii="宋体" w:hAnsi="宋体" w:cs="宋体"/>
                <w:color w:val="000000"/>
                <w:kern w:val="0"/>
                <w:sz w:val="18"/>
                <w:szCs w:val="18"/>
                <w:lang w:eastAsia="zh-CN"/>
              </w:rPr>
              <w:t>发展计划委员会</w:t>
            </w:r>
          </w:p>
        </w:tc>
        <w:tc>
          <w:tcPr>
            <w:tcW w:w="984" w:type="pct"/>
            <w:gridSpan w:val="2"/>
            <w:tcBorders>
              <w:top w:val="nil"/>
              <w:left w:val="nil"/>
              <w:bottom w:val="nil"/>
              <w:right w:val="nil"/>
            </w:tcBorders>
            <w:shd w:val="clear" w:color="FFFFFF" w:themeColor="background1"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预算年度：2021</w:t>
            </w:r>
          </w:p>
        </w:tc>
        <w:tc>
          <w:tcPr>
            <w:tcW w:w="643"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8" w:hRule="atLeast"/>
        </w:trPr>
        <w:tc>
          <w:tcPr>
            <w:tcW w:w="438"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832" w:type="pct"/>
            <w:gridSpan w:val="2"/>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支出功能分类科目</w:t>
            </w:r>
          </w:p>
        </w:tc>
        <w:tc>
          <w:tcPr>
            <w:tcW w:w="551" w:type="pct"/>
            <w:vMerge w:val="restart"/>
            <w:tcBorders>
              <w:top w:val="single" w:color="000000" w:sz="4" w:space="0"/>
              <w:left w:val="single" w:color="000000" w:sz="4" w:space="0"/>
              <w:bottom w:val="nil"/>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535" w:type="pct"/>
            <w:gridSpan w:val="3"/>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基本支出</w:t>
            </w:r>
          </w:p>
        </w:tc>
        <w:tc>
          <w:tcPr>
            <w:tcW w:w="64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288" w:hRule="atLeast"/>
        </w:trPr>
        <w:tc>
          <w:tcPr>
            <w:tcW w:w="438"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139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551" w:type="pct"/>
            <w:vMerge w:val="continue"/>
            <w:tcBorders>
              <w:top w:val="single" w:color="000000" w:sz="4" w:space="0"/>
              <w:left w:val="single" w:color="000000" w:sz="4" w:space="0"/>
              <w:bottom w:val="nil"/>
              <w:right w:val="nil"/>
            </w:tcBorders>
            <w:shd w:val="clear" w:color="FFFFFF" w:themeColor="background1" w:fill="auto"/>
            <w:vAlign w:val="center"/>
          </w:tcPr>
          <w:p>
            <w:pPr>
              <w:widowControl/>
              <w:jc w:val="lef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551"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w:t>
            </w:r>
          </w:p>
        </w:tc>
        <w:tc>
          <w:tcPr>
            <w:tcW w:w="432"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w:t>
            </w:r>
          </w:p>
        </w:tc>
        <w:tc>
          <w:tcPr>
            <w:tcW w:w="64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438"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9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51" w:type="pct"/>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51"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51"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32"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4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38"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rPr>
                <w:rFonts w:ascii="宋体" w:hAnsi="宋体" w:cs="宋体"/>
                <w:color w:val="000000"/>
                <w:kern w:val="0"/>
                <w:sz w:val="18"/>
                <w:szCs w:val="18"/>
              </w:rPr>
            </w:pPr>
          </w:p>
        </w:tc>
        <w:tc>
          <w:tcPr>
            <w:tcW w:w="139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551"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1344.74</w:t>
            </w:r>
          </w:p>
        </w:tc>
        <w:tc>
          <w:tcPr>
            <w:tcW w:w="551" w:type="pct"/>
            <w:tcBorders>
              <w:top w:val="nil"/>
              <w:left w:val="single" w:color="000000" w:sz="4" w:space="0"/>
              <w:bottom w:val="single" w:color="000000" w:sz="4" w:space="0"/>
              <w:right w:val="single" w:color="000000" w:sz="4" w:space="0"/>
            </w:tcBorders>
            <w:shd w:val="clear" w:color="FFFFFF" w:themeColor="background1"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763.98</w:t>
            </w:r>
          </w:p>
        </w:tc>
        <w:tc>
          <w:tcPr>
            <w:tcW w:w="551" w:type="pct"/>
            <w:tcBorders>
              <w:top w:val="nil"/>
              <w:left w:val="single" w:color="000000" w:sz="4" w:space="0"/>
              <w:bottom w:val="single" w:color="000000" w:sz="4" w:space="0"/>
              <w:right w:val="single" w:color="000000" w:sz="4" w:space="0"/>
            </w:tcBorders>
            <w:shd w:val="clear" w:color="FFFFFF" w:themeColor="background1"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721.77</w:t>
            </w:r>
          </w:p>
        </w:tc>
        <w:tc>
          <w:tcPr>
            <w:tcW w:w="432" w:type="pct"/>
            <w:tcBorders>
              <w:top w:val="nil"/>
              <w:left w:val="single" w:color="000000" w:sz="4" w:space="0"/>
              <w:bottom w:val="single" w:color="000000" w:sz="4" w:space="0"/>
              <w:right w:val="single" w:color="000000" w:sz="4" w:space="0"/>
            </w:tcBorders>
            <w:shd w:val="clear" w:color="FFFFFF" w:themeColor="background1"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42.21</w:t>
            </w:r>
          </w:p>
        </w:tc>
        <w:tc>
          <w:tcPr>
            <w:tcW w:w="643" w:type="pct"/>
            <w:tcBorders>
              <w:top w:val="nil"/>
              <w:left w:val="single" w:color="000000" w:sz="4" w:space="0"/>
              <w:bottom w:val="single" w:color="000000" w:sz="4" w:space="0"/>
              <w:right w:val="single" w:color="000000" w:sz="4" w:space="0"/>
            </w:tcBorders>
            <w:shd w:val="clear" w:color="FFFFFF" w:themeColor="background1"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580.76</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一般公共服务支出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485.41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42.21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246.00</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发展与改革事务</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485.41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42.21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246.00</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行政运行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485.41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42.21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2010408</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物价管理</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26.00</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2010499</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其他发展与改革事务支出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220.00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220.00</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2080506</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机关事业单位职业年金缴费支出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2101101</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行政单位医疗</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2101103</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粮油物资储备支出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334.76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334.76</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粮油事务</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234.76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234.76</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2220112</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粮食财务挂账利息补贴</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65.00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65.00</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2220199</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其他粮油事务支出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169.76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169.76</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22204</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粮油储备</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2220401</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储备粮油补贴</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W w:w="5000" w:type="pct"/>
        <w:tblInd w:w="0" w:type="dxa"/>
        <w:tblLayout w:type="autofit"/>
        <w:tblCellMar>
          <w:top w:w="0" w:type="dxa"/>
          <w:left w:w="108" w:type="dxa"/>
          <w:bottom w:w="0" w:type="dxa"/>
          <w:right w:w="108" w:type="dxa"/>
        </w:tblCellMar>
      </w:tblPr>
      <w:tblGrid>
        <w:gridCol w:w="1386"/>
        <w:gridCol w:w="1386"/>
        <w:gridCol w:w="4828"/>
        <w:gridCol w:w="2191"/>
        <w:gridCol w:w="2191"/>
        <w:gridCol w:w="2192"/>
      </w:tblGrid>
      <w:tr>
        <w:tblPrEx>
          <w:tblCellMar>
            <w:top w:w="0" w:type="dxa"/>
            <w:left w:w="108" w:type="dxa"/>
            <w:bottom w:w="0" w:type="dxa"/>
            <w:right w:w="108" w:type="dxa"/>
          </w:tblCellMar>
        </w:tblPrEx>
        <w:trPr>
          <w:trHeight w:val="552" w:hRule="atLeast"/>
        </w:trPr>
        <w:tc>
          <w:tcPr>
            <w:tcW w:w="5000" w:type="pct"/>
            <w:gridSpan w:val="6"/>
            <w:tcBorders>
              <w:top w:val="nil"/>
              <w:left w:val="nil"/>
              <w:bottom w:val="nil"/>
              <w:right w:val="nil"/>
            </w:tcBorders>
            <w:shd w:val="clear" w:color="FFFFFF" w:themeColor="background1" w:fill="auto"/>
            <w:vAlign w:val="center"/>
          </w:tcPr>
          <w:p>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lang w:eastAsia="zh-CN"/>
              </w:rPr>
              <w:t>部门</w:t>
            </w:r>
            <w:r>
              <w:rPr>
                <w:rFonts w:hint="eastAsia" w:ascii="宋体" w:hAnsi="宋体" w:cs="宋体"/>
                <w:b/>
                <w:bCs/>
                <w:color w:val="000000"/>
                <w:kern w:val="0"/>
                <w:sz w:val="44"/>
                <w:szCs w:val="44"/>
              </w:rPr>
              <w:t>预算一般公共预算财政拨款基本支出表</w:t>
            </w:r>
          </w:p>
        </w:tc>
      </w:tr>
      <w:tr>
        <w:tblPrEx>
          <w:tblCellMar>
            <w:top w:w="0" w:type="dxa"/>
            <w:left w:w="108" w:type="dxa"/>
            <w:bottom w:w="0" w:type="dxa"/>
            <w:right w:w="108" w:type="dxa"/>
          </w:tblCellMar>
        </w:tblPrEx>
        <w:trPr>
          <w:trHeight w:val="288" w:hRule="atLeast"/>
        </w:trPr>
        <w:tc>
          <w:tcPr>
            <w:tcW w:w="3454" w:type="pct"/>
            <w:gridSpan w:val="4"/>
            <w:tcBorders>
              <w:top w:val="nil"/>
              <w:left w:val="nil"/>
              <w:bottom w:val="nil"/>
              <w:right w:val="nil"/>
            </w:tcBorders>
            <w:shd w:val="clear" w:color="FFFFFF" w:themeColor="background1"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预算单位编码及名称：[303]</w:t>
            </w:r>
            <w:r>
              <w:rPr>
                <w:rFonts w:hint="eastAsia" w:ascii="宋体" w:hAnsi="宋体" w:cs="宋体"/>
                <w:color w:val="000000"/>
                <w:kern w:val="0"/>
                <w:sz w:val="18"/>
                <w:szCs w:val="18"/>
                <w:lang w:eastAsia="zh-CN"/>
              </w:rPr>
              <w:t>发展计划委员会</w:t>
            </w:r>
          </w:p>
        </w:tc>
        <w:tc>
          <w:tcPr>
            <w:tcW w:w="773"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预算年度：2021</w:t>
            </w:r>
          </w:p>
        </w:tc>
        <w:tc>
          <w:tcPr>
            <w:tcW w:w="773"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8" w:hRule="atLeast"/>
        </w:trPr>
        <w:tc>
          <w:tcPr>
            <w:tcW w:w="489"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192" w:type="pct"/>
            <w:gridSpan w:val="2"/>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支出部门经济分类科目</w:t>
            </w:r>
          </w:p>
        </w:tc>
        <w:tc>
          <w:tcPr>
            <w:tcW w:w="2319" w:type="pct"/>
            <w:gridSpan w:val="3"/>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一般公共预算基本支出</w:t>
            </w:r>
          </w:p>
        </w:tc>
      </w:tr>
      <w:tr>
        <w:tblPrEx>
          <w:tblCellMar>
            <w:top w:w="0" w:type="dxa"/>
            <w:left w:w="108" w:type="dxa"/>
            <w:bottom w:w="0" w:type="dxa"/>
            <w:right w:w="108" w:type="dxa"/>
          </w:tblCellMar>
        </w:tblPrEx>
        <w:trPr>
          <w:trHeight w:val="288" w:hRule="atLeast"/>
        </w:trPr>
        <w:tc>
          <w:tcPr>
            <w:tcW w:w="489"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48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170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77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7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w:t>
            </w:r>
          </w:p>
        </w:tc>
        <w:tc>
          <w:tcPr>
            <w:tcW w:w="77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48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70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7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7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7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763.98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721.77</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42.21</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714.58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714.58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30101</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基本工资</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250.86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250.86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30102</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津贴补贴</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92.69</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92.69</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30103</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奖金</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20.91</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20.91</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30107</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绩效工资</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91.93</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91.93</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30108</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30109</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职业年金缴费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30110</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城镇职工基本医疗保险缴费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30111</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公务员医疗补助缴费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30112</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其他社会保障缴费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4.94</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4.94</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30113</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30199</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其他工资福利支出</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16.89</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16.89</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42.21</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42.21</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30201</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3.56</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30202</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印刷费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0.55</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0.55</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30207</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邮电费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7.78</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30211</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差旅费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3.26</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30215</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会议费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1.09</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1.09</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30216</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培训费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2.17</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2.17</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30217</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公务接待费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0.85</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0.85</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30231</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5.67</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5.67</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30239</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其他交通费用</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17.28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17.28</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7.19</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7.19</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30302</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退休费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30305</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生活补助</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30309</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奖励金</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1.51</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1.51</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bl>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rPr>
          <w:rFonts w:hint="eastAsia"/>
        </w:rPr>
      </w:pPr>
    </w:p>
    <w:tbl>
      <w:tblPr>
        <w:tblStyle w:val="9"/>
        <w:tblW w:w="5000" w:type="pct"/>
        <w:tblInd w:w="0" w:type="dxa"/>
        <w:tblLayout w:type="autofit"/>
        <w:tblCellMar>
          <w:top w:w="0" w:type="dxa"/>
          <w:left w:w="108" w:type="dxa"/>
          <w:bottom w:w="0" w:type="dxa"/>
          <w:right w:w="108" w:type="dxa"/>
        </w:tblCellMar>
      </w:tblPr>
      <w:tblGrid>
        <w:gridCol w:w="3561"/>
        <w:gridCol w:w="2109"/>
        <w:gridCol w:w="2112"/>
        <w:gridCol w:w="2112"/>
        <w:gridCol w:w="2140"/>
        <w:gridCol w:w="2140"/>
      </w:tblGrid>
      <w:tr>
        <w:tblPrEx>
          <w:tblCellMar>
            <w:top w:w="0" w:type="dxa"/>
            <w:left w:w="108" w:type="dxa"/>
            <w:bottom w:w="0" w:type="dxa"/>
            <w:right w:w="108" w:type="dxa"/>
          </w:tblCellMar>
        </w:tblPrEx>
        <w:trPr>
          <w:trHeight w:val="552" w:hRule="atLeast"/>
        </w:trPr>
        <w:tc>
          <w:tcPr>
            <w:tcW w:w="5000" w:type="pct"/>
            <w:gridSpan w:val="6"/>
            <w:tcBorders>
              <w:top w:val="nil"/>
              <w:left w:val="nil"/>
              <w:bottom w:val="nil"/>
              <w:right w:val="nil"/>
            </w:tcBorders>
            <w:shd w:val="clear" w:color="FFFFFF" w:themeColor="background1" w:fill="auto"/>
            <w:vAlign w:val="center"/>
          </w:tcPr>
          <w:p>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lang w:eastAsia="zh-CN"/>
              </w:rPr>
              <w:t>部门</w:t>
            </w:r>
            <w:r>
              <w:rPr>
                <w:rFonts w:hint="eastAsia" w:ascii="宋体" w:hAnsi="宋体" w:cs="宋体"/>
                <w:b/>
                <w:bCs/>
                <w:color w:val="000000"/>
                <w:kern w:val="0"/>
                <w:sz w:val="44"/>
                <w:szCs w:val="44"/>
              </w:rPr>
              <w:t>预算政府基金预算财政拨款支出表</w:t>
            </w:r>
          </w:p>
        </w:tc>
      </w:tr>
      <w:tr>
        <w:tblPrEx>
          <w:tblCellMar>
            <w:top w:w="0" w:type="dxa"/>
            <w:left w:w="108" w:type="dxa"/>
            <w:bottom w:w="0" w:type="dxa"/>
            <w:right w:w="108" w:type="dxa"/>
          </w:tblCellMar>
        </w:tblPrEx>
        <w:trPr>
          <w:trHeight w:val="288" w:hRule="atLeast"/>
        </w:trPr>
        <w:tc>
          <w:tcPr>
            <w:tcW w:w="3489" w:type="pct"/>
            <w:gridSpan w:val="4"/>
            <w:tcBorders>
              <w:top w:val="nil"/>
              <w:left w:val="nil"/>
              <w:bottom w:val="nil"/>
              <w:right w:val="nil"/>
            </w:tcBorders>
            <w:shd w:val="clear" w:color="FFFFFF" w:themeColor="background1"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预算单位编码及名称：[303]</w:t>
            </w:r>
            <w:r>
              <w:rPr>
                <w:rFonts w:hint="eastAsia" w:ascii="宋体" w:hAnsi="宋体" w:cs="宋体"/>
                <w:color w:val="000000"/>
                <w:kern w:val="0"/>
                <w:sz w:val="18"/>
                <w:szCs w:val="18"/>
                <w:lang w:eastAsia="zh-CN"/>
              </w:rPr>
              <w:t>发展计划委员会</w:t>
            </w:r>
          </w:p>
        </w:tc>
        <w:tc>
          <w:tcPr>
            <w:tcW w:w="755"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预算年度：2021</w:t>
            </w:r>
          </w:p>
        </w:tc>
        <w:tc>
          <w:tcPr>
            <w:tcW w:w="755"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8" w:hRule="atLeast"/>
        </w:trPr>
        <w:tc>
          <w:tcPr>
            <w:tcW w:w="1256"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489" w:type="pct"/>
            <w:gridSpan w:val="2"/>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支出功能分类科目</w:t>
            </w:r>
          </w:p>
        </w:tc>
        <w:tc>
          <w:tcPr>
            <w:tcW w:w="744"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55"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基本支出</w:t>
            </w:r>
          </w:p>
        </w:tc>
        <w:tc>
          <w:tcPr>
            <w:tcW w:w="755"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744" w:type="pct"/>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744"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755"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755"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256"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74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44" w:type="pct"/>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4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5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5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8"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nil"/>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nil"/>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nil"/>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nil"/>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nil"/>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256"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44"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44"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44"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55"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55"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256"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本年无政府基金预算，空表列示</w:t>
            </w:r>
          </w:p>
        </w:tc>
        <w:tc>
          <w:tcPr>
            <w:tcW w:w="744"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44"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44"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55"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55"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W w:w="5000" w:type="pct"/>
        <w:tblInd w:w="0" w:type="dxa"/>
        <w:tblLayout w:type="autofit"/>
        <w:tblCellMar>
          <w:top w:w="0" w:type="dxa"/>
          <w:left w:w="108" w:type="dxa"/>
          <w:bottom w:w="0" w:type="dxa"/>
          <w:right w:w="108" w:type="dxa"/>
        </w:tblCellMar>
      </w:tblPr>
      <w:tblGrid>
        <w:gridCol w:w="4065"/>
        <w:gridCol w:w="2004"/>
        <w:gridCol w:w="2004"/>
        <w:gridCol w:w="2004"/>
        <w:gridCol w:w="2050"/>
        <w:gridCol w:w="2047"/>
      </w:tblGrid>
      <w:tr>
        <w:tblPrEx>
          <w:tblCellMar>
            <w:top w:w="0" w:type="dxa"/>
            <w:left w:w="108" w:type="dxa"/>
            <w:bottom w:w="0" w:type="dxa"/>
            <w:right w:w="108" w:type="dxa"/>
          </w:tblCellMar>
        </w:tblPrEx>
        <w:trPr>
          <w:trHeight w:val="552" w:hRule="atLeast"/>
        </w:trPr>
        <w:tc>
          <w:tcPr>
            <w:tcW w:w="5000" w:type="pct"/>
            <w:gridSpan w:val="6"/>
            <w:tcBorders>
              <w:top w:val="nil"/>
              <w:left w:val="nil"/>
              <w:bottom w:val="nil"/>
              <w:right w:val="nil"/>
            </w:tcBorders>
            <w:shd w:val="clear" w:color="FFFFFF" w:themeColor="background1" w:fill="auto"/>
            <w:vAlign w:val="center"/>
          </w:tcPr>
          <w:p>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lang w:eastAsia="zh-CN"/>
              </w:rPr>
              <w:t>部门</w:t>
            </w:r>
            <w:r>
              <w:rPr>
                <w:rFonts w:hint="eastAsia" w:ascii="宋体" w:hAnsi="宋体" w:cs="宋体"/>
                <w:b/>
                <w:bCs/>
                <w:color w:val="000000"/>
                <w:kern w:val="0"/>
                <w:sz w:val="44"/>
                <w:szCs w:val="44"/>
              </w:rPr>
              <w:t>预算国有资本经营预算财政拨款支出表</w:t>
            </w:r>
          </w:p>
        </w:tc>
      </w:tr>
      <w:tr>
        <w:tblPrEx>
          <w:tblCellMar>
            <w:top w:w="0" w:type="dxa"/>
            <w:left w:w="108" w:type="dxa"/>
            <w:bottom w:w="0" w:type="dxa"/>
            <w:right w:w="108" w:type="dxa"/>
          </w:tblCellMar>
        </w:tblPrEx>
        <w:trPr>
          <w:trHeight w:val="288" w:hRule="atLeast"/>
        </w:trPr>
        <w:tc>
          <w:tcPr>
            <w:tcW w:w="3555" w:type="pct"/>
            <w:gridSpan w:val="4"/>
            <w:tcBorders>
              <w:top w:val="nil"/>
              <w:left w:val="nil"/>
              <w:bottom w:val="nil"/>
              <w:right w:val="nil"/>
            </w:tcBorders>
            <w:shd w:val="clear" w:color="FFFFFF" w:themeColor="background1"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预算单位编码及名称：[303]</w:t>
            </w:r>
            <w:r>
              <w:rPr>
                <w:rFonts w:hint="eastAsia" w:ascii="宋体" w:hAnsi="宋体" w:cs="宋体"/>
                <w:color w:val="000000"/>
                <w:kern w:val="0"/>
                <w:sz w:val="18"/>
                <w:szCs w:val="18"/>
                <w:lang w:eastAsia="zh-CN"/>
              </w:rPr>
              <w:t>发展计划委员会</w:t>
            </w:r>
          </w:p>
        </w:tc>
        <w:tc>
          <w:tcPr>
            <w:tcW w:w="723"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预算年度：2021</w:t>
            </w:r>
          </w:p>
        </w:tc>
        <w:tc>
          <w:tcPr>
            <w:tcW w:w="723"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8" w:hRule="atLeast"/>
        </w:trPr>
        <w:tc>
          <w:tcPr>
            <w:tcW w:w="1434"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414" w:type="pct"/>
            <w:gridSpan w:val="2"/>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支出功能分类科目</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2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基本支出</w:t>
            </w:r>
          </w:p>
        </w:tc>
        <w:tc>
          <w:tcPr>
            <w:tcW w:w="72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288" w:hRule="atLeast"/>
        </w:trPr>
        <w:tc>
          <w:tcPr>
            <w:tcW w:w="1434"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707" w:type="pct"/>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707"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7" w:type="pct"/>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7"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2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2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8" w:hRule="atLeast"/>
        </w:trPr>
        <w:tc>
          <w:tcPr>
            <w:tcW w:w="14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nil"/>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nil"/>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nil"/>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07"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07"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07"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23"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23"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本年无国有资本经营预算，空表列示</w:t>
            </w:r>
          </w:p>
        </w:tc>
        <w:tc>
          <w:tcPr>
            <w:tcW w:w="707"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07"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07"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23"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23"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W w:w="5000" w:type="pct"/>
        <w:tblInd w:w="0" w:type="dxa"/>
        <w:tblLayout w:type="autofit"/>
        <w:tblCellMar>
          <w:top w:w="0" w:type="dxa"/>
          <w:left w:w="108" w:type="dxa"/>
          <w:bottom w:w="0" w:type="dxa"/>
          <w:right w:w="108" w:type="dxa"/>
        </w:tblCellMar>
      </w:tblPr>
      <w:tblGrid>
        <w:gridCol w:w="706"/>
        <w:gridCol w:w="4436"/>
        <w:gridCol w:w="2052"/>
        <w:gridCol w:w="2279"/>
        <w:gridCol w:w="2308"/>
        <w:gridCol w:w="2393"/>
      </w:tblGrid>
      <w:tr>
        <w:tblPrEx>
          <w:tblCellMar>
            <w:top w:w="0" w:type="dxa"/>
            <w:left w:w="108" w:type="dxa"/>
            <w:bottom w:w="0" w:type="dxa"/>
            <w:right w:w="108" w:type="dxa"/>
          </w:tblCellMar>
        </w:tblPrEx>
        <w:trPr>
          <w:trHeight w:val="552" w:hRule="atLeast"/>
        </w:trPr>
        <w:tc>
          <w:tcPr>
            <w:tcW w:w="5000" w:type="pct"/>
            <w:gridSpan w:val="6"/>
            <w:tcBorders>
              <w:top w:val="nil"/>
              <w:left w:val="nil"/>
              <w:bottom w:val="nil"/>
              <w:right w:val="nil"/>
            </w:tcBorders>
            <w:shd w:val="clear" w:color="FFFFFF" w:themeColor="background1" w:fill="auto"/>
            <w:vAlign w:val="center"/>
          </w:tcPr>
          <w:p>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lang w:eastAsia="zh-CN"/>
              </w:rPr>
              <w:t>部门</w:t>
            </w:r>
            <w:r>
              <w:rPr>
                <w:rFonts w:hint="eastAsia" w:ascii="宋体" w:hAnsi="宋体" w:cs="宋体"/>
                <w:b/>
                <w:bCs/>
                <w:color w:val="000000"/>
                <w:kern w:val="0"/>
                <w:sz w:val="44"/>
                <w:szCs w:val="44"/>
              </w:rPr>
              <w:t>预算财政拨款“三公”经费支出表</w:t>
            </w:r>
          </w:p>
        </w:tc>
      </w:tr>
      <w:tr>
        <w:tblPrEx>
          <w:tblCellMar>
            <w:top w:w="0" w:type="dxa"/>
            <w:left w:w="108" w:type="dxa"/>
            <w:bottom w:w="0" w:type="dxa"/>
            <w:right w:w="108" w:type="dxa"/>
          </w:tblCellMar>
        </w:tblPrEx>
        <w:trPr>
          <w:trHeight w:val="288" w:hRule="atLeast"/>
        </w:trPr>
        <w:tc>
          <w:tcPr>
            <w:tcW w:w="3342" w:type="pct"/>
            <w:gridSpan w:val="4"/>
            <w:tcBorders>
              <w:top w:val="nil"/>
              <w:left w:val="nil"/>
              <w:bottom w:val="nil"/>
              <w:right w:val="nil"/>
            </w:tcBorders>
            <w:shd w:val="clear" w:color="FFFFFF" w:themeColor="background1"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预算单位编码及名称：[303]</w:t>
            </w:r>
            <w:r>
              <w:rPr>
                <w:rFonts w:hint="eastAsia" w:ascii="宋体" w:hAnsi="宋体" w:cs="宋体"/>
                <w:color w:val="000000"/>
                <w:kern w:val="0"/>
                <w:sz w:val="18"/>
                <w:szCs w:val="18"/>
                <w:lang w:eastAsia="zh-CN"/>
              </w:rPr>
              <w:t>发展计划委员会</w:t>
            </w:r>
          </w:p>
        </w:tc>
        <w:tc>
          <w:tcPr>
            <w:tcW w:w="814"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预算年度：2021</w:t>
            </w:r>
          </w:p>
        </w:tc>
        <w:tc>
          <w:tcPr>
            <w:tcW w:w="844"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8" w:hRule="atLeast"/>
        </w:trPr>
        <w:tc>
          <w:tcPr>
            <w:tcW w:w="249"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565"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  目</w:t>
            </w:r>
          </w:p>
        </w:tc>
        <w:tc>
          <w:tcPr>
            <w:tcW w:w="3185" w:type="pct"/>
            <w:gridSpan w:val="4"/>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资金性质</w:t>
            </w:r>
          </w:p>
        </w:tc>
      </w:tr>
      <w:tr>
        <w:tblPrEx>
          <w:tblCellMar>
            <w:top w:w="0" w:type="dxa"/>
            <w:left w:w="108" w:type="dxa"/>
            <w:bottom w:w="0" w:type="dxa"/>
            <w:right w:w="108" w:type="dxa"/>
          </w:tblCellMar>
        </w:tblPrEx>
        <w:trPr>
          <w:trHeight w:val="432" w:hRule="atLeast"/>
        </w:trPr>
        <w:tc>
          <w:tcPr>
            <w:tcW w:w="249"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1565"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72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80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一般公共预算财政拨款</w:t>
            </w:r>
          </w:p>
        </w:tc>
        <w:tc>
          <w:tcPr>
            <w:tcW w:w="81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政府性基金财政拨款</w:t>
            </w:r>
          </w:p>
        </w:tc>
        <w:tc>
          <w:tcPr>
            <w:tcW w:w="84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国有资本经营预算财政拨款</w:t>
            </w: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156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0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1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4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41.52</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41.52</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一、因公出国（境）费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其中：教学科研人员因公出国（境）费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其他因公出国（境）费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二、公务用车购置及运维费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15.67</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15.67</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其中：公务用车购置费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公务用车运行维护费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15.67</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15.67</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三、公务接待费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25.85</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25.85</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spacing w:before="100" w:beforeAutospacing="1" w:after="100" w:afterAutospacing="1" w:line="450" w:lineRule="atLeast"/>
        <w:jc w:val="center"/>
        <w:outlineLvl w:val="2"/>
        <w:rPr>
          <w:rFonts w:ascii="方正小标宋简体" w:hAnsi="Arial" w:cs="Arial"/>
          <w:b/>
          <w:bCs/>
          <w:color w:val="333333"/>
          <w:kern w:val="0"/>
          <w:sz w:val="40"/>
          <w:szCs w:val="40"/>
        </w:rPr>
      </w:pPr>
      <w:r>
        <w:rPr>
          <w:rFonts w:ascii="宋体" w:hAnsi="宋体" w:cs="Arial"/>
          <w:b/>
          <w:bCs/>
          <w:color w:val="333333"/>
          <w:kern w:val="0"/>
          <w:sz w:val="40"/>
          <w:szCs w:val="40"/>
        </w:rPr>
        <w:t>乐亭县发展和改革局</w:t>
      </w:r>
      <w:r>
        <w:rPr>
          <w:rFonts w:ascii="方正小标宋简体" w:hAnsi="Arial" w:cs="Arial"/>
          <w:b/>
          <w:bCs/>
          <w:color w:val="333333"/>
          <w:kern w:val="0"/>
          <w:sz w:val="40"/>
          <w:szCs w:val="40"/>
        </w:rPr>
        <w:t>202</w:t>
      </w:r>
      <w:r>
        <w:rPr>
          <w:rFonts w:hint="eastAsia" w:ascii="方正小标宋简体" w:hAnsi="方正小标宋简体" w:cs="Arial"/>
          <w:b/>
          <w:bCs/>
          <w:color w:val="333333"/>
          <w:kern w:val="0"/>
          <w:sz w:val="40"/>
          <w:szCs w:val="40"/>
        </w:rPr>
        <w:t>1</w:t>
      </w:r>
      <w:r>
        <w:rPr>
          <w:rFonts w:ascii="宋体" w:hAnsi="宋体" w:cs="Arial"/>
          <w:b/>
          <w:bCs/>
          <w:color w:val="333333"/>
          <w:kern w:val="0"/>
          <w:sz w:val="40"/>
          <w:szCs w:val="40"/>
        </w:rPr>
        <w:t>年</w:t>
      </w:r>
      <w:r>
        <w:rPr>
          <w:rFonts w:hint="eastAsia" w:ascii="宋体" w:hAnsi="宋体" w:cs="Arial"/>
          <w:b/>
          <w:bCs/>
          <w:color w:val="333333"/>
          <w:kern w:val="0"/>
          <w:sz w:val="40"/>
          <w:szCs w:val="40"/>
          <w:lang w:eastAsia="zh-CN"/>
        </w:rPr>
        <w:t>部门</w:t>
      </w:r>
      <w:r>
        <w:rPr>
          <w:rFonts w:ascii="宋体" w:hAnsi="宋体" w:cs="Arial"/>
          <w:b/>
          <w:bCs/>
          <w:color w:val="333333"/>
          <w:kern w:val="0"/>
          <w:sz w:val="40"/>
          <w:szCs w:val="40"/>
        </w:rPr>
        <w:t>预算说明</w:t>
      </w:r>
    </w:p>
    <w:p>
      <w:pPr>
        <w:widowControl/>
        <w:spacing w:line="360" w:lineRule="auto"/>
        <w:ind w:firstLine="640"/>
        <w:rPr>
          <w:rFonts w:ascii="方正仿宋简体" w:hAnsi="宋体" w:cs="Arial"/>
          <w:color w:val="333333"/>
          <w:kern w:val="0"/>
          <w:sz w:val="32"/>
          <w:szCs w:val="32"/>
        </w:rPr>
      </w:pPr>
      <w:r>
        <w:rPr>
          <w:rFonts w:ascii="宋体" w:hAnsi="宋体" w:cs="Arial"/>
          <w:color w:val="333333"/>
          <w:kern w:val="0"/>
          <w:sz w:val="32"/>
          <w:szCs w:val="32"/>
        </w:rPr>
        <w:t>根据《中华人民共和国预算法》、《河北省委办公厅印发〈关于进一步推进预算公开工作的实施意见〉的通知》（冀办发</w:t>
      </w:r>
      <w:r>
        <w:rPr>
          <w:rFonts w:ascii="方正仿宋简体" w:hAnsi="宋体" w:cs="Arial"/>
          <w:color w:val="333333"/>
          <w:kern w:val="0"/>
          <w:sz w:val="32"/>
          <w:szCs w:val="32"/>
        </w:rPr>
        <w:t>[2016]29</w:t>
      </w:r>
      <w:r>
        <w:rPr>
          <w:rFonts w:ascii="宋体" w:hAnsi="宋体" w:cs="Arial"/>
          <w:color w:val="333333"/>
          <w:kern w:val="0"/>
          <w:sz w:val="32"/>
          <w:szCs w:val="32"/>
        </w:rPr>
        <w:t>号）、《河北省财政厅关于印发〈河北省预决算公开操作规程实施细则〉的通知》（冀财预</w:t>
      </w:r>
      <w:r>
        <w:rPr>
          <w:rFonts w:ascii="方正仿宋简体" w:hAnsi="方正仿宋简体" w:cs="Arial"/>
          <w:color w:val="333333"/>
          <w:kern w:val="0"/>
          <w:sz w:val="32"/>
          <w:szCs w:val="32"/>
        </w:rPr>
        <w:t>[2016]129</w:t>
      </w:r>
      <w:r>
        <w:rPr>
          <w:rFonts w:ascii="宋体" w:hAnsi="宋体" w:cs="Arial"/>
          <w:color w:val="333333"/>
          <w:kern w:val="0"/>
          <w:sz w:val="32"/>
          <w:szCs w:val="32"/>
        </w:rPr>
        <w:t>号）和政府信息公开制度等有关规定，以及《乐亭县财政局关于下达</w:t>
      </w:r>
      <w:r>
        <w:rPr>
          <w:rFonts w:ascii="方正仿宋简体" w:hAnsi="方正仿宋简体" w:cs="Arial"/>
          <w:color w:val="333333"/>
          <w:kern w:val="0"/>
          <w:sz w:val="32"/>
          <w:szCs w:val="32"/>
        </w:rPr>
        <w:t>202</w:t>
      </w:r>
      <w:r>
        <w:rPr>
          <w:rFonts w:hint="eastAsia" w:ascii="方正仿宋简体" w:hAnsi="方正仿宋简体" w:cs="Arial"/>
          <w:color w:val="333333"/>
          <w:kern w:val="0"/>
          <w:sz w:val="32"/>
          <w:szCs w:val="32"/>
        </w:rPr>
        <w:t>1</w:t>
      </w:r>
      <w:r>
        <w:rPr>
          <w:rFonts w:ascii="宋体" w:hAnsi="宋体" w:cs="Arial"/>
          <w:color w:val="333333"/>
          <w:kern w:val="0"/>
          <w:sz w:val="32"/>
          <w:szCs w:val="32"/>
        </w:rPr>
        <w:t>年部门支出预算的批复》（乐财预</w:t>
      </w:r>
      <w:r>
        <w:rPr>
          <w:rFonts w:ascii="方正仿宋简体" w:hAnsi="宋体" w:cs="Arial"/>
          <w:color w:val="333333"/>
          <w:kern w:val="0"/>
          <w:sz w:val="32"/>
          <w:szCs w:val="32"/>
        </w:rPr>
        <w:t>[202</w:t>
      </w:r>
      <w:r>
        <w:rPr>
          <w:rFonts w:hint="eastAsia" w:ascii="方正仿宋简体" w:hAnsi="方正仿宋简体" w:cs="Arial"/>
          <w:color w:val="333333"/>
          <w:kern w:val="0"/>
          <w:sz w:val="32"/>
          <w:szCs w:val="32"/>
        </w:rPr>
        <w:t>1</w:t>
      </w:r>
      <w:r>
        <w:rPr>
          <w:rFonts w:ascii="方正仿宋简体" w:hAnsi="宋体" w:cs="Arial"/>
          <w:color w:val="333333"/>
          <w:kern w:val="0"/>
          <w:sz w:val="32"/>
          <w:szCs w:val="32"/>
        </w:rPr>
        <w:t>]</w:t>
      </w:r>
      <w:r>
        <w:rPr>
          <w:rFonts w:hint="eastAsia" w:ascii="方正仿宋简体" w:hAnsi="方正仿宋简体" w:cs="Arial"/>
          <w:color w:val="333333"/>
          <w:kern w:val="0"/>
          <w:sz w:val="32"/>
          <w:szCs w:val="32"/>
        </w:rPr>
        <w:t>2</w:t>
      </w:r>
      <w:r>
        <w:rPr>
          <w:rFonts w:ascii="宋体" w:hAnsi="宋体" w:cs="Arial"/>
          <w:color w:val="333333"/>
          <w:kern w:val="0"/>
          <w:sz w:val="32"/>
          <w:szCs w:val="32"/>
        </w:rPr>
        <w:t>号），现将乐亭县发展和改革局</w:t>
      </w:r>
      <w:r>
        <w:rPr>
          <w:rFonts w:ascii="方正仿宋简体" w:hAnsi="宋体" w:cs="Arial"/>
          <w:color w:val="333333"/>
          <w:kern w:val="0"/>
          <w:sz w:val="32"/>
          <w:szCs w:val="32"/>
        </w:rPr>
        <w:t>202</w:t>
      </w:r>
      <w:r>
        <w:rPr>
          <w:rFonts w:hint="eastAsia" w:ascii="方正仿宋简体" w:hAnsi="方正仿宋简体" w:cs="Arial"/>
          <w:color w:val="333333"/>
          <w:kern w:val="0"/>
          <w:sz w:val="32"/>
          <w:szCs w:val="32"/>
        </w:rPr>
        <w:t>1</w:t>
      </w:r>
      <w:r>
        <w:rPr>
          <w:rFonts w:ascii="宋体" w:hAnsi="宋体" w:cs="Arial"/>
          <w:color w:val="333333"/>
          <w:kern w:val="0"/>
          <w:sz w:val="32"/>
          <w:szCs w:val="32"/>
        </w:rPr>
        <w:t>年度</w:t>
      </w:r>
      <w:r>
        <w:rPr>
          <w:rFonts w:hint="eastAsia" w:ascii="宋体" w:hAnsi="宋体" w:cs="Arial"/>
          <w:color w:val="333333"/>
          <w:kern w:val="0"/>
          <w:sz w:val="32"/>
          <w:szCs w:val="32"/>
          <w:lang w:eastAsia="zh-CN"/>
        </w:rPr>
        <w:t>部门</w:t>
      </w:r>
      <w:r>
        <w:rPr>
          <w:rFonts w:ascii="宋体" w:hAnsi="宋体" w:cs="Arial"/>
          <w:color w:val="333333"/>
          <w:kern w:val="0"/>
          <w:sz w:val="32"/>
          <w:szCs w:val="32"/>
        </w:rPr>
        <w:t>预算及“三公”经费信息有关情况说明如下</w:t>
      </w:r>
      <w:r>
        <w:rPr>
          <w:rFonts w:ascii="方正仿宋简体" w:hAnsi="方正仿宋简体" w:cs="Arial"/>
          <w:color w:val="333333"/>
          <w:kern w:val="0"/>
          <w:sz w:val="32"/>
          <w:szCs w:val="32"/>
        </w:rPr>
        <w:t>:</w:t>
      </w:r>
    </w:p>
    <w:p>
      <w:pPr>
        <w:widowControl/>
        <w:spacing w:line="360" w:lineRule="auto"/>
        <w:ind w:firstLine="640"/>
        <w:jc w:val="left"/>
        <w:rPr>
          <w:rFonts w:ascii="方正黑体简体" w:hAnsi="方正黑体简体" w:cs="宋体"/>
          <w:b/>
          <w:bCs/>
          <w:color w:val="333333"/>
          <w:kern w:val="0"/>
          <w:sz w:val="32"/>
          <w:szCs w:val="32"/>
        </w:rPr>
      </w:pPr>
      <w:r>
        <w:rPr>
          <w:rFonts w:ascii="宋体" w:hAnsi="宋体"/>
          <w:b/>
          <w:bCs/>
          <w:color w:val="333333"/>
          <w:kern w:val="0"/>
          <w:sz w:val="32"/>
          <w:szCs w:val="32"/>
        </w:rPr>
        <w:t>一、</w:t>
      </w:r>
      <w:r>
        <w:rPr>
          <w:rFonts w:hint="eastAsia" w:ascii="宋体" w:hAnsi="宋体"/>
          <w:b/>
          <w:bCs/>
          <w:color w:val="333333"/>
          <w:kern w:val="0"/>
          <w:sz w:val="32"/>
          <w:szCs w:val="32"/>
          <w:lang w:eastAsia="zh-CN"/>
        </w:rPr>
        <w:t>部门</w:t>
      </w:r>
      <w:r>
        <w:rPr>
          <w:rFonts w:ascii="宋体" w:hAnsi="宋体"/>
          <w:b/>
          <w:bCs/>
          <w:color w:val="333333"/>
          <w:kern w:val="0"/>
          <w:sz w:val="32"/>
          <w:szCs w:val="32"/>
        </w:rPr>
        <w:t>职责及机构设置情况</w:t>
      </w:r>
    </w:p>
    <w:p>
      <w:pPr>
        <w:widowControl/>
        <w:spacing w:line="360" w:lineRule="auto"/>
        <w:ind w:firstLine="640"/>
        <w:jc w:val="left"/>
        <w:rPr>
          <w:rFonts w:ascii="方正楷体简体" w:hAnsi="方正楷体简体"/>
          <w:color w:val="333333"/>
          <w:kern w:val="0"/>
          <w:sz w:val="32"/>
          <w:szCs w:val="32"/>
        </w:rPr>
      </w:pPr>
      <w:r>
        <w:rPr>
          <w:rFonts w:ascii="宋体" w:hAnsi="宋体"/>
          <w:color w:val="333333"/>
          <w:kern w:val="0"/>
          <w:sz w:val="32"/>
          <w:szCs w:val="32"/>
        </w:rPr>
        <w:t>（一）主要职责</w:t>
      </w:r>
    </w:p>
    <w:p>
      <w:pPr>
        <w:spacing w:line="560" w:lineRule="exact"/>
        <w:ind w:firstLine="640" w:firstLineChars="200"/>
        <w:rPr>
          <w:rFonts w:ascii="宋体" w:hAnsi="宋体" w:eastAsia="方正仿宋简体"/>
          <w:sz w:val="32"/>
          <w:szCs w:val="32"/>
        </w:rPr>
      </w:pPr>
      <w:r>
        <w:rPr>
          <w:rFonts w:ascii="宋体" w:hAnsi="宋体"/>
          <w:sz w:val="32"/>
          <w:szCs w:val="32"/>
        </w:rPr>
        <w:t>（一）拟订并组织实施全县国民经济和社会发展战略、中长期规划和年度计划。牵头组织统一规划体系建设。负责县级专项规划、区域规划、空间规划与全县发展规划的统筹衔接。起草国民经济和社会发展、经济体制改革和对外开放的有关规定草案，制定规范性文件。</w:t>
      </w:r>
    </w:p>
    <w:p>
      <w:pPr>
        <w:spacing w:line="560" w:lineRule="exact"/>
        <w:ind w:firstLine="640" w:firstLineChars="200"/>
        <w:rPr>
          <w:rFonts w:hint="eastAsia" w:ascii="宋体" w:hAnsi="宋体"/>
          <w:sz w:val="32"/>
          <w:szCs w:val="32"/>
        </w:rPr>
      </w:pPr>
      <w:r>
        <w:rPr>
          <w:rFonts w:ascii="宋体" w:hAnsi="宋体"/>
          <w:sz w:val="32"/>
          <w:szCs w:val="32"/>
        </w:rPr>
        <w:t>（二）提出加快建设全县现代化经济体系、推动高质量发展的总体目标、重大任务以及相关政策。组织开展重大战略规划、重大政策、重大工程等的评估督导，提出相关调整建议。</w:t>
      </w:r>
    </w:p>
    <w:p>
      <w:pPr>
        <w:spacing w:line="560" w:lineRule="exact"/>
        <w:ind w:firstLine="640" w:firstLineChars="200"/>
        <w:rPr>
          <w:rFonts w:ascii="宋体" w:hAnsi="宋体"/>
          <w:sz w:val="32"/>
          <w:szCs w:val="32"/>
        </w:rPr>
      </w:pPr>
      <w:r>
        <w:rPr>
          <w:rFonts w:ascii="宋体" w:hAnsi="宋体"/>
          <w:sz w:val="32"/>
          <w:szCs w:val="32"/>
        </w:rP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pPr>
        <w:spacing w:line="560" w:lineRule="exact"/>
        <w:ind w:firstLine="640" w:firstLineChars="200"/>
        <w:rPr>
          <w:rFonts w:ascii="宋体" w:hAnsi="宋体"/>
          <w:sz w:val="32"/>
          <w:szCs w:val="32"/>
        </w:rPr>
      </w:pPr>
      <w:r>
        <w:rPr>
          <w:rFonts w:ascii="宋体" w:hAnsi="宋体"/>
          <w:sz w:val="32"/>
          <w:szCs w:val="32"/>
        </w:rP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w:t>
      </w:r>
      <w:r>
        <w:rPr>
          <w:rFonts w:ascii="宋体" w:hAnsi="宋体"/>
          <w:color w:val="000000"/>
          <w:sz w:val="32"/>
          <w:szCs w:val="32"/>
        </w:rPr>
        <w:t>牵头推进优化营商环境工作。</w:t>
      </w:r>
    </w:p>
    <w:p>
      <w:pPr>
        <w:spacing w:line="560" w:lineRule="exact"/>
        <w:ind w:firstLine="640" w:firstLineChars="200"/>
        <w:rPr>
          <w:rFonts w:ascii="宋体" w:hAnsi="宋体"/>
          <w:sz w:val="32"/>
          <w:szCs w:val="32"/>
        </w:rPr>
      </w:pPr>
      <w:r>
        <w:rPr>
          <w:rFonts w:ascii="宋体" w:hAnsi="宋体"/>
          <w:sz w:val="32"/>
          <w:szCs w:val="32"/>
        </w:rPr>
        <w:t>（五）提出全县利用外资和境外投资的战略、规划、总量平衡和结构优化政策。牵头推进实施全县</w:t>
      </w:r>
      <w:r>
        <w:rPr>
          <w:rFonts w:hint="eastAsia" w:ascii="宋体" w:hAnsi="宋体"/>
          <w:sz w:val="32"/>
          <w:szCs w:val="32"/>
        </w:rPr>
        <w:t>“一带一路”建设有关工作。承担统筹协调走出去有关工作。会同有关部门贯彻落实国家外商投资准入负面清单。负责全县全口径外债的总量控制、结构优化和监测工作。</w:t>
      </w:r>
    </w:p>
    <w:p>
      <w:pPr>
        <w:spacing w:line="560" w:lineRule="exact"/>
        <w:ind w:firstLine="640" w:firstLineChars="200"/>
        <w:rPr>
          <w:rFonts w:ascii="宋体" w:hAnsi="宋体"/>
          <w:sz w:val="32"/>
          <w:szCs w:val="32"/>
        </w:rPr>
      </w:pPr>
      <w:r>
        <w:rPr>
          <w:rFonts w:ascii="宋体" w:hAnsi="宋体"/>
          <w:sz w:val="32"/>
          <w:szCs w:val="32"/>
        </w:rP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pPr>
        <w:spacing w:line="560" w:lineRule="exact"/>
        <w:ind w:firstLine="640" w:firstLineChars="200"/>
        <w:rPr>
          <w:rFonts w:ascii="宋体" w:hAnsi="宋体"/>
          <w:sz w:val="32"/>
          <w:szCs w:val="32"/>
        </w:rPr>
      </w:pPr>
      <w:r>
        <w:rPr>
          <w:rFonts w:ascii="宋体" w:hAnsi="宋体"/>
          <w:sz w:val="32"/>
          <w:szCs w:val="32"/>
        </w:rPr>
        <w:t>（七）推进落实区域协调发展战略、新型城镇化战略和重大政策，组织拟订相关区域规划和政策。推进实施京津冀协同发展等区域发展战略。组织拟订和实施老少边穷及其他特殊困难地区发展规划和政策，组织实施易地扶贫搬迁等。统筹协调区域合作和对口支援工作。组织编制并推动实施新型城镇化规划。</w:t>
      </w:r>
    </w:p>
    <w:p>
      <w:pPr>
        <w:spacing w:line="560" w:lineRule="exact"/>
        <w:ind w:firstLine="640" w:firstLineChars="200"/>
        <w:rPr>
          <w:rFonts w:ascii="宋体" w:hAnsi="宋体"/>
          <w:sz w:val="32"/>
          <w:szCs w:val="32"/>
        </w:rPr>
      </w:pPr>
      <w:r>
        <w:rPr>
          <w:rFonts w:ascii="宋体" w:hAnsi="宋体"/>
          <w:sz w:val="32"/>
          <w:szCs w:val="32"/>
        </w:rP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spacing w:line="560" w:lineRule="exact"/>
        <w:ind w:firstLine="640" w:firstLineChars="200"/>
        <w:rPr>
          <w:rFonts w:ascii="宋体" w:hAnsi="宋体"/>
          <w:sz w:val="32"/>
          <w:szCs w:val="32"/>
        </w:rPr>
      </w:pPr>
      <w:r>
        <w:rPr>
          <w:rFonts w:ascii="宋体" w:hAnsi="宋体"/>
          <w:sz w:val="32"/>
          <w:szCs w:val="32"/>
        </w:rP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pPr>
        <w:spacing w:line="560" w:lineRule="exact"/>
        <w:ind w:firstLine="640" w:firstLineChars="200"/>
        <w:rPr>
          <w:rFonts w:ascii="宋体" w:hAnsi="宋体"/>
          <w:sz w:val="32"/>
          <w:szCs w:val="32"/>
        </w:rPr>
      </w:pPr>
      <w:r>
        <w:rPr>
          <w:rFonts w:ascii="宋体" w:hAnsi="宋体"/>
          <w:sz w:val="32"/>
          <w:szCs w:val="32"/>
        </w:rPr>
        <w:t>（十）跟踪研判涉及经济安全、生态安全、资源安全、科技安全、社会安全等各类风险隐患，提出相关工作建议。协调落实重要工业品、原材料和重要农产品进出口调控措施。会同有关部门拟订全县储备物资品种目录、总体发展规划。</w:t>
      </w:r>
    </w:p>
    <w:p>
      <w:pPr>
        <w:spacing w:line="560" w:lineRule="exact"/>
        <w:ind w:firstLine="640" w:firstLineChars="200"/>
        <w:rPr>
          <w:rFonts w:ascii="宋体" w:hAnsi="宋体"/>
          <w:sz w:val="32"/>
          <w:szCs w:val="32"/>
        </w:rPr>
      </w:pPr>
      <w:r>
        <w:rPr>
          <w:rFonts w:ascii="宋体" w:hAnsi="宋体"/>
          <w:sz w:val="32"/>
          <w:szCs w:val="32"/>
        </w:rPr>
        <w:t>（十一）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pPr>
        <w:spacing w:line="560" w:lineRule="exact"/>
        <w:ind w:firstLine="640" w:firstLineChars="200"/>
        <w:rPr>
          <w:rFonts w:ascii="宋体" w:hAnsi="宋体"/>
          <w:sz w:val="32"/>
          <w:szCs w:val="32"/>
        </w:rPr>
      </w:pPr>
      <w:r>
        <w:rPr>
          <w:rFonts w:ascii="宋体" w:hAnsi="宋体"/>
          <w:sz w:val="32"/>
          <w:szCs w:val="32"/>
        </w:rP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pPr>
        <w:spacing w:line="560" w:lineRule="exact"/>
        <w:ind w:firstLine="640" w:firstLineChars="200"/>
        <w:rPr>
          <w:rFonts w:ascii="宋体" w:hAnsi="宋体"/>
          <w:sz w:val="32"/>
          <w:szCs w:val="32"/>
        </w:rPr>
      </w:pPr>
      <w:r>
        <w:rPr>
          <w:rFonts w:ascii="宋体" w:hAnsi="宋体"/>
          <w:sz w:val="32"/>
          <w:szCs w:val="32"/>
        </w:rPr>
        <w:t>（十三）组织拟订推进全县经济建设与国防建设协调发展的战略和规划，组织推进经济建设项目贯彻国防要求。</w:t>
      </w:r>
    </w:p>
    <w:p>
      <w:pPr>
        <w:spacing w:line="560" w:lineRule="exact"/>
        <w:ind w:firstLine="640" w:firstLineChars="200"/>
        <w:rPr>
          <w:rFonts w:ascii="宋体" w:hAnsi="宋体"/>
          <w:sz w:val="32"/>
          <w:szCs w:val="32"/>
        </w:rPr>
      </w:pPr>
      <w:r>
        <w:rPr>
          <w:rFonts w:ascii="宋体" w:hAnsi="宋体"/>
          <w:sz w:val="32"/>
          <w:szCs w:val="32"/>
        </w:rPr>
        <w:t>（十四）负责全县粮食物资和能源管理工作。</w:t>
      </w:r>
    </w:p>
    <w:p>
      <w:pPr>
        <w:spacing w:line="560" w:lineRule="exact"/>
        <w:ind w:firstLine="640" w:firstLineChars="200"/>
        <w:rPr>
          <w:rFonts w:ascii="宋体" w:hAnsi="宋体"/>
          <w:sz w:val="32"/>
          <w:szCs w:val="32"/>
        </w:rPr>
      </w:pPr>
      <w:r>
        <w:rPr>
          <w:rFonts w:ascii="宋体" w:hAnsi="宋体"/>
          <w:sz w:val="32"/>
          <w:szCs w:val="32"/>
        </w:rPr>
        <w:t>（十五）负责重要商品和服务价格定调价前期成本监审工作和重要产品成本调查工作。</w:t>
      </w:r>
    </w:p>
    <w:p>
      <w:pPr>
        <w:spacing w:line="560" w:lineRule="exact"/>
        <w:ind w:firstLine="640" w:firstLineChars="200"/>
        <w:rPr>
          <w:rFonts w:ascii="宋体" w:hAnsi="宋体"/>
          <w:sz w:val="32"/>
          <w:szCs w:val="32"/>
        </w:rPr>
      </w:pPr>
      <w:r>
        <w:rPr>
          <w:rFonts w:ascii="宋体" w:hAnsi="宋体"/>
          <w:sz w:val="32"/>
          <w:szCs w:val="32"/>
        </w:rPr>
        <w:t>（十六）负责全县地方铁路行业管理工作。牵头负责铁路沿线环境安全监管职责。</w:t>
      </w:r>
    </w:p>
    <w:p>
      <w:pPr>
        <w:spacing w:line="560" w:lineRule="exact"/>
        <w:ind w:firstLine="640" w:firstLineChars="200"/>
        <w:rPr>
          <w:rFonts w:ascii="宋体" w:hAnsi="宋体"/>
          <w:sz w:val="32"/>
          <w:szCs w:val="32"/>
        </w:rPr>
      </w:pPr>
      <w:r>
        <w:rPr>
          <w:rFonts w:ascii="宋体" w:hAnsi="宋体"/>
          <w:sz w:val="32"/>
          <w:szCs w:val="32"/>
        </w:rPr>
        <w:t>（十七）承担县委财经委员会、县推进京津冀协同发展工作领导小组、县重点建设领导小组、县钢铁煤炭行业化解过剩产能领导小组、县从事生产经营活动事业单位改革领导小组等有关具体工作。</w:t>
      </w:r>
    </w:p>
    <w:p>
      <w:pPr>
        <w:spacing w:line="560" w:lineRule="exact"/>
        <w:ind w:firstLine="640" w:firstLineChars="200"/>
        <w:rPr>
          <w:rFonts w:ascii="宋体" w:hAnsi="宋体"/>
          <w:sz w:val="32"/>
          <w:szCs w:val="32"/>
        </w:rPr>
      </w:pPr>
      <w:r>
        <w:rPr>
          <w:rFonts w:ascii="宋体" w:hAnsi="宋体"/>
          <w:sz w:val="32"/>
          <w:szCs w:val="32"/>
        </w:rPr>
        <w:t>（十八）完成县委、县政府交办的其他任务。</w:t>
      </w:r>
    </w:p>
    <w:p>
      <w:pPr>
        <w:widowControl/>
        <w:spacing w:line="360" w:lineRule="auto"/>
        <w:ind w:firstLine="480" w:firstLineChars="150"/>
        <w:rPr>
          <w:rFonts w:ascii="方正楷体简体" w:hAnsi="方正楷体简体"/>
          <w:color w:val="333333"/>
          <w:kern w:val="0"/>
          <w:sz w:val="32"/>
          <w:szCs w:val="32"/>
        </w:rPr>
      </w:pPr>
      <w:r>
        <w:rPr>
          <w:rFonts w:ascii="宋体" w:hAnsi="宋体"/>
          <w:color w:val="333333"/>
          <w:kern w:val="0"/>
          <w:sz w:val="32"/>
          <w:szCs w:val="32"/>
        </w:rPr>
        <w:t>（二）机构设置情况</w:t>
      </w:r>
    </w:p>
    <w:p>
      <w:pPr>
        <w:widowControl/>
        <w:spacing w:line="360" w:lineRule="auto"/>
        <w:ind w:firstLine="640" w:firstLineChars="200"/>
        <w:rPr>
          <w:rFonts w:hint="eastAsia" w:ascii="方正仿宋简体" w:hAnsi="宋体" w:cs="Arial"/>
          <w:color w:val="333333"/>
          <w:kern w:val="0"/>
          <w:sz w:val="32"/>
          <w:szCs w:val="32"/>
        </w:rPr>
      </w:pPr>
      <w:r>
        <w:rPr>
          <w:rFonts w:ascii="方正仿宋简体" w:hAnsi="宋体" w:cs="Arial"/>
          <w:color w:val="333333"/>
          <w:kern w:val="0"/>
          <w:sz w:val="32"/>
          <w:szCs w:val="32"/>
        </w:rPr>
        <w:t>1</w:t>
      </w:r>
      <w:r>
        <w:rPr>
          <w:rFonts w:ascii="宋体" w:hAnsi="宋体" w:cs="Arial"/>
          <w:color w:val="333333"/>
          <w:kern w:val="0"/>
          <w:sz w:val="32"/>
          <w:szCs w:val="32"/>
        </w:rPr>
        <w:t>、机构及组成单位情况</w:t>
      </w:r>
    </w:p>
    <w:p>
      <w:pPr>
        <w:widowControl/>
        <w:spacing w:line="360" w:lineRule="auto"/>
        <w:ind w:firstLine="640" w:firstLineChars="200"/>
        <w:rPr>
          <w:rFonts w:ascii="方正仿宋简体" w:hAnsi="宋体" w:cs="Arial"/>
          <w:color w:val="333333"/>
          <w:kern w:val="0"/>
          <w:sz w:val="32"/>
          <w:szCs w:val="32"/>
        </w:rPr>
      </w:pPr>
      <w:r>
        <w:rPr>
          <w:rFonts w:ascii="方正仿宋简体" w:hAnsi="宋体" w:cs="Arial"/>
          <w:color w:val="333333"/>
          <w:kern w:val="0"/>
          <w:sz w:val="32"/>
          <w:szCs w:val="32"/>
        </w:rPr>
        <w:t xml:space="preserve"> </w:t>
      </w:r>
      <w:r>
        <w:rPr>
          <w:rFonts w:hint="eastAsia" w:ascii="宋体" w:hAnsi="宋体" w:cs="Arial"/>
          <w:color w:val="333333"/>
          <w:kern w:val="0"/>
          <w:sz w:val="32"/>
          <w:szCs w:val="32"/>
          <w:lang w:eastAsia="zh-CN"/>
        </w:rPr>
        <w:t>部门</w:t>
      </w:r>
      <w:r>
        <w:rPr>
          <w:rFonts w:ascii="宋体" w:hAnsi="宋体" w:cs="Arial"/>
          <w:color w:val="333333"/>
          <w:kern w:val="0"/>
          <w:sz w:val="32"/>
          <w:szCs w:val="32"/>
        </w:rPr>
        <w:t>机构设置情况</w:t>
      </w:r>
    </w:p>
    <w:tbl>
      <w:tblPr>
        <w:tblStyle w:val="9"/>
        <w:tblW w:w="3652" w:type="pct"/>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1728"/>
        <w:gridCol w:w="2322"/>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72" w:type="pct"/>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方正仿宋简体" w:hAnsi="宋体" w:cs="Arial"/>
                <w:color w:val="333333"/>
                <w:kern w:val="0"/>
                <w:sz w:val="32"/>
                <w:szCs w:val="32"/>
              </w:rPr>
            </w:pPr>
            <w:r>
              <w:rPr>
                <w:rFonts w:ascii="宋体" w:hAnsi="宋体" w:cs="Arial"/>
                <w:color w:val="333333"/>
                <w:kern w:val="0"/>
                <w:sz w:val="32"/>
                <w:szCs w:val="32"/>
              </w:rPr>
              <w:t>单位名称</w:t>
            </w:r>
          </w:p>
        </w:tc>
        <w:tc>
          <w:tcPr>
            <w:tcW w:w="834" w:type="pct"/>
            <w:tcBorders>
              <w:top w:val="single" w:color="auto" w:sz="4" w:space="0"/>
              <w:left w:val="nil"/>
              <w:bottom w:val="single" w:color="auto" w:sz="4" w:space="0"/>
              <w:right w:val="single" w:color="auto" w:sz="4" w:space="0"/>
            </w:tcBorders>
          </w:tcPr>
          <w:p>
            <w:pPr>
              <w:widowControl/>
              <w:spacing w:line="360" w:lineRule="auto"/>
              <w:jc w:val="center"/>
              <w:rPr>
                <w:rFonts w:ascii="方正仿宋简体" w:hAnsi="宋体" w:cs="Arial"/>
                <w:color w:val="333333"/>
                <w:kern w:val="0"/>
                <w:sz w:val="32"/>
                <w:szCs w:val="32"/>
              </w:rPr>
            </w:pPr>
            <w:r>
              <w:rPr>
                <w:rFonts w:ascii="宋体" w:hAnsi="宋体" w:cs="Arial"/>
                <w:color w:val="333333"/>
                <w:kern w:val="0"/>
                <w:sz w:val="32"/>
                <w:szCs w:val="32"/>
              </w:rPr>
              <w:t>单位性质</w:t>
            </w:r>
          </w:p>
        </w:tc>
        <w:tc>
          <w:tcPr>
            <w:tcW w:w="1121" w:type="pct"/>
            <w:tcBorders>
              <w:top w:val="single" w:color="auto" w:sz="4" w:space="0"/>
              <w:left w:val="nil"/>
              <w:bottom w:val="single" w:color="auto" w:sz="4" w:space="0"/>
              <w:right w:val="single" w:color="auto" w:sz="4" w:space="0"/>
            </w:tcBorders>
          </w:tcPr>
          <w:p>
            <w:pPr>
              <w:widowControl/>
              <w:spacing w:line="360" w:lineRule="auto"/>
              <w:jc w:val="center"/>
              <w:rPr>
                <w:rFonts w:ascii="方正仿宋简体" w:hAnsi="宋体" w:cs="Arial"/>
                <w:color w:val="333333"/>
                <w:kern w:val="0"/>
                <w:sz w:val="32"/>
                <w:szCs w:val="32"/>
              </w:rPr>
            </w:pPr>
            <w:r>
              <w:rPr>
                <w:rFonts w:ascii="宋体" w:hAnsi="宋体" w:cs="Arial"/>
                <w:color w:val="333333"/>
                <w:kern w:val="0"/>
                <w:sz w:val="32"/>
                <w:szCs w:val="32"/>
              </w:rPr>
              <w:t>单位规格</w:t>
            </w:r>
          </w:p>
        </w:tc>
        <w:tc>
          <w:tcPr>
            <w:tcW w:w="1571" w:type="pct"/>
            <w:tcBorders>
              <w:top w:val="single" w:color="auto" w:sz="4" w:space="0"/>
              <w:left w:val="nil"/>
              <w:bottom w:val="single" w:color="auto" w:sz="4" w:space="0"/>
              <w:right w:val="single" w:color="auto" w:sz="4" w:space="0"/>
            </w:tcBorders>
          </w:tcPr>
          <w:p>
            <w:pPr>
              <w:widowControl/>
              <w:spacing w:line="360" w:lineRule="auto"/>
              <w:jc w:val="center"/>
              <w:rPr>
                <w:rFonts w:ascii="方正仿宋简体" w:hAnsi="宋体" w:cs="Arial"/>
                <w:color w:val="333333"/>
                <w:kern w:val="0"/>
                <w:sz w:val="32"/>
                <w:szCs w:val="32"/>
              </w:rPr>
            </w:pPr>
            <w:r>
              <w:rPr>
                <w:rFonts w:ascii="宋体" w:hAnsi="宋体" w:cs="Arial"/>
                <w:color w:val="333333"/>
                <w:kern w:val="0"/>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72" w:type="pct"/>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方正仿宋简体" w:hAnsi="宋体" w:cs="Arial"/>
                <w:color w:val="333333"/>
                <w:kern w:val="0"/>
                <w:sz w:val="30"/>
                <w:szCs w:val="30"/>
              </w:rPr>
            </w:pPr>
            <w:r>
              <w:rPr>
                <w:rFonts w:ascii="宋体" w:hAnsi="宋体" w:cs="Arial"/>
                <w:color w:val="333333"/>
                <w:kern w:val="0"/>
                <w:sz w:val="30"/>
                <w:szCs w:val="30"/>
              </w:rPr>
              <w:t>乐亭县发展和改革局</w:t>
            </w:r>
          </w:p>
        </w:tc>
        <w:tc>
          <w:tcPr>
            <w:tcW w:w="834" w:type="pct"/>
            <w:tcBorders>
              <w:top w:val="single" w:color="auto" w:sz="4" w:space="0"/>
              <w:left w:val="nil"/>
              <w:bottom w:val="single" w:color="auto" w:sz="4" w:space="0"/>
              <w:right w:val="single" w:color="auto" w:sz="4" w:space="0"/>
            </w:tcBorders>
          </w:tcPr>
          <w:p>
            <w:pPr>
              <w:widowControl/>
              <w:spacing w:line="360" w:lineRule="auto"/>
              <w:jc w:val="center"/>
              <w:rPr>
                <w:rFonts w:ascii="方正仿宋简体" w:hAnsi="宋体" w:cs="Arial"/>
                <w:color w:val="333333"/>
                <w:kern w:val="0"/>
                <w:sz w:val="32"/>
                <w:szCs w:val="32"/>
              </w:rPr>
            </w:pPr>
            <w:r>
              <w:rPr>
                <w:rFonts w:ascii="宋体" w:hAnsi="宋体" w:cs="Arial"/>
                <w:color w:val="333333"/>
                <w:kern w:val="0"/>
                <w:sz w:val="32"/>
                <w:szCs w:val="32"/>
              </w:rPr>
              <w:t>行政</w:t>
            </w:r>
          </w:p>
        </w:tc>
        <w:tc>
          <w:tcPr>
            <w:tcW w:w="1121" w:type="pct"/>
            <w:tcBorders>
              <w:top w:val="single" w:color="auto" w:sz="4" w:space="0"/>
              <w:left w:val="nil"/>
              <w:bottom w:val="single" w:color="auto" w:sz="4" w:space="0"/>
              <w:right w:val="single" w:color="auto" w:sz="4" w:space="0"/>
            </w:tcBorders>
          </w:tcPr>
          <w:p>
            <w:pPr>
              <w:widowControl/>
              <w:spacing w:line="360" w:lineRule="auto"/>
              <w:jc w:val="center"/>
              <w:rPr>
                <w:rFonts w:ascii="方正仿宋简体" w:hAnsi="宋体" w:cs="Arial"/>
                <w:color w:val="333333"/>
                <w:kern w:val="0"/>
                <w:sz w:val="32"/>
                <w:szCs w:val="32"/>
              </w:rPr>
            </w:pPr>
            <w:r>
              <w:rPr>
                <w:rFonts w:ascii="宋体" w:hAnsi="宋体" w:cs="Arial"/>
                <w:color w:val="333333"/>
                <w:kern w:val="0"/>
                <w:sz w:val="32"/>
                <w:szCs w:val="32"/>
              </w:rPr>
              <w:t>正科级</w:t>
            </w:r>
          </w:p>
        </w:tc>
        <w:tc>
          <w:tcPr>
            <w:tcW w:w="1571" w:type="pct"/>
            <w:tcBorders>
              <w:top w:val="single" w:color="auto" w:sz="4" w:space="0"/>
              <w:left w:val="nil"/>
              <w:bottom w:val="single" w:color="auto" w:sz="4" w:space="0"/>
              <w:right w:val="single" w:color="auto" w:sz="4" w:space="0"/>
            </w:tcBorders>
          </w:tcPr>
          <w:p>
            <w:pPr>
              <w:widowControl/>
              <w:spacing w:line="360" w:lineRule="auto"/>
              <w:jc w:val="center"/>
              <w:rPr>
                <w:rFonts w:ascii="方正仿宋简体" w:hAnsi="宋体" w:cs="Arial"/>
                <w:color w:val="333333"/>
                <w:kern w:val="0"/>
                <w:sz w:val="32"/>
                <w:szCs w:val="32"/>
              </w:rPr>
            </w:pPr>
            <w:r>
              <w:rPr>
                <w:rFonts w:ascii="宋体" w:hAnsi="宋体" w:cs="Arial"/>
                <w:color w:val="333333"/>
                <w:kern w:val="0"/>
                <w:sz w:val="32"/>
                <w:szCs w:val="32"/>
              </w:rPr>
              <w:t>财政拨款</w:t>
            </w:r>
          </w:p>
        </w:tc>
      </w:tr>
    </w:tbl>
    <w:p>
      <w:pPr>
        <w:widowControl/>
        <w:spacing w:line="360" w:lineRule="auto"/>
        <w:ind w:firstLine="640" w:firstLineChars="200"/>
        <w:rPr>
          <w:rFonts w:ascii="方正仿宋简体" w:hAnsi="宋体" w:cs="Arial"/>
          <w:color w:val="333333"/>
          <w:kern w:val="0"/>
          <w:sz w:val="32"/>
          <w:szCs w:val="32"/>
        </w:rPr>
      </w:pPr>
      <w:r>
        <w:rPr>
          <w:rFonts w:ascii="方正仿宋简体" w:hAnsi="宋体" w:cs="Arial"/>
          <w:color w:val="333333"/>
          <w:kern w:val="0"/>
          <w:sz w:val="32"/>
          <w:szCs w:val="32"/>
        </w:rPr>
        <w:t xml:space="preserve"> </w:t>
      </w:r>
    </w:p>
    <w:p>
      <w:pPr>
        <w:widowControl/>
        <w:spacing w:line="360" w:lineRule="auto"/>
        <w:ind w:firstLine="640" w:firstLineChars="200"/>
        <w:rPr>
          <w:rFonts w:ascii="方正仿宋简体" w:hAnsi="宋体" w:cs="Arial"/>
          <w:color w:val="333333"/>
          <w:kern w:val="0"/>
          <w:sz w:val="32"/>
          <w:szCs w:val="32"/>
        </w:rPr>
      </w:pPr>
      <w:r>
        <w:rPr>
          <w:rFonts w:ascii="宋体" w:hAnsi="宋体" w:cs="Arial"/>
          <w:color w:val="333333"/>
          <w:kern w:val="0"/>
          <w:sz w:val="32"/>
          <w:szCs w:val="32"/>
        </w:rPr>
        <w:t>乐亭县发展和改革局是独立编制预算机构，下设办公室、发展和规划科、工业和能源科、重点项目科、综改和财经科、价格调控科、粮食和物资管理科、重点项目服务中心、经济研究中心、节能检测中心、价格认证中心、粮食资产运营中心、</w:t>
      </w:r>
      <w:r>
        <w:rPr>
          <w:rFonts w:hint="eastAsia" w:ascii="宋体" w:hAnsi="宋体" w:cs="Arial"/>
          <w:color w:val="333333"/>
          <w:kern w:val="0"/>
          <w:sz w:val="32"/>
          <w:szCs w:val="32"/>
        </w:rPr>
        <w:t>粮食物资储备中心</w:t>
      </w:r>
      <w:r>
        <w:rPr>
          <w:rFonts w:ascii="宋体" w:hAnsi="宋体" w:cs="Arial"/>
          <w:color w:val="333333"/>
          <w:kern w:val="0"/>
          <w:sz w:val="32"/>
          <w:szCs w:val="32"/>
        </w:rPr>
        <w:t>。</w:t>
      </w:r>
    </w:p>
    <w:p>
      <w:pPr>
        <w:widowControl/>
        <w:spacing w:line="360" w:lineRule="auto"/>
        <w:ind w:firstLine="640"/>
        <w:rPr>
          <w:rFonts w:ascii="方正仿宋简体" w:hAnsi="宋体" w:cs="Arial"/>
          <w:color w:val="333333"/>
          <w:kern w:val="0"/>
          <w:sz w:val="32"/>
          <w:szCs w:val="32"/>
        </w:rPr>
      </w:pPr>
      <w:r>
        <w:rPr>
          <w:rFonts w:ascii="方正仿宋简体" w:hAnsi="宋体" w:cs="Arial"/>
          <w:color w:val="333333"/>
          <w:kern w:val="0"/>
          <w:sz w:val="32"/>
          <w:szCs w:val="32"/>
        </w:rPr>
        <w:t>2</w:t>
      </w:r>
      <w:r>
        <w:rPr>
          <w:rFonts w:ascii="宋体" w:hAnsi="宋体" w:cs="Arial"/>
          <w:color w:val="333333"/>
          <w:kern w:val="0"/>
          <w:sz w:val="32"/>
          <w:szCs w:val="32"/>
        </w:rPr>
        <w:t>、人员构成情况</w:t>
      </w:r>
    </w:p>
    <w:p>
      <w:pPr>
        <w:widowControl/>
        <w:spacing w:line="360" w:lineRule="auto"/>
        <w:ind w:firstLine="640"/>
        <w:rPr>
          <w:rFonts w:ascii="方正仿宋简体" w:hAnsi="宋体" w:cs="Arial"/>
          <w:color w:val="333333"/>
          <w:kern w:val="0"/>
          <w:sz w:val="32"/>
          <w:szCs w:val="32"/>
        </w:rPr>
      </w:pPr>
      <w:r>
        <w:rPr>
          <w:rFonts w:ascii="宋体" w:hAnsi="宋体" w:cs="Arial"/>
          <w:color w:val="333333"/>
          <w:kern w:val="0"/>
          <w:sz w:val="32"/>
          <w:szCs w:val="32"/>
        </w:rPr>
        <w:t>乐亭县发展和改革局共有</w:t>
      </w:r>
      <w:r>
        <w:rPr>
          <w:rFonts w:ascii="方正仿宋简体" w:hAnsi="宋体" w:cs="Arial"/>
          <w:color w:val="333333"/>
          <w:kern w:val="0"/>
          <w:sz w:val="32"/>
          <w:szCs w:val="32"/>
        </w:rPr>
        <w:t>13</w:t>
      </w:r>
      <w:r>
        <w:rPr>
          <w:rFonts w:hint="eastAsia" w:ascii="方正仿宋简体" w:hAnsi="方正仿宋简体" w:cs="Arial"/>
          <w:color w:val="333333"/>
          <w:kern w:val="0"/>
          <w:sz w:val="32"/>
          <w:szCs w:val="32"/>
        </w:rPr>
        <w:t>5</w:t>
      </w:r>
      <w:r>
        <w:rPr>
          <w:rFonts w:ascii="宋体" w:hAnsi="宋体" w:cs="Arial"/>
          <w:color w:val="333333"/>
          <w:kern w:val="0"/>
          <w:sz w:val="32"/>
          <w:szCs w:val="32"/>
        </w:rPr>
        <w:t>人，其中：在职人员</w:t>
      </w:r>
      <w:r>
        <w:rPr>
          <w:rFonts w:hint="eastAsia" w:ascii="方正仿宋简体" w:hAnsi="方正仿宋简体" w:cs="Arial"/>
          <w:color w:val="333333"/>
          <w:kern w:val="0"/>
          <w:sz w:val="32"/>
          <w:szCs w:val="32"/>
        </w:rPr>
        <w:t>67</w:t>
      </w:r>
      <w:r>
        <w:rPr>
          <w:rFonts w:ascii="宋体" w:hAnsi="宋体" w:cs="Arial"/>
          <w:color w:val="333333"/>
          <w:kern w:val="0"/>
          <w:sz w:val="32"/>
          <w:szCs w:val="32"/>
        </w:rPr>
        <w:t>人，离退休人员</w:t>
      </w:r>
      <w:r>
        <w:rPr>
          <w:rFonts w:ascii="方正仿宋简体" w:hAnsi="宋体" w:cs="Arial"/>
          <w:color w:val="333333"/>
          <w:kern w:val="0"/>
          <w:sz w:val="32"/>
          <w:szCs w:val="32"/>
        </w:rPr>
        <w:t>6</w:t>
      </w:r>
      <w:r>
        <w:rPr>
          <w:rFonts w:hint="eastAsia" w:ascii="方正仿宋简体" w:hAnsi="方正仿宋简体" w:cs="Arial"/>
          <w:color w:val="333333"/>
          <w:kern w:val="0"/>
          <w:sz w:val="32"/>
          <w:szCs w:val="32"/>
        </w:rPr>
        <w:t>8</w:t>
      </w:r>
      <w:r>
        <w:rPr>
          <w:rFonts w:ascii="宋体" w:hAnsi="宋体" w:cs="Arial"/>
          <w:color w:val="333333"/>
          <w:kern w:val="0"/>
          <w:sz w:val="32"/>
          <w:szCs w:val="32"/>
        </w:rPr>
        <w:t>人。</w:t>
      </w:r>
    </w:p>
    <w:p>
      <w:pPr>
        <w:widowControl/>
        <w:spacing w:line="360" w:lineRule="auto"/>
        <w:ind w:firstLine="640"/>
        <w:rPr>
          <w:rFonts w:ascii="方正仿宋简体" w:hAnsi="宋体" w:cs="Arial"/>
          <w:color w:val="333333"/>
          <w:kern w:val="0"/>
          <w:sz w:val="32"/>
          <w:szCs w:val="32"/>
        </w:rPr>
      </w:pPr>
      <w:r>
        <w:rPr>
          <w:rFonts w:ascii="方正仿宋简体" w:hAnsi="宋体" w:cs="Arial"/>
          <w:color w:val="333333"/>
          <w:kern w:val="0"/>
          <w:sz w:val="32"/>
          <w:szCs w:val="32"/>
        </w:rPr>
        <w:t>3</w:t>
      </w:r>
      <w:r>
        <w:rPr>
          <w:rFonts w:ascii="宋体" w:hAnsi="宋体" w:cs="Arial"/>
          <w:color w:val="333333"/>
          <w:kern w:val="0"/>
          <w:sz w:val="32"/>
          <w:szCs w:val="32"/>
        </w:rPr>
        <w:t>、资产情况</w:t>
      </w:r>
    </w:p>
    <w:p>
      <w:pPr>
        <w:widowControl/>
        <w:spacing w:line="360" w:lineRule="auto"/>
        <w:ind w:firstLine="640"/>
        <w:rPr>
          <w:rFonts w:ascii="方正仿宋简体" w:hAnsi="宋体" w:cs="Arial"/>
          <w:color w:val="333333"/>
          <w:kern w:val="0"/>
          <w:sz w:val="32"/>
          <w:szCs w:val="32"/>
        </w:rPr>
      </w:pPr>
      <w:r>
        <w:rPr>
          <w:rFonts w:ascii="宋体" w:hAnsi="宋体" w:cs="Arial"/>
          <w:color w:val="333333"/>
          <w:kern w:val="0"/>
          <w:sz w:val="32"/>
          <w:szCs w:val="32"/>
        </w:rPr>
        <w:t>房屋面积</w:t>
      </w:r>
      <w:r>
        <w:rPr>
          <w:rFonts w:hint="eastAsia" w:ascii="方正仿宋简体" w:hAnsi="方正仿宋简体" w:cs="Arial"/>
          <w:color w:val="333333"/>
          <w:kern w:val="0"/>
          <w:sz w:val="32"/>
          <w:szCs w:val="32"/>
        </w:rPr>
        <w:t>1475.70</w:t>
      </w:r>
      <w:r>
        <w:rPr>
          <w:rFonts w:ascii="宋体" w:hAnsi="宋体" w:cs="Arial"/>
          <w:color w:val="333333"/>
          <w:kern w:val="0"/>
          <w:sz w:val="32"/>
          <w:szCs w:val="32"/>
        </w:rPr>
        <w:t>平方米，机动车</w:t>
      </w:r>
      <w:r>
        <w:rPr>
          <w:rFonts w:ascii="方正仿宋简体" w:hAnsi="宋体" w:cs="Arial"/>
          <w:color w:val="333333"/>
          <w:kern w:val="0"/>
          <w:sz w:val="32"/>
          <w:szCs w:val="32"/>
        </w:rPr>
        <w:t xml:space="preserve">2 </w:t>
      </w:r>
      <w:r>
        <w:rPr>
          <w:rFonts w:ascii="宋体" w:hAnsi="宋体" w:cs="Arial"/>
          <w:color w:val="333333"/>
          <w:kern w:val="0"/>
          <w:sz w:val="32"/>
          <w:szCs w:val="32"/>
        </w:rPr>
        <w:t>辆，电话</w:t>
      </w:r>
      <w:r>
        <w:rPr>
          <w:rFonts w:ascii="方正仿宋简体" w:hAnsi="方正仿宋简体" w:cs="Arial"/>
          <w:color w:val="333333"/>
          <w:kern w:val="0"/>
          <w:sz w:val="32"/>
          <w:szCs w:val="32"/>
        </w:rPr>
        <w:t xml:space="preserve">50 </w:t>
      </w:r>
      <w:r>
        <w:rPr>
          <w:rFonts w:ascii="宋体" w:hAnsi="宋体" w:cs="Arial"/>
          <w:color w:val="333333"/>
          <w:kern w:val="0"/>
          <w:sz w:val="32"/>
          <w:szCs w:val="32"/>
        </w:rPr>
        <w:t>部。</w:t>
      </w:r>
    </w:p>
    <w:p>
      <w:pPr>
        <w:widowControl/>
        <w:spacing w:line="360" w:lineRule="auto"/>
        <w:ind w:firstLine="640"/>
        <w:rPr>
          <w:rFonts w:ascii="方正仿宋简体" w:hAnsi="宋体" w:cs="Arial"/>
          <w:b/>
          <w:bCs/>
          <w:color w:val="333333"/>
          <w:kern w:val="0"/>
          <w:sz w:val="32"/>
          <w:szCs w:val="32"/>
        </w:rPr>
      </w:pPr>
      <w:r>
        <w:rPr>
          <w:rFonts w:ascii="宋体" w:hAnsi="宋体"/>
          <w:b/>
          <w:bCs/>
          <w:color w:val="333333"/>
          <w:kern w:val="0"/>
          <w:sz w:val="32"/>
          <w:szCs w:val="32"/>
        </w:rPr>
        <w:t>二、</w:t>
      </w:r>
      <w:r>
        <w:rPr>
          <w:rFonts w:hint="eastAsia" w:ascii="宋体" w:hAnsi="宋体"/>
          <w:b/>
          <w:bCs/>
          <w:color w:val="333333"/>
          <w:kern w:val="0"/>
          <w:sz w:val="32"/>
          <w:szCs w:val="32"/>
          <w:lang w:eastAsia="zh-CN"/>
        </w:rPr>
        <w:t>部门</w:t>
      </w:r>
      <w:r>
        <w:rPr>
          <w:rFonts w:ascii="宋体" w:hAnsi="宋体"/>
          <w:b/>
          <w:bCs/>
          <w:color w:val="333333"/>
          <w:kern w:val="0"/>
          <w:sz w:val="32"/>
          <w:szCs w:val="32"/>
        </w:rPr>
        <w:t>预算安排的总体情况（见附表</w:t>
      </w:r>
      <w:r>
        <w:rPr>
          <w:rFonts w:ascii="方正黑体简体" w:hAnsi="方正黑体简体"/>
          <w:b/>
          <w:bCs/>
          <w:color w:val="333333"/>
          <w:kern w:val="0"/>
          <w:sz w:val="32"/>
          <w:szCs w:val="32"/>
        </w:rPr>
        <w:t>1-9</w:t>
      </w:r>
      <w:r>
        <w:rPr>
          <w:rFonts w:ascii="宋体" w:hAnsi="宋体"/>
          <w:b/>
          <w:bCs/>
          <w:color w:val="333333"/>
          <w:kern w:val="0"/>
          <w:sz w:val="32"/>
          <w:szCs w:val="32"/>
        </w:rPr>
        <w:t>）</w:t>
      </w:r>
    </w:p>
    <w:p>
      <w:pPr>
        <w:widowControl/>
        <w:spacing w:line="360" w:lineRule="auto"/>
        <w:ind w:firstLine="640"/>
        <w:rPr>
          <w:rFonts w:ascii="方正仿宋简体" w:hAnsi="宋体" w:cs="Arial"/>
          <w:color w:val="333333"/>
          <w:kern w:val="0"/>
          <w:sz w:val="32"/>
          <w:szCs w:val="32"/>
        </w:rPr>
      </w:pPr>
      <w:r>
        <w:rPr>
          <w:rFonts w:ascii="方正仿宋简体" w:hAnsi="宋体" w:cs="Arial"/>
          <w:color w:val="333333"/>
          <w:kern w:val="0"/>
          <w:sz w:val="32"/>
          <w:szCs w:val="32"/>
        </w:rPr>
        <w:t>1</w:t>
      </w:r>
      <w:r>
        <w:rPr>
          <w:rFonts w:ascii="宋体" w:hAnsi="宋体" w:cs="Arial"/>
          <w:color w:val="333333"/>
          <w:kern w:val="0"/>
          <w:sz w:val="32"/>
          <w:szCs w:val="32"/>
        </w:rPr>
        <w:t>、收入说明。</w:t>
      </w:r>
      <w:r>
        <w:rPr>
          <w:rFonts w:ascii="方正仿宋简体" w:hAnsi="方正仿宋简体" w:cs="Arial"/>
          <w:color w:val="333333"/>
          <w:kern w:val="0"/>
          <w:sz w:val="32"/>
          <w:szCs w:val="32"/>
        </w:rPr>
        <w:t>202</w:t>
      </w:r>
      <w:r>
        <w:rPr>
          <w:rFonts w:hint="eastAsia" w:ascii="方正仿宋简体" w:hAnsi="方正仿宋简体" w:cs="Arial"/>
          <w:color w:val="333333"/>
          <w:kern w:val="0"/>
          <w:sz w:val="32"/>
          <w:szCs w:val="32"/>
        </w:rPr>
        <w:t>1</w:t>
      </w:r>
      <w:r>
        <w:rPr>
          <w:rFonts w:ascii="宋体" w:hAnsi="宋体" w:cs="Arial"/>
          <w:color w:val="333333"/>
          <w:kern w:val="0"/>
          <w:sz w:val="32"/>
          <w:szCs w:val="32"/>
        </w:rPr>
        <w:t>年预算收入</w:t>
      </w:r>
      <w:r>
        <w:rPr>
          <w:rFonts w:hint="eastAsia" w:ascii="方正仿宋简体" w:hAnsi="方正仿宋简体" w:cs="Arial"/>
          <w:color w:val="333333"/>
          <w:kern w:val="0"/>
          <w:sz w:val="32"/>
          <w:szCs w:val="32"/>
        </w:rPr>
        <w:t>1344.74</w:t>
      </w:r>
      <w:r>
        <w:rPr>
          <w:rFonts w:ascii="宋体" w:hAnsi="宋体" w:cs="Arial"/>
          <w:color w:val="333333"/>
          <w:kern w:val="0"/>
          <w:sz w:val="32"/>
          <w:szCs w:val="32"/>
        </w:rPr>
        <w:t>万元，其中：财政拨款收入</w:t>
      </w:r>
      <w:r>
        <w:rPr>
          <w:rFonts w:hint="eastAsia" w:ascii="方正仿宋简体" w:hAnsi="方正仿宋简体" w:cs="Arial"/>
          <w:color w:val="333333"/>
          <w:kern w:val="0"/>
          <w:sz w:val="32"/>
          <w:szCs w:val="32"/>
        </w:rPr>
        <w:t>1344.74</w:t>
      </w:r>
      <w:r>
        <w:rPr>
          <w:rFonts w:ascii="方正仿宋简体" w:hAnsi="宋体" w:cs="Arial"/>
          <w:color w:val="333333"/>
          <w:kern w:val="0"/>
          <w:sz w:val="32"/>
          <w:szCs w:val="32"/>
        </w:rPr>
        <w:t xml:space="preserve"> </w:t>
      </w:r>
      <w:r>
        <w:rPr>
          <w:rFonts w:ascii="宋体" w:hAnsi="宋体" w:cs="Arial"/>
          <w:color w:val="333333"/>
          <w:kern w:val="0"/>
          <w:sz w:val="32"/>
          <w:szCs w:val="32"/>
        </w:rPr>
        <w:t>万元。</w:t>
      </w:r>
    </w:p>
    <w:p>
      <w:pPr>
        <w:widowControl/>
        <w:spacing w:line="360" w:lineRule="auto"/>
        <w:ind w:firstLine="640"/>
        <w:rPr>
          <w:rFonts w:ascii="方正仿宋简体" w:hAnsi="宋体" w:cs="Arial"/>
          <w:color w:val="333333"/>
          <w:kern w:val="0"/>
          <w:sz w:val="32"/>
          <w:szCs w:val="32"/>
        </w:rPr>
      </w:pPr>
      <w:r>
        <w:rPr>
          <w:rFonts w:ascii="方正仿宋简体" w:hAnsi="宋体" w:cs="Arial"/>
          <w:color w:val="333333"/>
          <w:kern w:val="0"/>
          <w:sz w:val="32"/>
          <w:szCs w:val="32"/>
        </w:rPr>
        <w:t>2</w:t>
      </w:r>
      <w:r>
        <w:rPr>
          <w:rFonts w:ascii="宋体" w:hAnsi="宋体" w:cs="Arial"/>
          <w:color w:val="333333"/>
          <w:kern w:val="0"/>
          <w:sz w:val="32"/>
          <w:szCs w:val="32"/>
        </w:rPr>
        <w:t>、支出说明。</w:t>
      </w:r>
      <w:r>
        <w:rPr>
          <w:rFonts w:ascii="方正仿宋简体" w:hAnsi="方正仿宋简体" w:cs="Arial"/>
          <w:color w:val="333333"/>
          <w:kern w:val="0"/>
          <w:sz w:val="32"/>
          <w:szCs w:val="32"/>
        </w:rPr>
        <w:t>202</w:t>
      </w:r>
      <w:r>
        <w:rPr>
          <w:rFonts w:hint="eastAsia" w:ascii="方正仿宋简体" w:hAnsi="方正仿宋简体" w:cs="Arial"/>
          <w:color w:val="333333"/>
          <w:kern w:val="0"/>
          <w:sz w:val="32"/>
          <w:szCs w:val="32"/>
        </w:rPr>
        <w:t>1</w:t>
      </w:r>
      <w:r>
        <w:rPr>
          <w:rFonts w:ascii="宋体" w:hAnsi="宋体" w:cs="Arial"/>
          <w:color w:val="333333"/>
          <w:kern w:val="0"/>
          <w:sz w:val="32"/>
          <w:szCs w:val="32"/>
        </w:rPr>
        <w:t>年支出预算</w:t>
      </w:r>
      <w:r>
        <w:rPr>
          <w:rFonts w:hint="eastAsia" w:ascii="方正仿宋简体" w:hAnsi="方正仿宋简体" w:cs="Arial"/>
          <w:color w:val="333333"/>
          <w:kern w:val="0"/>
          <w:sz w:val="32"/>
          <w:szCs w:val="32"/>
        </w:rPr>
        <w:t>1344.74</w:t>
      </w:r>
      <w:r>
        <w:rPr>
          <w:rFonts w:ascii="宋体" w:hAnsi="宋体" w:cs="Arial"/>
          <w:color w:val="333333"/>
          <w:kern w:val="0"/>
          <w:sz w:val="32"/>
          <w:szCs w:val="32"/>
        </w:rPr>
        <w:t>万元，其中基本支出</w:t>
      </w:r>
      <w:r>
        <w:rPr>
          <w:rFonts w:hint="eastAsia" w:ascii="方正仿宋简体" w:hAnsi="方正仿宋简体" w:cs="Arial"/>
          <w:color w:val="333333"/>
          <w:kern w:val="0"/>
          <w:sz w:val="32"/>
          <w:szCs w:val="32"/>
        </w:rPr>
        <w:t>763.98</w:t>
      </w:r>
      <w:r>
        <w:rPr>
          <w:rFonts w:ascii="宋体" w:hAnsi="宋体" w:cs="Arial"/>
          <w:color w:val="333333"/>
          <w:kern w:val="0"/>
          <w:sz w:val="32"/>
          <w:szCs w:val="32"/>
        </w:rPr>
        <w:t>万元（包括人员经费</w:t>
      </w:r>
      <w:r>
        <w:rPr>
          <w:rFonts w:hint="eastAsia" w:ascii="方正仿宋简体" w:hAnsi="方正仿宋简体" w:cs="Arial"/>
          <w:color w:val="333333"/>
          <w:kern w:val="0"/>
          <w:sz w:val="32"/>
          <w:szCs w:val="32"/>
        </w:rPr>
        <w:t>721.77</w:t>
      </w:r>
      <w:r>
        <w:rPr>
          <w:rFonts w:ascii="宋体" w:hAnsi="宋体" w:cs="Arial"/>
          <w:color w:val="333333"/>
          <w:kern w:val="0"/>
          <w:sz w:val="32"/>
          <w:szCs w:val="32"/>
        </w:rPr>
        <w:t>万元，日常公用</w:t>
      </w:r>
      <w:r>
        <w:rPr>
          <w:rFonts w:hint="eastAsia" w:ascii="方正仿宋简体" w:hAnsi="方正仿宋简体" w:cs="Arial"/>
          <w:color w:val="333333"/>
          <w:kern w:val="0"/>
          <w:sz w:val="32"/>
          <w:szCs w:val="32"/>
        </w:rPr>
        <w:t>42.21</w:t>
      </w:r>
      <w:r>
        <w:rPr>
          <w:rFonts w:ascii="宋体" w:hAnsi="宋体" w:cs="Arial"/>
          <w:color w:val="333333"/>
          <w:kern w:val="0"/>
          <w:sz w:val="32"/>
          <w:szCs w:val="32"/>
        </w:rPr>
        <w:t>万元），项目支出</w:t>
      </w:r>
      <w:r>
        <w:rPr>
          <w:rFonts w:hint="eastAsia" w:ascii="方正仿宋简体" w:hAnsi="方正仿宋简体" w:cs="Arial"/>
          <w:color w:val="333333"/>
          <w:kern w:val="0"/>
          <w:sz w:val="32"/>
          <w:szCs w:val="32"/>
        </w:rPr>
        <w:t>580.76</w:t>
      </w:r>
      <w:r>
        <w:rPr>
          <w:rFonts w:ascii="宋体" w:hAnsi="宋体" w:cs="Arial"/>
          <w:color w:val="333333"/>
          <w:kern w:val="0"/>
          <w:sz w:val="32"/>
          <w:szCs w:val="32"/>
        </w:rPr>
        <w:t>万元。</w:t>
      </w:r>
    </w:p>
    <w:p>
      <w:pPr>
        <w:widowControl/>
        <w:spacing w:line="360" w:lineRule="auto"/>
        <w:ind w:firstLine="640"/>
        <w:rPr>
          <w:rFonts w:ascii="方正仿宋简体" w:hAnsi="宋体" w:cs="Arial"/>
          <w:color w:val="333333"/>
          <w:kern w:val="0"/>
          <w:sz w:val="32"/>
          <w:szCs w:val="32"/>
        </w:rPr>
      </w:pPr>
      <w:r>
        <w:rPr>
          <w:rFonts w:ascii="方正仿宋简体" w:hAnsi="宋体" w:cs="Arial"/>
          <w:color w:val="333333"/>
          <w:kern w:val="0"/>
          <w:sz w:val="32"/>
          <w:szCs w:val="32"/>
        </w:rPr>
        <w:t>3</w:t>
      </w:r>
      <w:r>
        <w:rPr>
          <w:rFonts w:ascii="宋体" w:hAnsi="宋体" w:cs="Arial"/>
          <w:color w:val="333333"/>
          <w:kern w:val="0"/>
          <w:sz w:val="32"/>
          <w:szCs w:val="32"/>
        </w:rPr>
        <w:t>、比上年增减情况。</w:t>
      </w:r>
      <w:r>
        <w:rPr>
          <w:rFonts w:ascii="方正仿宋简体" w:hAnsi="方正仿宋简体" w:cs="Arial"/>
          <w:color w:val="333333"/>
          <w:kern w:val="0"/>
          <w:sz w:val="32"/>
          <w:szCs w:val="32"/>
        </w:rPr>
        <w:t>202</w:t>
      </w:r>
      <w:r>
        <w:rPr>
          <w:rFonts w:hint="eastAsia" w:ascii="方正仿宋简体" w:hAnsi="方正仿宋简体" w:cs="Arial"/>
          <w:color w:val="333333"/>
          <w:kern w:val="0"/>
          <w:sz w:val="32"/>
          <w:szCs w:val="32"/>
        </w:rPr>
        <w:t>1</w:t>
      </w:r>
      <w:r>
        <w:rPr>
          <w:rFonts w:ascii="宋体" w:hAnsi="宋体" w:cs="Arial"/>
          <w:color w:val="333333"/>
          <w:kern w:val="0"/>
          <w:sz w:val="32"/>
          <w:szCs w:val="32"/>
        </w:rPr>
        <w:t>年预算收支安排</w:t>
      </w:r>
      <w:r>
        <w:rPr>
          <w:rFonts w:hint="eastAsia" w:ascii="方正仿宋简体" w:hAnsi="方正仿宋简体" w:cs="Arial"/>
          <w:color w:val="333333"/>
          <w:kern w:val="0"/>
          <w:sz w:val="32"/>
          <w:szCs w:val="32"/>
        </w:rPr>
        <w:t>1344.74</w:t>
      </w:r>
      <w:r>
        <w:rPr>
          <w:rFonts w:ascii="宋体" w:hAnsi="宋体" w:cs="Arial"/>
          <w:color w:val="333333"/>
          <w:kern w:val="0"/>
          <w:sz w:val="32"/>
          <w:szCs w:val="32"/>
        </w:rPr>
        <w:t>万元，较</w:t>
      </w:r>
      <w:r>
        <w:rPr>
          <w:rFonts w:hint="eastAsia" w:ascii="方正仿宋简体" w:hAnsi="方正仿宋简体" w:cs="Arial"/>
          <w:color w:val="333333"/>
          <w:kern w:val="0"/>
          <w:sz w:val="32"/>
          <w:szCs w:val="32"/>
        </w:rPr>
        <w:t>2020</w:t>
      </w:r>
      <w:r>
        <w:rPr>
          <w:rFonts w:ascii="宋体" w:hAnsi="宋体" w:cs="Arial"/>
          <w:color w:val="333333"/>
          <w:kern w:val="0"/>
          <w:sz w:val="32"/>
          <w:szCs w:val="32"/>
        </w:rPr>
        <w:t>年预算</w:t>
      </w:r>
      <w:r>
        <w:rPr>
          <w:rFonts w:hint="eastAsia" w:ascii="宋体" w:hAnsi="宋体" w:cs="Arial"/>
          <w:color w:val="333333"/>
          <w:kern w:val="0"/>
          <w:sz w:val="32"/>
          <w:szCs w:val="32"/>
        </w:rPr>
        <w:t>减少</w:t>
      </w:r>
      <w:r>
        <w:rPr>
          <w:rFonts w:hint="eastAsia" w:ascii="方正仿宋简体" w:hAnsi="方正仿宋简体" w:cs="Arial"/>
          <w:color w:val="333333"/>
          <w:kern w:val="0"/>
          <w:sz w:val="32"/>
          <w:szCs w:val="32"/>
        </w:rPr>
        <w:t>2418.40</w:t>
      </w:r>
      <w:r>
        <w:rPr>
          <w:rFonts w:ascii="宋体" w:hAnsi="宋体" w:cs="Arial"/>
          <w:color w:val="333333"/>
          <w:kern w:val="0"/>
          <w:sz w:val="32"/>
          <w:szCs w:val="32"/>
        </w:rPr>
        <w:t>万元。其中：基本支出减少</w:t>
      </w:r>
      <w:r>
        <w:rPr>
          <w:rFonts w:hint="eastAsia" w:ascii="方正仿宋简体" w:hAnsi="方正仿宋简体" w:cs="Arial"/>
          <w:color w:val="333333"/>
          <w:kern w:val="0"/>
          <w:sz w:val="32"/>
          <w:szCs w:val="32"/>
        </w:rPr>
        <w:t>39.29</w:t>
      </w:r>
      <w:r>
        <w:rPr>
          <w:rFonts w:ascii="宋体" w:hAnsi="宋体" w:cs="Arial"/>
          <w:color w:val="333333"/>
          <w:kern w:val="0"/>
          <w:sz w:val="32"/>
          <w:szCs w:val="32"/>
        </w:rPr>
        <w:t>万元，主要是人员经费减少</w:t>
      </w:r>
      <w:r>
        <w:rPr>
          <w:rFonts w:hint="eastAsia" w:ascii="方正仿宋简体" w:hAnsi="方正仿宋简体" w:cs="Arial"/>
          <w:color w:val="333333"/>
          <w:kern w:val="0"/>
          <w:sz w:val="32"/>
          <w:szCs w:val="32"/>
        </w:rPr>
        <w:t>37.95</w:t>
      </w:r>
      <w:r>
        <w:rPr>
          <w:rFonts w:ascii="宋体" w:hAnsi="宋体" w:cs="Arial"/>
          <w:color w:val="333333"/>
          <w:kern w:val="0"/>
          <w:sz w:val="32"/>
          <w:szCs w:val="32"/>
        </w:rPr>
        <w:t>万元（人员减少，工资福利支出相应减少），日常公用减少</w:t>
      </w:r>
      <w:r>
        <w:rPr>
          <w:rFonts w:hint="eastAsia" w:ascii="方正仿宋简体" w:hAnsi="方正仿宋简体" w:cs="Arial"/>
          <w:color w:val="333333"/>
          <w:kern w:val="0"/>
          <w:sz w:val="32"/>
          <w:szCs w:val="32"/>
        </w:rPr>
        <w:t>1.34</w:t>
      </w:r>
      <w:r>
        <w:rPr>
          <w:rFonts w:ascii="宋体" w:hAnsi="宋体" w:cs="Arial"/>
          <w:color w:val="333333"/>
          <w:kern w:val="0"/>
          <w:sz w:val="32"/>
          <w:szCs w:val="32"/>
        </w:rPr>
        <w:t>万元（在职人员较</w:t>
      </w:r>
      <w:r>
        <w:rPr>
          <w:rFonts w:hint="eastAsia" w:ascii="方正仿宋简体" w:hAnsi="方正仿宋简体" w:cs="Arial"/>
          <w:color w:val="333333"/>
          <w:kern w:val="0"/>
          <w:sz w:val="32"/>
          <w:szCs w:val="32"/>
        </w:rPr>
        <w:t>2020</w:t>
      </w:r>
      <w:r>
        <w:rPr>
          <w:rFonts w:ascii="宋体" w:hAnsi="宋体" w:cs="Arial"/>
          <w:color w:val="333333"/>
          <w:kern w:val="0"/>
          <w:sz w:val="32"/>
          <w:szCs w:val="32"/>
        </w:rPr>
        <w:t>年减少</w:t>
      </w:r>
      <w:r>
        <w:rPr>
          <w:rFonts w:hint="eastAsia" w:ascii="方正仿宋简体" w:hAnsi="方正仿宋简体" w:cs="Arial"/>
          <w:color w:val="333333"/>
          <w:kern w:val="0"/>
          <w:sz w:val="32"/>
          <w:szCs w:val="32"/>
        </w:rPr>
        <w:t>4</w:t>
      </w:r>
      <w:r>
        <w:rPr>
          <w:rFonts w:ascii="宋体" w:hAnsi="宋体" w:cs="Arial"/>
          <w:color w:val="333333"/>
          <w:kern w:val="0"/>
          <w:sz w:val="32"/>
          <w:szCs w:val="32"/>
        </w:rPr>
        <w:t>人，公务补贴支出和日常公用支出相应减少）；项目支出</w:t>
      </w:r>
      <w:r>
        <w:rPr>
          <w:rFonts w:hint="eastAsia" w:ascii="宋体" w:hAnsi="宋体" w:cs="Arial"/>
          <w:color w:val="333333"/>
          <w:kern w:val="0"/>
          <w:sz w:val="32"/>
          <w:szCs w:val="32"/>
        </w:rPr>
        <w:t>减少</w:t>
      </w:r>
      <w:r>
        <w:rPr>
          <w:rFonts w:hint="eastAsia" w:ascii="方正仿宋简体" w:hAnsi="方正仿宋简体" w:cs="Arial"/>
          <w:color w:val="333333"/>
          <w:kern w:val="0"/>
          <w:sz w:val="32"/>
          <w:szCs w:val="32"/>
        </w:rPr>
        <w:t>2379.11</w:t>
      </w:r>
      <w:r>
        <w:rPr>
          <w:rFonts w:ascii="宋体" w:hAnsi="宋体" w:cs="Arial"/>
          <w:color w:val="333333"/>
          <w:kern w:val="0"/>
          <w:sz w:val="32"/>
          <w:szCs w:val="32"/>
        </w:rPr>
        <w:t>万元，主要为</w:t>
      </w:r>
      <w:r>
        <w:rPr>
          <w:rFonts w:hint="eastAsia" w:ascii="宋体" w:hAnsi="宋体" w:cs="Arial"/>
          <w:color w:val="333333"/>
          <w:kern w:val="0"/>
          <w:sz w:val="32"/>
          <w:szCs w:val="32"/>
        </w:rPr>
        <w:t>减少</w:t>
      </w:r>
      <w:r>
        <w:rPr>
          <w:rFonts w:ascii="宋体" w:hAnsi="宋体" w:cs="Arial"/>
          <w:color w:val="333333"/>
          <w:kern w:val="0"/>
          <w:sz w:val="32"/>
          <w:szCs w:val="32"/>
        </w:rPr>
        <w:t>上级财政提前通知转移支付及十四五编制规划等项目支出。</w:t>
      </w:r>
    </w:p>
    <w:p>
      <w:pPr>
        <w:widowControl/>
        <w:spacing w:line="360" w:lineRule="auto"/>
        <w:ind w:firstLine="640"/>
        <w:rPr>
          <w:rFonts w:ascii="方正黑体简体" w:hAnsi="方正黑体简体" w:cs="宋体"/>
          <w:b/>
          <w:bCs/>
          <w:color w:val="333333"/>
          <w:kern w:val="0"/>
          <w:sz w:val="32"/>
          <w:szCs w:val="32"/>
        </w:rPr>
      </w:pPr>
      <w:r>
        <w:rPr>
          <w:rFonts w:ascii="宋体" w:hAnsi="宋体"/>
          <w:b/>
          <w:bCs/>
          <w:color w:val="333333"/>
          <w:kern w:val="0"/>
          <w:sz w:val="32"/>
          <w:szCs w:val="32"/>
        </w:rPr>
        <w:t>三、机关运行经费安排情况</w:t>
      </w:r>
    </w:p>
    <w:p>
      <w:pPr>
        <w:widowControl/>
        <w:spacing w:line="360" w:lineRule="auto"/>
        <w:ind w:firstLine="640"/>
        <w:rPr>
          <w:rFonts w:ascii="方正仿宋简体" w:hAnsi="宋体" w:cs="Arial"/>
          <w:color w:val="333333"/>
          <w:kern w:val="0"/>
          <w:sz w:val="32"/>
          <w:szCs w:val="32"/>
        </w:rPr>
      </w:pPr>
      <w:r>
        <w:rPr>
          <w:rFonts w:ascii="方正仿宋简体" w:hAnsi="宋体" w:cs="Arial"/>
          <w:color w:val="333333"/>
          <w:kern w:val="0"/>
          <w:sz w:val="32"/>
          <w:szCs w:val="32"/>
        </w:rPr>
        <w:t>202</w:t>
      </w:r>
      <w:r>
        <w:rPr>
          <w:rFonts w:hint="eastAsia" w:ascii="方正仿宋简体" w:hAnsi="方正仿宋简体" w:cs="Arial"/>
          <w:color w:val="333333"/>
          <w:kern w:val="0"/>
          <w:sz w:val="32"/>
          <w:szCs w:val="32"/>
        </w:rPr>
        <w:t>1</w:t>
      </w:r>
      <w:r>
        <w:rPr>
          <w:rFonts w:ascii="宋体" w:hAnsi="宋体" w:cs="Arial"/>
          <w:color w:val="333333"/>
          <w:kern w:val="0"/>
          <w:sz w:val="32"/>
          <w:szCs w:val="32"/>
        </w:rPr>
        <w:t>年</w:t>
      </w:r>
      <w:r>
        <w:rPr>
          <w:rFonts w:hint="eastAsia" w:ascii="宋体" w:hAnsi="宋体" w:cs="Arial"/>
          <w:color w:val="333333"/>
          <w:kern w:val="0"/>
          <w:sz w:val="32"/>
          <w:szCs w:val="32"/>
          <w:lang w:eastAsia="zh-CN"/>
        </w:rPr>
        <w:t>部门</w:t>
      </w:r>
      <w:r>
        <w:rPr>
          <w:rFonts w:ascii="宋体" w:hAnsi="宋体" w:cs="Arial"/>
          <w:color w:val="333333"/>
          <w:kern w:val="0"/>
          <w:sz w:val="32"/>
          <w:szCs w:val="32"/>
        </w:rPr>
        <w:t>预算安排日常公用经费</w:t>
      </w:r>
      <w:r>
        <w:rPr>
          <w:rFonts w:hint="eastAsia" w:ascii="方正仿宋简体" w:hAnsi="方正仿宋简体" w:cs="Arial"/>
          <w:color w:val="333333"/>
          <w:kern w:val="0"/>
          <w:sz w:val="32"/>
          <w:szCs w:val="32"/>
        </w:rPr>
        <w:t>42.21</w:t>
      </w:r>
      <w:r>
        <w:rPr>
          <w:rFonts w:ascii="宋体" w:hAnsi="宋体" w:cs="Arial"/>
          <w:color w:val="333333"/>
          <w:kern w:val="0"/>
          <w:sz w:val="32"/>
          <w:szCs w:val="32"/>
        </w:rPr>
        <w:t>万元，</w:t>
      </w:r>
      <w:r>
        <w:rPr>
          <w:rFonts w:hint="eastAsia" w:ascii="方正仿宋简体" w:hAnsi="方正仿宋简体" w:cs="Arial"/>
          <w:color w:val="333333"/>
          <w:kern w:val="0"/>
          <w:sz w:val="32"/>
          <w:szCs w:val="32"/>
        </w:rPr>
        <w:t>2020</w:t>
      </w:r>
      <w:r>
        <w:rPr>
          <w:rFonts w:ascii="宋体" w:hAnsi="宋体" w:cs="Arial"/>
          <w:color w:val="333333"/>
          <w:kern w:val="0"/>
          <w:sz w:val="32"/>
          <w:szCs w:val="32"/>
        </w:rPr>
        <w:t>年实际支出</w:t>
      </w:r>
      <w:r>
        <w:rPr>
          <w:rFonts w:hint="eastAsia" w:ascii="方正仿宋简体" w:hAnsi="方正仿宋简体" w:cs="Arial"/>
          <w:color w:val="333333"/>
          <w:kern w:val="0"/>
          <w:sz w:val="32"/>
          <w:szCs w:val="32"/>
        </w:rPr>
        <w:t>67.11</w:t>
      </w:r>
      <w:r>
        <w:rPr>
          <w:rFonts w:ascii="宋体" w:hAnsi="宋体" w:cs="Arial"/>
          <w:color w:val="333333"/>
          <w:kern w:val="0"/>
          <w:sz w:val="32"/>
          <w:szCs w:val="32"/>
        </w:rPr>
        <w:t>万元，同比减少</w:t>
      </w:r>
      <w:r>
        <w:rPr>
          <w:rFonts w:hint="eastAsia" w:ascii="方正仿宋简体" w:hAnsi="方正仿宋简体" w:cs="Arial"/>
          <w:color w:val="333333"/>
          <w:kern w:val="0"/>
          <w:sz w:val="32"/>
          <w:szCs w:val="32"/>
        </w:rPr>
        <w:t>24.9</w:t>
      </w:r>
      <w:r>
        <w:rPr>
          <w:rFonts w:ascii="宋体" w:hAnsi="宋体" w:cs="Arial"/>
          <w:color w:val="333333"/>
          <w:kern w:val="0"/>
          <w:sz w:val="32"/>
          <w:szCs w:val="32"/>
        </w:rPr>
        <w:t>万元。减少的主要原因是人员减少相应减少日常公用支出。经费主要用于保证机关正常运转及印刷费、邮电费、差旅费、培训费、公务用车运行维护费等。</w:t>
      </w:r>
    </w:p>
    <w:p>
      <w:pPr>
        <w:widowControl/>
        <w:spacing w:line="360" w:lineRule="auto"/>
        <w:ind w:firstLine="640"/>
        <w:rPr>
          <w:rFonts w:ascii="方正黑体简体" w:hAnsi="方正黑体简体" w:cs="宋体"/>
          <w:b/>
          <w:bCs/>
          <w:color w:val="333333"/>
          <w:kern w:val="0"/>
          <w:sz w:val="32"/>
          <w:szCs w:val="32"/>
        </w:rPr>
      </w:pPr>
      <w:r>
        <w:rPr>
          <w:rFonts w:ascii="宋体" w:hAnsi="宋体"/>
          <w:b/>
          <w:bCs/>
          <w:color w:val="333333"/>
          <w:kern w:val="0"/>
          <w:sz w:val="32"/>
          <w:szCs w:val="32"/>
        </w:rPr>
        <w:t>四、财政拨款</w:t>
      </w:r>
      <w:r>
        <w:rPr>
          <w:rFonts w:ascii="方正黑体简体" w:hAnsi="方正黑体简体"/>
          <w:b/>
          <w:bCs/>
          <w:color w:val="333333"/>
          <w:kern w:val="0"/>
          <w:sz w:val="32"/>
          <w:szCs w:val="32"/>
        </w:rPr>
        <w:t>“</w:t>
      </w:r>
      <w:r>
        <w:rPr>
          <w:rFonts w:ascii="宋体" w:hAnsi="宋体"/>
          <w:b/>
          <w:bCs/>
          <w:color w:val="333333"/>
          <w:kern w:val="0"/>
          <w:sz w:val="32"/>
          <w:szCs w:val="32"/>
        </w:rPr>
        <w:t>三公</w:t>
      </w:r>
      <w:r>
        <w:rPr>
          <w:rFonts w:ascii="方正黑体简体" w:hAnsi="方正黑体简体"/>
          <w:b/>
          <w:bCs/>
          <w:color w:val="333333"/>
          <w:kern w:val="0"/>
          <w:sz w:val="32"/>
          <w:szCs w:val="32"/>
        </w:rPr>
        <w:t>”</w:t>
      </w:r>
      <w:r>
        <w:rPr>
          <w:rFonts w:ascii="宋体" w:hAnsi="宋体"/>
          <w:b/>
          <w:bCs/>
          <w:color w:val="333333"/>
          <w:kern w:val="0"/>
          <w:sz w:val="32"/>
          <w:szCs w:val="32"/>
        </w:rPr>
        <w:t>经费预算情况及增减变化原因</w:t>
      </w:r>
    </w:p>
    <w:p>
      <w:pPr>
        <w:ind w:firstLine="640" w:firstLineChars="200"/>
        <w:rPr>
          <w:rFonts w:ascii="方正仿宋简体" w:hAnsi="方正仿宋简体"/>
          <w:sz w:val="32"/>
          <w:szCs w:val="32"/>
        </w:rPr>
      </w:pPr>
      <w:r>
        <w:rPr>
          <w:rFonts w:ascii="方正仿宋简体" w:hAnsi="方正仿宋简体"/>
          <w:sz w:val="32"/>
          <w:szCs w:val="32"/>
        </w:rPr>
        <w:t>202</w:t>
      </w:r>
      <w:r>
        <w:rPr>
          <w:rFonts w:hint="eastAsia" w:ascii="方正仿宋简体" w:hAnsi="方正仿宋简体"/>
          <w:sz w:val="32"/>
          <w:szCs w:val="32"/>
        </w:rPr>
        <w:t>1</w:t>
      </w:r>
      <w:r>
        <w:rPr>
          <w:rFonts w:ascii="宋体" w:hAnsi="宋体"/>
          <w:sz w:val="32"/>
          <w:szCs w:val="32"/>
        </w:rPr>
        <w:t>年我</w:t>
      </w:r>
      <w:r>
        <w:rPr>
          <w:rFonts w:hint="eastAsia" w:ascii="宋体" w:hAnsi="宋体"/>
          <w:sz w:val="32"/>
          <w:szCs w:val="32"/>
          <w:lang w:eastAsia="zh-CN"/>
        </w:rPr>
        <w:t>部门</w:t>
      </w:r>
      <w:r>
        <w:rPr>
          <w:rFonts w:ascii="方正仿宋简体" w:hAnsi="方正仿宋简体"/>
          <w:sz w:val="32"/>
          <w:szCs w:val="32"/>
        </w:rPr>
        <w:t>“</w:t>
      </w:r>
      <w:r>
        <w:rPr>
          <w:rFonts w:ascii="宋体" w:hAnsi="宋体"/>
          <w:sz w:val="32"/>
          <w:szCs w:val="32"/>
        </w:rPr>
        <w:t>三公</w:t>
      </w:r>
      <w:r>
        <w:rPr>
          <w:rFonts w:ascii="方正仿宋简体" w:hAnsi="方正仿宋简体"/>
          <w:sz w:val="32"/>
          <w:szCs w:val="32"/>
        </w:rPr>
        <w:t>”</w:t>
      </w:r>
      <w:r>
        <w:rPr>
          <w:rFonts w:ascii="宋体" w:hAnsi="宋体"/>
          <w:sz w:val="32"/>
          <w:szCs w:val="32"/>
        </w:rPr>
        <w:t>经费预算安排</w:t>
      </w:r>
      <w:r>
        <w:rPr>
          <w:rFonts w:hint="eastAsia" w:ascii="宋体" w:hAnsi="宋体"/>
          <w:sz w:val="32"/>
          <w:szCs w:val="32"/>
        </w:rPr>
        <w:t>41.52万</w:t>
      </w:r>
      <w:r>
        <w:rPr>
          <w:rFonts w:ascii="宋体" w:hAnsi="宋体"/>
          <w:sz w:val="32"/>
          <w:szCs w:val="32"/>
        </w:rPr>
        <w:t>元，较上年预算减少</w:t>
      </w:r>
      <w:r>
        <w:rPr>
          <w:rFonts w:hint="eastAsia" w:ascii="方正仿宋简体" w:hAnsi="方正仿宋简体"/>
          <w:sz w:val="32"/>
          <w:szCs w:val="32"/>
        </w:rPr>
        <w:t>25</w:t>
      </w:r>
      <w:r>
        <w:rPr>
          <w:rFonts w:ascii="宋体" w:hAnsi="宋体"/>
          <w:sz w:val="32"/>
          <w:szCs w:val="32"/>
        </w:rPr>
        <w:t>万元。具体安排情况为：</w:t>
      </w:r>
      <w:r>
        <w:rPr>
          <w:rFonts w:ascii="方正仿宋简体" w:hAnsi="方正仿宋简体"/>
          <w:sz w:val="32"/>
          <w:szCs w:val="32"/>
        </w:rPr>
        <w:t xml:space="preserve"> </w:t>
      </w:r>
    </w:p>
    <w:p>
      <w:pPr>
        <w:ind w:firstLine="480" w:firstLineChars="150"/>
        <w:rPr>
          <w:rFonts w:ascii="方正仿宋简体" w:hAnsi="方正仿宋简体"/>
          <w:sz w:val="32"/>
          <w:szCs w:val="32"/>
        </w:rPr>
      </w:pPr>
      <w:r>
        <w:rPr>
          <w:rFonts w:ascii="宋体" w:hAnsi="宋体"/>
          <w:sz w:val="32"/>
          <w:szCs w:val="32"/>
        </w:rPr>
        <w:t>（一）公务用车购置及运行费。共计安排</w:t>
      </w:r>
      <w:r>
        <w:rPr>
          <w:rFonts w:hint="eastAsia" w:ascii="方正仿宋简体" w:hAnsi="方正仿宋简体"/>
          <w:sz w:val="32"/>
          <w:szCs w:val="32"/>
        </w:rPr>
        <w:t>1</w:t>
      </w:r>
      <w:r>
        <w:rPr>
          <w:rFonts w:ascii="方正仿宋简体" w:hAnsi="方正仿宋简体"/>
          <w:sz w:val="32"/>
          <w:szCs w:val="32"/>
        </w:rPr>
        <w:t>5.67</w:t>
      </w:r>
      <w:r>
        <w:rPr>
          <w:rFonts w:ascii="宋体" w:hAnsi="宋体"/>
          <w:sz w:val="32"/>
          <w:szCs w:val="32"/>
        </w:rPr>
        <w:t>万元，</w:t>
      </w:r>
      <w:r>
        <w:rPr>
          <w:rFonts w:hint="eastAsia" w:ascii="宋体" w:hAnsi="宋体"/>
          <w:sz w:val="32"/>
          <w:szCs w:val="32"/>
        </w:rPr>
        <w:t>较上年减少</w:t>
      </w:r>
      <w:r>
        <w:rPr>
          <w:rFonts w:hint="eastAsia" w:ascii="方正仿宋简体" w:hAnsi="方正仿宋简体"/>
          <w:sz w:val="32"/>
          <w:szCs w:val="32"/>
        </w:rPr>
        <w:t>10</w:t>
      </w:r>
      <w:r>
        <w:rPr>
          <w:rFonts w:hint="eastAsia" w:ascii="宋体" w:hAnsi="宋体"/>
          <w:sz w:val="32"/>
          <w:szCs w:val="32"/>
        </w:rPr>
        <w:t>万元</w:t>
      </w:r>
      <w:r>
        <w:rPr>
          <w:rFonts w:ascii="宋体" w:hAnsi="宋体"/>
          <w:sz w:val="32"/>
          <w:szCs w:val="32"/>
        </w:rPr>
        <w:t>，主要原因是</w:t>
      </w:r>
      <w:r>
        <w:rPr>
          <w:rFonts w:hint="eastAsia" w:ascii="宋体" w:hAnsi="宋体"/>
          <w:sz w:val="32"/>
          <w:szCs w:val="32"/>
        </w:rPr>
        <w:t>节约开支</w:t>
      </w:r>
      <w:r>
        <w:rPr>
          <w:rFonts w:ascii="宋体" w:hAnsi="宋体"/>
          <w:sz w:val="32"/>
          <w:szCs w:val="32"/>
        </w:rPr>
        <w:t>。</w:t>
      </w:r>
    </w:p>
    <w:p>
      <w:pPr>
        <w:ind w:firstLine="640" w:firstLineChars="200"/>
        <w:rPr>
          <w:rFonts w:ascii="方正仿宋简体" w:hAnsi="方正仿宋简体"/>
          <w:sz w:val="32"/>
          <w:szCs w:val="32"/>
        </w:rPr>
      </w:pPr>
      <w:r>
        <w:rPr>
          <w:rFonts w:hint="eastAsia" w:ascii="宋体" w:hAnsi="宋体"/>
          <w:sz w:val="32"/>
          <w:szCs w:val="32"/>
        </w:rPr>
        <w:t>①</w:t>
      </w:r>
      <w:r>
        <w:rPr>
          <w:rFonts w:ascii="宋体" w:hAnsi="宋体"/>
          <w:sz w:val="32"/>
          <w:szCs w:val="32"/>
        </w:rPr>
        <w:t>公务用车购置安排</w:t>
      </w:r>
      <w:r>
        <w:rPr>
          <w:rFonts w:ascii="方正仿宋简体" w:hAnsi="方正仿宋简体"/>
          <w:sz w:val="32"/>
          <w:szCs w:val="32"/>
        </w:rPr>
        <w:t>0</w:t>
      </w:r>
      <w:r>
        <w:rPr>
          <w:rFonts w:ascii="宋体" w:hAnsi="宋体"/>
          <w:sz w:val="32"/>
          <w:szCs w:val="32"/>
        </w:rPr>
        <w:t>万元。与上年持平，无增减变化，主要原因是无公务用车购置预算安排。</w:t>
      </w:r>
    </w:p>
    <w:p>
      <w:pPr>
        <w:ind w:firstLine="640" w:firstLineChars="200"/>
        <w:rPr>
          <w:rFonts w:ascii="方正仿宋简体" w:hAnsi="方正仿宋简体"/>
          <w:sz w:val="32"/>
          <w:szCs w:val="32"/>
        </w:rPr>
      </w:pPr>
      <w:r>
        <w:rPr>
          <w:rFonts w:hint="eastAsia" w:ascii="宋体" w:hAnsi="宋体"/>
          <w:sz w:val="32"/>
          <w:szCs w:val="32"/>
        </w:rPr>
        <w:t>②</w:t>
      </w:r>
      <w:r>
        <w:rPr>
          <w:rFonts w:ascii="宋体" w:hAnsi="宋体"/>
          <w:sz w:val="32"/>
          <w:szCs w:val="32"/>
        </w:rPr>
        <w:t>公车运行维护经费安排</w:t>
      </w:r>
      <w:r>
        <w:rPr>
          <w:rFonts w:hint="eastAsia" w:ascii="方正仿宋简体" w:hAnsi="方正仿宋简体"/>
          <w:sz w:val="32"/>
          <w:szCs w:val="32"/>
        </w:rPr>
        <w:t>1</w:t>
      </w:r>
      <w:r>
        <w:rPr>
          <w:rFonts w:ascii="方正仿宋简体" w:hAnsi="方正仿宋简体"/>
          <w:sz w:val="32"/>
          <w:szCs w:val="32"/>
        </w:rPr>
        <w:t>5.67</w:t>
      </w:r>
      <w:r>
        <w:rPr>
          <w:rFonts w:ascii="宋体" w:hAnsi="宋体"/>
          <w:sz w:val="32"/>
          <w:szCs w:val="32"/>
        </w:rPr>
        <w:t>万元，</w:t>
      </w:r>
      <w:r>
        <w:rPr>
          <w:rFonts w:hint="eastAsia" w:ascii="宋体" w:hAnsi="宋体"/>
          <w:sz w:val="32"/>
          <w:szCs w:val="32"/>
        </w:rPr>
        <w:t>较上年减少</w:t>
      </w:r>
      <w:r>
        <w:rPr>
          <w:rFonts w:hint="eastAsia" w:ascii="方正仿宋简体" w:hAnsi="方正仿宋简体"/>
          <w:sz w:val="32"/>
          <w:szCs w:val="32"/>
        </w:rPr>
        <w:t>10</w:t>
      </w:r>
      <w:r>
        <w:rPr>
          <w:rFonts w:hint="eastAsia" w:ascii="宋体" w:hAnsi="宋体"/>
          <w:sz w:val="32"/>
          <w:szCs w:val="32"/>
        </w:rPr>
        <w:t>万元</w:t>
      </w:r>
      <w:r>
        <w:rPr>
          <w:rFonts w:ascii="宋体" w:hAnsi="宋体"/>
          <w:sz w:val="32"/>
          <w:szCs w:val="32"/>
        </w:rPr>
        <w:t>，主要原因是</w:t>
      </w:r>
      <w:r>
        <w:rPr>
          <w:rFonts w:hint="eastAsia" w:ascii="宋体" w:hAnsi="宋体"/>
          <w:sz w:val="32"/>
          <w:szCs w:val="32"/>
        </w:rPr>
        <w:t>节约开支</w:t>
      </w:r>
      <w:r>
        <w:rPr>
          <w:rFonts w:ascii="宋体" w:hAnsi="宋体"/>
          <w:sz w:val="32"/>
          <w:szCs w:val="32"/>
        </w:rPr>
        <w:t>。</w:t>
      </w:r>
    </w:p>
    <w:p>
      <w:pPr>
        <w:ind w:firstLine="640" w:firstLineChars="200"/>
        <w:rPr>
          <w:rFonts w:ascii="方正仿宋简体" w:hAnsi="方正仿宋简体"/>
          <w:sz w:val="32"/>
          <w:szCs w:val="32"/>
        </w:rPr>
      </w:pPr>
      <w:r>
        <w:rPr>
          <w:rFonts w:ascii="宋体" w:hAnsi="宋体"/>
          <w:sz w:val="32"/>
          <w:szCs w:val="32"/>
        </w:rPr>
        <w:t>（二）公务接待费安排</w:t>
      </w:r>
      <w:r>
        <w:rPr>
          <w:rFonts w:hint="eastAsia" w:ascii="方正仿宋简体" w:hAnsi="方正仿宋简体"/>
          <w:sz w:val="32"/>
          <w:szCs w:val="32"/>
        </w:rPr>
        <w:t>25</w:t>
      </w:r>
      <w:r>
        <w:rPr>
          <w:rFonts w:ascii="方正仿宋简体" w:hAnsi="方正仿宋简体"/>
          <w:sz w:val="32"/>
          <w:szCs w:val="32"/>
        </w:rPr>
        <w:t>.85</w:t>
      </w:r>
      <w:r>
        <w:rPr>
          <w:rFonts w:ascii="宋体" w:hAnsi="宋体"/>
          <w:sz w:val="32"/>
          <w:szCs w:val="32"/>
        </w:rPr>
        <w:t>万元，较上年预算减少</w:t>
      </w:r>
      <w:r>
        <w:rPr>
          <w:rFonts w:hint="eastAsia" w:ascii="方正仿宋简体" w:hAnsi="方正仿宋简体"/>
          <w:sz w:val="32"/>
          <w:szCs w:val="32"/>
        </w:rPr>
        <w:t>15</w:t>
      </w:r>
      <w:r>
        <w:rPr>
          <w:rFonts w:ascii="宋体" w:hAnsi="宋体"/>
          <w:sz w:val="32"/>
          <w:szCs w:val="32"/>
        </w:rPr>
        <w:t>万元。减少原因为节约开支。</w:t>
      </w:r>
    </w:p>
    <w:p>
      <w:pPr>
        <w:ind w:firstLine="640" w:firstLineChars="200"/>
        <w:rPr>
          <w:rFonts w:ascii="方正仿宋简体" w:hAnsi="方正仿宋简体"/>
          <w:sz w:val="32"/>
          <w:szCs w:val="32"/>
        </w:rPr>
      </w:pPr>
      <w:r>
        <w:rPr>
          <w:rFonts w:ascii="宋体" w:hAnsi="宋体"/>
          <w:sz w:val="32"/>
          <w:szCs w:val="32"/>
        </w:rPr>
        <w:t>（三）因公出国（境）费安排</w:t>
      </w:r>
      <w:r>
        <w:rPr>
          <w:rFonts w:ascii="方正仿宋简体" w:hAnsi="方正仿宋简体"/>
          <w:sz w:val="32"/>
          <w:szCs w:val="32"/>
        </w:rPr>
        <w:t>0</w:t>
      </w:r>
      <w:r>
        <w:rPr>
          <w:rFonts w:ascii="宋体" w:hAnsi="宋体"/>
          <w:sz w:val="32"/>
          <w:szCs w:val="32"/>
        </w:rPr>
        <w:t>万元，与上年持平，无增减变化，主要原因是无因公出国（境）预算安排。</w:t>
      </w:r>
    </w:p>
    <w:p>
      <w:pPr>
        <w:widowControl/>
        <w:spacing w:line="360" w:lineRule="auto"/>
        <w:ind w:firstLine="640"/>
        <w:rPr>
          <w:rFonts w:ascii="方正黑体简体" w:hAnsi="方正黑体简体"/>
          <w:b/>
          <w:bCs/>
          <w:color w:val="333333"/>
          <w:kern w:val="0"/>
          <w:sz w:val="32"/>
          <w:szCs w:val="32"/>
        </w:rPr>
      </w:pPr>
      <w:r>
        <w:rPr>
          <w:rFonts w:ascii="宋体" w:hAnsi="宋体"/>
          <w:b/>
          <w:bCs/>
          <w:color w:val="333333"/>
          <w:kern w:val="0"/>
          <w:sz w:val="32"/>
          <w:szCs w:val="32"/>
        </w:rPr>
        <w:t>五、绩效预算信息</w:t>
      </w:r>
    </w:p>
    <w:p>
      <w:pPr>
        <w:widowControl/>
        <w:spacing w:line="360" w:lineRule="auto"/>
        <w:ind w:firstLine="640"/>
        <w:rPr>
          <w:rFonts w:ascii="方正楷体简体" w:hAnsi="方正楷体简体"/>
          <w:b/>
          <w:bCs/>
          <w:color w:val="333333"/>
          <w:kern w:val="0"/>
          <w:sz w:val="32"/>
          <w:szCs w:val="32"/>
        </w:rPr>
      </w:pPr>
      <w:r>
        <w:rPr>
          <w:rFonts w:ascii="宋体" w:hAnsi="宋体"/>
          <w:b/>
          <w:bCs/>
          <w:color w:val="333333"/>
          <w:kern w:val="0"/>
          <w:sz w:val="32"/>
          <w:szCs w:val="32"/>
        </w:rPr>
        <w:t>（一）、总体绩效目标。</w:t>
      </w:r>
    </w:p>
    <w:p>
      <w:pPr>
        <w:ind w:firstLine="640" w:firstLineChars="200"/>
        <w:rPr>
          <w:rFonts w:ascii="Calibri" w:hAnsi="Calibri"/>
          <w:color w:val="000000"/>
          <w:sz w:val="32"/>
          <w:szCs w:val="32"/>
        </w:rPr>
      </w:pPr>
      <w:r>
        <w:rPr>
          <w:rFonts w:hint="eastAsia" w:ascii="宋体" w:hAnsi="宋体"/>
          <w:sz w:val="32"/>
          <w:szCs w:val="32"/>
        </w:rPr>
        <w:t>坚持以习近平新时代中国特色社会主义思想为指导，</w:t>
      </w:r>
      <w:r>
        <w:rPr>
          <w:rFonts w:hint="eastAsia" w:ascii="宋体" w:hAnsi="宋体"/>
          <w:color w:val="000000"/>
          <w:sz w:val="32"/>
          <w:szCs w:val="32"/>
        </w:rPr>
        <w:t>积极提高政治站位，把握发展大势，不断强化担当精神和责任意识，坚决贯彻落实中央和省委、省政府决策部署，在做细做实各项防控措施的基础上，紧盯全年目标任务不放松，全力推动经济发展和项目建设等重点工作顺利开展。抓好经济运行，确保目标任务完成</w:t>
      </w:r>
      <w:r>
        <w:rPr>
          <w:rFonts w:hint="eastAsia" w:ascii="宋体" w:hAnsi="宋体"/>
          <w:color w:val="000000"/>
          <w:kern w:val="0"/>
          <w:sz w:val="32"/>
          <w:szCs w:val="32"/>
        </w:rPr>
        <w:t>。加强主要经济指标分析、调度，克服疫情影响，提出行之有效地建议措施，为领导决策当好参谋，力争各项指标完成全年既定目标任务。</w:t>
      </w:r>
      <w:r>
        <w:rPr>
          <w:rFonts w:hint="eastAsia" w:ascii="宋体" w:hAnsi="宋体"/>
          <w:color w:val="000000"/>
          <w:sz w:val="32"/>
          <w:szCs w:val="32"/>
        </w:rPr>
        <w:t>抓好项目建设，增强经济整体实力。做好项目督导工作，力争省、市重点项目年内完成投资建设任务。</w:t>
      </w:r>
      <w:r>
        <w:rPr>
          <w:rFonts w:hint="eastAsia" w:ascii="宋体" w:hAnsi="宋体"/>
          <w:color w:val="000000"/>
          <w:kern w:val="0"/>
          <w:sz w:val="32"/>
          <w:szCs w:val="32"/>
        </w:rPr>
        <w:t>持续优化招商格局，提升临港产业项目质量。</w:t>
      </w:r>
      <w:r>
        <w:rPr>
          <w:rFonts w:hint="eastAsia" w:ascii="宋体" w:hAnsi="宋体"/>
          <w:color w:val="000000"/>
          <w:sz w:val="32"/>
          <w:szCs w:val="32"/>
        </w:rPr>
        <w:t>抓好节能管理，完成市达目标任务。加强重点企业用煤监管，对企业用煤实行月调度及总量控制手段，抓好高耗能企业，切实完成好节能削煤降炭目标任务。继续做好价格管理工作。发挥好价格管理工作中政府指导作用，做好事中事后监督。继续抓好粮食流通管理，规范粮食流通秩序，保障粮食安全。</w:t>
      </w:r>
    </w:p>
    <w:p>
      <w:pPr>
        <w:pStyle w:val="12"/>
        <w:numPr>
          <w:ilvl w:val="0"/>
          <w:numId w:val="1"/>
        </w:numPr>
        <w:spacing w:beforeLines="50" w:afterLines="50" w:line="580" w:lineRule="exact"/>
        <w:ind w:firstLineChars="0"/>
        <w:rPr>
          <w:rFonts w:hint="eastAsia"/>
          <w:sz w:val="32"/>
          <w:szCs w:val="32"/>
        </w:rPr>
      </w:pPr>
      <w:r>
        <w:rPr>
          <w:rFonts w:ascii="宋体" w:hAnsi="宋体"/>
          <w:sz w:val="32"/>
          <w:szCs w:val="32"/>
        </w:rPr>
        <w:t>分项绩效目标</w:t>
      </w:r>
    </w:p>
    <w:p>
      <w:pPr>
        <w:pStyle w:val="13"/>
        <w:ind w:firstLine="640"/>
        <w:rPr>
          <w:rFonts w:ascii="宋体" w:hAnsi="宋体"/>
          <w:sz w:val="32"/>
          <w:szCs w:val="32"/>
        </w:rPr>
      </w:pPr>
      <w:r>
        <w:rPr>
          <w:rFonts w:hint="eastAsia" w:ascii="宋体" w:hAnsi="宋体"/>
          <w:sz w:val="32"/>
          <w:szCs w:val="32"/>
        </w:rPr>
        <w:t>一、做好计划编制，提高经济运行质量。</w:t>
      </w:r>
    </w:p>
    <w:p>
      <w:pPr>
        <w:pStyle w:val="7"/>
        <w:spacing w:before="0" w:beforeAutospacing="0" w:after="0" w:afterAutospacing="0" w:line="570" w:lineRule="exact"/>
        <w:ind w:firstLine="640" w:firstLineChars="200"/>
        <w:jc w:val="both"/>
        <w:rPr>
          <w:rFonts w:hint="eastAsia" w:ascii="宋体" w:hAnsi="宋体"/>
          <w:sz w:val="32"/>
          <w:szCs w:val="32"/>
        </w:rPr>
      </w:pPr>
      <w:r>
        <w:rPr>
          <w:rFonts w:hint="eastAsia" w:ascii="宋体" w:hAnsi="宋体"/>
          <w:sz w:val="32"/>
          <w:szCs w:val="32"/>
        </w:rPr>
        <w:t>绩效目标：对照省、市以及周边县区发展目标，结合我县实际，科学编制2021年全县主要经济社会发展计划。准确把握经济发展趋势，围绕经济发展中的热点、难点、重点问题加强分析、研判，为县委、县政府决策提供依据。</w:t>
      </w:r>
    </w:p>
    <w:p>
      <w:pPr>
        <w:ind w:firstLine="640" w:firstLineChars="200"/>
        <w:rPr>
          <w:rFonts w:hint="eastAsia" w:ascii="宋体" w:hAnsi="宋体"/>
          <w:color w:val="000000"/>
          <w:sz w:val="32"/>
          <w:szCs w:val="32"/>
        </w:rPr>
      </w:pPr>
      <w:r>
        <w:rPr>
          <w:rFonts w:hint="eastAsia" w:ascii="宋体" w:hAnsi="宋体"/>
          <w:sz w:val="32"/>
          <w:szCs w:val="32"/>
        </w:rPr>
        <w:t>绩效指标：</w:t>
      </w:r>
      <w:r>
        <w:rPr>
          <w:rFonts w:hint="eastAsia" w:ascii="宋体" w:hAnsi="宋体"/>
          <w:color w:val="000000"/>
          <w:sz w:val="32"/>
          <w:szCs w:val="32"/>
        </w:rPr>
        <w:t>初步建议地区生产总值同比增长7%；三产增加值同比增长8%；规上工业增加值同比增长9%以上；固定资产投资增长8%以上；一般公共预算收入增长7.5%；社会消费品零售总额增长5%；城镇居民人均可支配收入增长8%；农村居民人均可支配收入增长8%。</w:t>
      </w:r>
    </w:p>
    <w:p>
      <w:pPr>
        <w:pStyle w:val="13"/>
        <w:ind w:firstLine="640"/>
        <w:rPr>
          <w:rFonts w:hint="eastAsia" w:ascii="宋体" w:hAnsi="宋体"/>
          <w:color w:val="000000"/>
          <w:kern w:val="0"/>
          <w:sz w:val="32"/>
          <w:szCs w:val="32"/>
        </w:rPr>
      </w:pPr>
      <w:r>
        <w:rPr>
          <w:rFonts w:hint="eastAsia" w:ascii="宋体" w:hAnsi="宋体"/>
          <w:color w:val="000000"/>
          <w:sz w:val="32"/>
          <w:szCs w:val="32"/>
        </w:rPr>
        <w:t>二、做好</w:t>
      </w:r>
      <w:r>
        <w:rPr>
          <w:rFonts w:hint="eastAsia" w:ascii="宋体" w:hAnsi="宋体"/>
          <w:color w:val="000000"/>
          <w:kern w:val="0"/>
          <w:sz w:val="32"/>
          <w:szCs w:val="32"/>
        </w:rPr>
        <w:t>项目建设</w:t>
      </w:r>
    </w:p>
    <w:p>
      <w:pPr>
        <w:ind w:firstLine="640" w:firstLineChars="200"/>
        <w:rPr>
          <w:rFonts w:hint="eastAsia" w:ascii="宋体" w:hAnsi="宋体"/>
          <w:sz w:val="32"/>
          <w:szCs w:val="32"/>
        </w:rPr>
      </w:pPr>
      <w:r>
        <w:rPr>
          <w:rFonts w:hint="eastAsia" w:ascii="宋体" w:hAnsi="宋体"/>
          <w:sz w:val="32"/>
          <w:szCs w:val="32"/>
        </w:rPr>
        <w:t>绩效目标：</w:t>
      </w:r>
      <w:r>
        <w:rPr>
          <w:rFonts w:hint="eastAsia" w:ascii="宋体" w:hAnsi="宋体"/>
          <w:color w:val="000000"/>
          <w:kern w:val="0"/>
          <w:sz w:val="32"/>
          <w:szCs w:val="32"/>
        </w:rPr>
        <w:t>狠抓项目建设，全面加快高质量项目建设。</w:t>
      </w:r>
      <w:r>
        <w:rPr>
          <w:rFonts w:hint="eastAsia" w:ascii="宋体" w:hAnsi="宋体"/>
          <w:kern w:val="0"/>
          <w:sz w:val="32"/>
          <w:szCs w:val="32"/>
        </w:rPr>
        <w:t>进一步完善重点项目建设协调、监督和检查机制，确保项目按照时间节点要求加快推进。</w:t>
      </w:r>
    </w:p>
    <w:p>
      <w:pPr>
        <w:ind w:firstLine="640" w:firstLineChars="200"/>
        <w:rPr>
          <w:rFonts w:hint="eastAsia" w:ascii="宋体" w:hAnsi="宋体"/>
          <w:color w:val="000000"/>
          <w:sz w:val="32"/>
          <w:szCs w:val="32"/>
        </w:rPr>
      </w:pPr>
      <w:r>
        <w:rPr>
          <w:rFonts w:hint="eastAsia" w:ascii="宋体" w:hAnsi="宋体"/>
          <w:sz w:val="32"/>
          <w:szCs w:val="32"/>
        </w:rPr>
        <w:t>绩效指标：</w:t>
      </w:r>
      <w:r>
        <w:rPr>
          <w:rFonts w:hint="eastAsia" w:ascii="宋体" w:hAnsi="宋体"/>
          <w:color w:val="000000"/>
          <w:sz w:val="32"/>
          <w:szCs w:val="32"/>
        </w:rPr>
        <w:t>争取明年新开工3000万元以上重点项目70个以上，其中工业项目不少于60个。有效投资完成率100%，促进县域经济的发展。</w:t>
      </w:r>
    </w:p>
    <w:p>
      <w:pPr>
        <w:ind w:firstLine="640" w:firstLineChars="200"/>
        <w:rPr>
          <w:rFonts w:hint="eastAsia" w:ascii="宋体" w:hAnsi="宋体"/>
          <w:sz w:val="32"/>
          <w:szCs w:val="32"/>
        </w:rPr>
      </w:pPr>
      <w:r>
        <w:rPr>
          <w:rFonts w:hint="eastAsia" w:ascii="宋体" w:hAnsi="宋体"/>
          <w:color w:val="000000"/>
          <w:sz w:val="32"/>
          <w:szCs w:val="32"/>
        </w:rPr>
        <w:t>三、做好储备粮管理工作</w:t>
      </w:r>
    </w:p>
    <w:p>
      <w:pPr>
        <w:rPr>
          <w:rFonts w:hint="eastAsia" w:ascii="宋体" w:hAnsi="宋体"/>
          <w:sz w:val="32"/>
          <w:szCs w:val="32"/>
        </w:rPr>
      </w:pPr>
      <w:r>
        <w:rPr>
          <w:rFonts w:hint="eastAsia" w:ascii="宋体" w:hAnsi="宋体"/>
          <w:sz w:val="32"/>
          <w:szCs w:val="32"/>
        </w:rPr>
        <w:t xml:space="preserve">  绩效目标：建立粮食流通科学管理长效机制，确保县级储备粮安全，有效发挥县级储备粮在宏观调控中的作用。活跃粮食市场，严格粮食收购资格审批。</w:t>
      </w:r>
    </w:p>
    <w:p>
      <w:pPr>
        <w:ind w:firstLine="640"/>
        <w:rPr>
          <w:rFonts w:hint="eastAsia" w:ascii="宋体" w:hAnsi="宋体"/>
          <w:sz w:val="32"/>
          <w:szCs w:val="32"/>
        </w:rPr>
      </w:pPr>
      <w:r>
        <w:rPr>
          <w:rFonts w:hint="eastAsia" w:ascii="宋体" w:hAnsi="宋体"/>
          <w:sz w:val="32"/>
          <w:szCs w:val="32"/>
        </w:rPr>
        <w:t>绩效指标：做好8000吨玉米和4527吨小麦储备粮管理，按时按质按量完成4527吨小麦轮入轮出工作。储备粮质量符合国家标准，保障储备粮安全及供应。</w:t>
      </w:r>
    </w:p>
    <w:p>
      <w:pPr>
        <w:ind w:firstLine="640" w:firstLineChars="200"/>
        <w:rPr>
          <w:rFonts w:hint="eastAsia" w:ascii="宋体" w:hAnsi="宋体"/>
          <w:sz w:val="32"/>
          <w:szCs w:val="32"/>
        </w:rPr>
      </w:pPr>
      <w:r>
        <w:rPr>
          <w:rFonts w:hint="eastAsia" w:ascii="宋体" w:hAnsi="宋体"/>
          <w:sz w:val="32"/>
          <w:szCs w:val="32"/>
        </w:rPr>
        <w:t>四、做好价格认证工作</w:t>
      </w:r>
    </w:p>
    <w:p>
      <w:pPr>
        <w:spacing w:line="560" w:lineRule="exact"/>
        <w:ind w:firstLine="640"/>
        <w:rPr>
          <w:rFonts w:hint="eastAsia" w:ascii="宋体" w:hAnsi="宋体"/>
          <w:sz w:val="32"/>
          <w:szCs w:val="32"/>
        </w:rPr>
      </w:pPr>
      <w:r>
        <w:rPr>
          <w:rFonts w:hint="eastAsia" w:ascii="宋体" w:hAnsi="宋体"/>
          <w:sz w:val="32"/>
          <w:szCs w:val="32"/>
        </w:rPr>
        <w:t>绩效目标：开展好刑事案件涉案物品价格认定和其他领域的价格认证工作，进一步完善和优化工作程序，建立结论内部审核制度，规范案卷管理，实现管理科学化、标准化、规范化。</w:t>
      </w:r>
    </w:p>
    <w:p>
      <w:pPr>
        <w:ind w:firstLine="640"/>
        <w:rPr>
          <w:rFonts w:hint="eastAsia" w:ascii="宋体" w:hAnsi="宋体"/>
          <w:sz w:val="32"/>
          <w:szCs w:val="32"/>
        </w:rPr>
      </w:pPr>
      <w:r>
        <w:rPr>
          <w:rFonts w:hint="eastAsia" w:ascii="宋体" w:hAnsi="宋体"/>
          <w:sz w:val="32"/>
          <w:szCs w:val="32"/>
        </w:rPr>
        <w:t>绩效指标：受理价格认定案件约130起，案件处理群众满意度95%以上。案件处理合格率达到100%。保持市场价格基本稳定，促进经济健康发展。</w:t>
      </w:r>
    </w:p>
    <w:p>
      <w:pPr>
        <w:ind w:firstLine="640" w:firstLineChars="200"/>
        <w:rPr>
          <w:rFonts w:hint="eastAsia" w:ascii="宋体" w:hAnsi="宋体"/>
          <w:sz w:val="32"/>
          <w:szCs w:val="32"/>
        </w:rPr>
      </w:pPr>
      <w:r>
        <w:rPr>
          <w:rFonts w:hint="eastAsia" w:ascii="宋体" w:hAnsi="宋体"/>
          <w:sz w:val="32"/>
          <w:szCs w:val="32"/>
        </w:rPr>
        <w:t>五、做好粮食质量安全监管及执法工作</w:t>
      </w:r>
    </w:p>
    <w:p>
      <w:pPr>
        <w:rPr>
          <w:rFonts w:hint="eastAsia" w:ascii="宋体" w:hAnsi="宋体"/>
          <w:sz w:val="32"/>
          <w:szCs w:val="32"/>
        </w:rPr>
      </w:pPr>
      <w:r>
        <w:rPr>
          <w:rFonts w:hint="eastAsia" w:ascii="宋体" w:hAnsi="宋体"/>
          <w:sz w:val="32"/>
          <w:szCs w:val="32"/>
        </w:rPr>
        <w:t xml:space="preserve">  绩效目标：保护粮食生产者的积极性，促进粮食生产，维护经营者、消费者合法权益，保证国家粮食安全，维护粮食流通秩序。</w:t>
      </w:r>
    </w:p>
    <w:p>
      <w:pPr>
        <w:rPr>
          <w:rFonts w:hint="eastAsia" w:ascii="宋体" w:hAnsi="宋体"/>
          <w:sz w:val="32"/>
          <w:szCs w:val="32"/>
        </w:rPr>
      </w:pPr>
      <w:r>
        <w:rPr>
          <w:rFonts w:hint="eastAsia" w:ascii="宋体" w:hAnsi="宋体"/>
          <w:sz w:val="32"/>
          <w:szCs w:val="32"/>
        </w:rPr>
        <w:t xml:space="preserve">  绩效指标：开展粮食质量安全检查次数不少于20次，确保粮食产品合格率达到100%，促进粮食生产，确保用粮安全。</w:t>
      </w:r>
    </w:p>
    <w:p>
      <w:pPr>
        <w:ind w:firstLine="640" w:firstLineChars="200"/>
        <w:rPr>
          <w:rFonts w:hint="eastAsia" w:ascii="宋体" w:hAnsi="宋体"/>
          <w:sz w:val="32"/>
          <w:szCs w:val="32"/>
        </w:rPr>
      </w:pPr>
      <w:r>
        <w:rPr>
          <w:rFonts w:hint="eastAsia" w:ascii="宋体" w:hAnsi="宋体"/>
          <w:sz w:val="32"/>
          <w:szCs w:val="32"/>
        </w:rPr>
        <w:t>六、完成原粮食企业改制管理工作</w:t>
      </w:r>
    </w:p>
    <w:p>
      <w:pPr>
        <w:rPr>
          <w:rFonts w:hint="eastAsia" w:ascii="宋体" w:hAnsi="宋体"/>
          <w:sz w:val="32"/>
          <w:szCs w:val="32"/>
        </w:rPr>
      </w:pPr>
      <w:r>
        <w:rPr>
          <w:rFonts w:hint="eastAsia" w:ascii="宋体" w:hAnsi="宋体"/>
          <w:sz w:val="32"/>
          <w:szCs w:val="32"/>
        </w:rPr>
        <w:t>绩效目标：管理好原粮食改制企业的资产、“老人、老账”，妥善处理企业改制的遗留问题。及时发放补贴缴纳保险费。</w:t>
      </w:r>
    </w:p>
    <w:p>
      <w:pPr>
        <w:rPr>
          <w:rFonts w:hint="eastAsia" w:ascii="宋体" w:hAnsi="宋体"/>
          <w:sz w:val="32"/>
          <w:szCs w:val="32"/>
        </w:rPr>
      </w:pPr>
      <w:r>
        <w:rPr>
          <w:rFonts w:hint="eastAsia" w:ascii="宋体" w:hAnsi="宋体"/>
          <w:sz w:val="32"/>
          <w:szCs w:val="32"/>
        </w:rPr>
        <w:t>绩效指标：原企业改制人员内退、离退休及遗属人员454人，及时发放补贴缴纳保险费，稳定改善职工生活，保障社会稳定。</w:t>
      </w:r>
    </w:p>
    <w:p>
      <w:pPr>
        <w:ind w:firstLine="321" w:firstLineChars="100"/>
        <w:rPr>
          <w:rFonts w:hint="eastAsia" w:ascii="宋体" w:hAnsi="宋体"/>
          <w:sz w:val="32"/>
          <w:szCs w:val="32"/>
        </w:rPr>
      </w:pPr>
      <w:r>
        <w:rPr>
          <w:rFonts w:hint="eastAsia" w:ascii="宋体" w:hAnsi="宋体"/>
          <w:b/>
          <w:bCs/>
          <w:color w:val="333333"/>
          <w:kern w:val="0"/>
          <w:sz w:val="32"/>
          <w:szCs w:val="32"/>
        </w:rPr>
        <w:t>（三）、实现本年度规划目标的保障措施</w:t>
      </w:r>
    </w:p>
    <w:p>
      <w:pPr>
        <w:ind w:firstLine="643" w:firstLineChars="200"/>
        <w:rPr>
          <w:rFonts w:hint="eastAsia" w:ascii="宋体" w:hAnsi="宋体"/>
          <w:sz w:val="32"/>
          <w:szCs w:val="32"/>
        </w:rPr>
      </w:pPr>
      <w:r>
        <w:rPr>
          <w:rFonts w:hint="eastAsia" w:ascii="宋体" w:hAnsi="宋体"/>
          <w:b/>
          <w:bCs/>
          <w:sz w:val="32"/>
          <w:szCs w:val="32"/>
        </w:rPr>
        <w:t>一、完善制度建设。</w:t>
      </w:r>
      <w:r>
        <w:rPr>
          <w:rFonts w:hint="eastAsia" w:ascii="宋体" w:hAnsi="宋体"/>
          <w:sz w:val="32"/>
          <w:szCs w:val="32"/>
        </w:rPr>
        <w:t>认真贯彻国家和省有关财经方针、政策，根据预算绩效管理相关要求，修订和完善各项制度和办法，制定完善机关资金管理、绩效管理办法，为绩效目标的实现奠定制度基础。</w:t>
      </w:r>
    </w:p>
    <w:p>
      <w:pPr>
        <w:spacing w:line="580" w:lineRule="exact"/>
        <w:ind w:firstLine="630"/>
        <w:rPr>
          <w:rFonts w:hint="eastAsia" w:ascii="宋体" w:hAnsi="宋体"/>
          <w:sz w:val="32"/>
          <w:szCs w:val="32"/>
        </w:rPr>
      </w:pPr>
      <w:r>
        <w:rPr>
          <w:rFonts w:hint="eastAsia" w:ascii="宋体" w:hAnsi="宋体"/>
          <w:b/>
          <w:bCs/>
          <w:sz w:val="32"/>
          <w:szCs w:val="32"/>
        </w:rPr>
        <w:t>二、加强支出管理。</w:t>
      </w:r>
      <w:r>
        <w:rPr>
          <w:rFonts w:hint="eastAsia" w:ascii="宋体" w:hAnsi="宋体"/>
          <w:sz w:val="32"/>
          <w:szCs w:val="32"/>
        </w:rPr>
        <w:t>通过优化支出结构、编细编实预算、加快履行政府采购手续、尽快启动项目、及时支付资金、6月底前细化代编预算、按规定及时下达资金等多种措施，确保支出进度达标。</w:t>
      </w:r>
    </w:p>
    <w:p>
      <w:pPr>
        <w:spacing w:line="580" w:lineRule="exact"/>
        <w:ind w:firstLine="630"/>
        <w:rPr>
          <w:rFonts w:hint="eastAsia" w:ascii="宋体" w:hAnsi="宋体"/>
          <w:sz w:val="32"/>
          <w:szCs w:val="32"/>
        </w:rPr>
      </w:pPr>
      <w:r>
        <w:rPr>
          <w:rFonts w:hint="eastAsia" w:ascii="宋体" w:hAnsi="宋体"/>
          <w:b/>
          <w:bCs/>
          <w:sz w:val="32"/>
          <w:szCs w:val="32"/>
        </w:rPr>
        <w:t>三、加强绩效运行监控。</w:t>
      </w:r>
      <w:r>
        <w:rPr>
          <w:rFonts w:hint="eastAsia" w:ascii="宋体" w:hAnsi="宋体"/>
          <w:sz w:val="32"/>
          <w:szCs w:val="32"/>
        </w:rPr>
        <w:t>按要求开展绩效运行监控，每月按要求对</w:t>
      </w:r>
      <w:r>
        <w:rPr>
          <w:rFonts w:hint="eastAsia" w:ascii="宋体" w:hAnsi="宋体"/>
          <w:sz w:val="32"/>
          <w:szCs w:val="32"/>
          <w:lang w:eastAsia="zh-CN"/>
        </w:rPr>
        <w:t>部门</w:t>
      </w:r>
      <w:r>
        <w:rPr>
          <w:rFonts w:hint="eastAsia" w:ascii="宋体" w:hAnsi="宋体"/>
          <w:sz w:val="32"/>
          <w:szCs w:val="32"/>
        </w:rPr>
        <w:t>整体绩效目标和预算项目绩效目标实现情况和预算执行进度进行监控，发现问题及时采取措施，确保绩效目标如期保质实现。</w:t>
      </w:r>
    </w:p>
    <w:p>
      <w:pPr>
        <w:spacing w:line="580" w:lineRule="exact"/>
        <w:ind w:firstLine="630"/>
        <w:rPr>
          <w:rFonts w:hint="eastAsia" w:ascii="宋体" w:hAnsi="宋体"/>
          <w:sz w:val="32"/>
          <w:szCs w:val="32"/>
        </w:rPr>
      </w:pPr>
      <w:r>
        <w:rPr>
          <w:rFonts w:hint="eastAsia" w:ascii="宋体" w:hAnsi="宋体"/>
          <w:b/>
          <w:bCs/>
          <w:sz w:val="32"/>
          <w:szCs w:val="32"/>
        </w:rPr>
        <w:t>四、做好绩效自评工作。</w:t>
      </w:r>
      <w:r>
        <w:rPr>
          <w:rFonts w:hint="eastAsia" w:ascii="宋体" w:hAnsi="宋体"/>
          <w:sz w:val="32"/>
          <w:szCs w:val="32"/>
        </w:rPr>
        <w:t>按要求开展上年度</w:t>
      </w:r>
      <w:r>
        <w:rPr>
          <w:rFonts w:hint="eastAsia" w:ascii="宋体" w:hAnsi="宋体"/>
          <w:sz w:val="32"/>
          <w:szCs w:val="32"/>
          <w:lang w:eastAsia="zh-CN"/>
        </w:rPr>
        <w:t>部门</w:t>
      </w:r>
      <w:r>
        <w:rPr>
          <w:rFonts w:hint="eastAsia" w:ascii="宋体" w:hAnsi="宋体"/>
          <w:sz w:val="32"/>
          <w:szCs w:val="32"/>
        </w:rPr>
        <w:t>预算绩效自评和重点评价工作，对评价中发现的问题及时整改，调整优化支出结构，提高财政资金使用效益。</w:t>
      </w:r>
    </w:p>
    <w:p>
      <w:pPr>
        <w:ind w:firstLine="643" w:firstLineChars="200"/>
        <w:rPr>
          <w:rFonts w:hint="eastAsia" w:ascii="宋体" w:hAnsi="宋体"/>
          <w:sz w:val="32"/>
          <w:szCs w:val="32"/>
        </w:rPr>
      </w:pPr>
      <w:r>
        <w:rPr>
          <w:rFonts w:hint="eastAsia" w:ascii="宋体" w:hAnsi="宋体"/>
          <w:b/>
          <w:bCs/>
          <w:sz w:val="32"/>
          <w:szCs w:val="32"/>
        </w:rPr>
        <w:t>五、规范财务资产管理。</w:t>
      </w:r>
      <w:r>
        <w:rPr>
          <w:rFonts w:hint="eastAsia" w:ascii="宋体" w:hAnsi="宋体"/>
          <w:sz w:val="32"/>
          <w:szCs w:val="32"/>
        </w:rPr>
        <w:t>高度重视财务工作的制度保障、制度执行和流程管理，建立健全财务管理制度，严格审批程序，加强固定资产登记、使用和报废处置管理，做到支出合理，物尽其用。进一步推进资产管理的规范化、制度化；进一步理顺资产管理关系，健全资产采购、处置等方面管理；进一步规范各项管理措施，逐步完善在资产配置、使用、统计及监督检查等方面的管理措施；进一步加强实物管理，针对资产报表编报和资产管理中发现的问题，进行进一步分析，完善相关管理制度，确保更有效地管理部门国有资产。</w:t>
      </w:r>
    </w:p>
    <w:p>
      <w:pPr>
        <w:spacing w:line="580" w:lineRule="exact"/>
        <w:ind w:firstLine="630"/>
        <w:rPr>
          <w:rFonts w:hint="eastAsia" w:ascii="宋体" w:hAnsi="宋体"/>
          <w:b/>
          <w:bCs/>
          <w:sz w:val="32"/>
          <w:szCs w:val="32"/>
        </w:rPr>
      </w:pPr>
      <w:r>
        <w:rPr>
          <w:rFonts w:hint="eastAsia" w:ascii="宋体" w:hAnsi="宋体"/>
          <w:b/>
          <w:bCs/>
          <w:sz w:val="32"/>
          <w:szCs w:val="32"/>
        </w:rPr>
        <w:t>六、加强内部监督。</w:t>
      </w:r>
      <w:r>
        <w:rPr>
          <w:rFonts w:hint="eastAsia" w:ascii="宋体" w:hAnsi="宋体"/>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80" w:lineRule="exact"/>
        <w:ind w:firstLine="630"/>
        <w:rPr>
          <w:rFonts w:hint="eastAsia" w:ascii="宋体" w:hAnsi="宋体"/>
          <w:b/>
          <w:bCs/>
          <w:sz w:val="32"/>
          <w:szCs w:val="32"/>
        </w:rPr>
      </w:pPr>
      <w:r>
        <w:rPr>
          <w:rFonts w:hint="eastAsia" w:ascii="宋体" w:hAnsi="宋体"/>
          <w:b/>
          <w:bCs/>
          <w:sz w:val="32"/>
          <w:szCs w:val="32"/>
        </w:rPr>
        <w:t>七、加强宣传培训调研等。</w:t>
      </w:r>
      <w:r>
        <w:rPr>
          <w:rFonts w:hint="eastAsia" w:ascii="宋体" w:hAnsi="宋体"/>
          <w:sz w:val="32"/>
          <w:szCs w:val="32"/>
        </w:rPr>
        <w:t>加强人员培训，提高本</w:t>
      </w:r>
      <w:r>
        <w:rPr>
          <w:rFonts w:hint="eastAsia" w:ascii="宋体" w:hAnsi="宋体"/>
          <w:sz w:val="32"/>
          <w:szCs w:val="32"/>
          <w:lang w:eastAsia="zh-CN"/>
        </w:rPr>
        <w:t>部门</w:t>
      </w:r>
      <w:r>
        <w:rPr>
          <w:rFonts w:hint="eastAsia" w:ascii="宋体" w:hAnsi="宋体"/>
          <w:sz w:val="32"/>
          <w:szCs w:val="32"/>
        </w:rPr>
        <w:t>职工业务素质；加强调研，提出优化财政资金配置、提高资金使用效益的意见</w:t>
      </w:r>
      <w:bookmarkStart w:id="0" w:name="_GoBack"/>
      <w:bookmarkEnd w:id="0"/>
      <w:r>
        <w:rPr>
          <w:rFonts w:hint="eastAsia" w:ascii="宋体" w:hAnsi="宋体"/>
          <w:sz w:val="32"/>
          <w:szCs w:val="32"/>
        </w:rPr>
        <w:t>；加大宣传力度，强化预算绩效管理意识，促进预算绩效管理水平进一步提升。</w:t>
      </w:r>
    </w:p>
    <w:p>
      <w:pPr>
        <w:rPr>
          <w:rFonts w:hint="eastAsia" w:ascii="方正仿宋简体" w:hAnsi="方正仿宋简体"/>
        </w:rPr>
      </w:pPr>
      <w:r>
        <w:rPr>
          <w:rFonts w:ascii="方正仿宋简体" w:hAnsi="方正仿宋简体"/>
        </w:rPr>
        <w:t xml:space="preserve"> </w:t>
      </w:r>
    </w:p>
    <w:p>
      <w:pPr>
        <w:widowControl/>
        <w:spacing w:line="360" w:lineRule="auto"/>
        <w:ind w:firstLine="640"/>
        <w:rPr>
          <w:rFonts w:ascii="方正楷体简体" w:hAnsi="方正楷体简体"/>
          <w:b/>
          <w:bCs/>
          <w:color w:val="333333"/>
          <w:kern w:val="0"/>
          <w:sz w:val="32"/>
          <w:szCs w:val="32"/>
        </w:rPr>
      </w:pPr>
    </w:p>
    <w:p>
      <w:pPr>
        <w:widowControl/>
        <w:spacing w:line="360" w:lineRule="auto"/>
        <w:ind w:firstLine="640"/>
        <w:rPr>
          <w:rFonts w:ascii="方正楷体简体" w:hAnsi="方正楷体简体"/>
          <w:b/>
          <w:bCs/>
          <w:color w:val="333333"/>
          <w:kern w:val="0"/>
          <w:sz w:val="32"/>
          <w:szCs w:val="32"/>
        </w:rPr>
      </w:pPr>
    </w:p>
    <w:p>
      <w:pPr>
        <w:widowControl/>
        <w:spacing w:line="360" w:lineRule="auto"/>
        <w:ind w:firstLine="640"/>
        <w:rPr>
          <w:rFonts w:ascii="方正楷体简体" w:hAnsi="方正楷体简体"/>
          <w:b/>
          <w:bCs/>
          <w:color w:val="333333"/>
          <w:kern w:val="0"/>
          <w:sz w:val="32"/>
          <w:szCs w:val="32"/>
        </w:rPr>
      </w:pPr>
    </w:p>
    <w:p>
      <w:pPr>
        <w:widowControl/>
        <w:spacing w:line="360" w:lineRule="auto"/>
        <w:ind w:firstLine="640"/>
        <w:rPr>
          <w:rFonts w:ascii="方正楷体简体" w:hAnsi="方正楷体简体"/>
          <w:b/>
          <w:bCs/>
          <w:color w:val="333333"/>
          <w:kern w:val="0"/>
          <w:sz w:val="32"/>
          <w:szCs w:val="32"/>
        </w:rPr>
      </w:pPr>
    </w:p>
    <w:p>
      <w:pPr>
        <w:widowControl/>
        <w:spacing w:line="360" w:lineRule="auto"/>
        <w:ind w:firstLine="640"/>
        <w:rPr>
          <w:rFonts w:ascii="方正楷体简体" w:hAnsi="方正楷体简体"/>
          <w:b/>
          <w:bCs/>
          <w:color w:val="333333"/>
          <w:kern w:val="0"/>
          <w:sz w:val="32"/>
          <w:szCs w:val="32"/>
        </w:rPr>
      </w:pPr>
    </w:p>
    <w:p>
      <w:pPr>
        <w:widowControl/>
        <w:spacing w:line="360" w:lineRule="auto"/>
        <w:ind w:firstLine="640"/>
        <w:rPr>
          <w:rFonts w:ascii="方正楷体简体" w:hAnsi="方正楷体简体"/>
          <w:b/>
          <w:bCs/>
          <w:color w:val="333333"/>
          <w:kern w:val="0"/>
          <w:sz w:val="32"/>
          <w:szCs w:val="32"/>
        </w:rPr>
      </w:pPr>
    </w:p>
    <w:p>
      <w:pPr>
        <w:widowControl/>
        <w:spacing w:line="360" w:lineRule="auto"/>
        <w:ind w:firstLine="640"/>
        <w:rPr>
          <w:rFonts w:ascii="方正楷体简体" w:hAnsi="方正楷体简体"/>
          <w:b/>
          <w:bCs/>
          <w:color w:val="333333"/>
          <w:kern w:val="0"/>
          <w:sz w:val="32"/>
          <w:szCs w:val="32"/>
        </w:rPr>
      </w:pPr>
    </w:p>
    <w:p>
      <w:pPr>
        <w:widowControl/>
        <w:spacing w:line="360" w:lineRule="auto"/>
        <w:ind w:firstLine="640"/>
        <w:rPr>
          <w:rFonts w:ascii="方正楷体简体" w:hAnsi="方正楷体简体"/>
          <w:b/>
          <w:bCs/>
          <w:color w:val="333333"/>
          <w:kern w:val="0"/>
          <w:sz w:val="32"/>
          <w:szCs w:val="32"/>
        </w:rPr>
      </w:pPr>
      <w:r>
        <w:rPr>
          <w:rFonts w:ascii="方正楷体简体" w:hAnsi="方正楷体简体"/>
          <w:b/>
          <w:bCs/>
          <w:color w:val="333333"/>
          <w:kern w:val="0"/>
          <w:sz w:val="32"/>
          <w:szCs w:val="32"/>
        </w:rPr>
        <w:t>(</w:t>
      </w:r>
      <w:r>
        <w:rPr>
          <w:rFonts w:ascii="宋体" w:hAnsi="宋体"/>
          <w:b/>
          <w:bCs/>
          <w:color w:val="333333"/>
          <w:kern w:val="0"/>
          <w:sz w:val="32"/>
          <w:szCs w:val="32"/>
        </w:rPr>
        <w:t>四）、</w:t>
      </w:r>
      <w:r>
        <w:rPr>
          <w:rFonts w:hint="eastAsia" w:ascii="宋体" w:hAnsi="宋体"/>
          <w:b/>
          <w:bCs/>
          <w:color w:val="333333"/>
          <w:kern w:val="0"/>
          <w:sz w:val="32"/>
          <w:szCs w:val="32"/>
          <w:lang w:eastAsia="zh-CN"/>
        </w:rPr>
        <w:t>部门</w:t>
      </w:r>
      <w:r>
        <w:rPr>
          <w:rFonts w:ascii="宋体" w:hAnsi="宋体"/>
          <w:b/>
          <w:bCs/>
          <w:color w:val="333333"/>
          <w:kern w:val="0"/>
          <w:sz w:val="32"/>
          <w:szCs w:val="32"/>
        </w:rPr>
        <w:t>职责及工作活动绩效目标指标</w:t>
      </w:r>
    </w:p>
    <w:tbl>
      <w:tblPr>
        <w:tblStyle w:val="9"/>
        <w:tblW w:w="5000" w:type="pct"/>
        <w:tblInd w:w="0" w:type="dxa"/>
        <w:tblLayout w:type="autofit"/>
        <w:tblCellMar>
          <w:top w:w="0" w:type="dxa"/>
          <w:left w:w="0" w:type="dxa"/>
          <w:bottom w:w="0" w:type="dxa"/>
          <w:right w:w="0" w:type="dxa"/>
        </w:tblCellMar>
      </w:tblPr>
      <w:tblGrid>
        <w:gridCol w:w="1514"/>
        <w:gridCol w:w="2260"/>
        <w:gridCol w:w="716"/>
        <w:gridCol w:w="1886"/>
        <w:gridCol w:w="148"/>
        <w:gridCol w:w="2652"/>
        <w:gridCol w:w="655"/>
        <w:gridCol w:w="1530"/>
        <w:gridCol w:w="655"/>
        <w:gridCol w:w="1972"/>
      </w:tblGrid>
      <w:tr>
        <w:tblPrEx>
          <w:tblCellMar>
            <w:top w:w="0" w:type="dxa"/>
            <w:left w:w="0" w:type="dxa"/>
            <w:bottom w:w="0" w:type="dxa"/>
            <w:right w:w="0" w:type="dxa"/>
          </w:tblCellMar>
        </w:tblPrEx>
        <w:trPr>
          <w:trHeight w:val="870" w:hRule="atLeast"/>
        </w:trPr>
        <w:tc>
          <w:tcPr>
            <w:tcW w:w="5000" w:type="pct"/>
            <w:gridSpan w:val="10"/>
            <w:tcBorders>
              <w:top w:val="nil"/>
              <w:left w:val="nil"/>
              <w:bottom w:val="single" w:color="000000" w:sz="4" w:space="0"/>
              <w:right w:val="nil"/>
            </w:tcBorders>
            <w:noWrap/>
            <w:tcMar>
              <w:top w:w="15" w:type="dxa"/>
              <w:left w:w="15" w:type="dxa"/>
              <w:bottom w:w="0" w:type="dxa"/>
              <w:right w:w="15" w:type="dxa"/>
            </w:tcMar>
            <w:vAlign w:val="center"/>
          </w:tcPr>
          <w:p>
            <w:pPr>
              <w:widowControl/>
              <w:spacing w:line="360" w:lineRule="auto"/>
              <w:ind w:firstLine="640"/>
              <w:jc w:val="center"/>
              <w:rPr>
                <w:rFonts w:ascii="宋体" w:hAnsi="宋体" w:cs="宋体"/>
                <w:b/>
                <w:bCs/>
                <w:color w:val="000000"/>
                <w:sz w:val="36"/>
                <w:szCs w:val="36"/>
              </w:rPr>
            </w:pPr>
            <w:r>
              <w:rPr>
                <w:rFonts w:hint="eastAsia" w:ascii="宋体" w:hAnsi="宋体"/>
                <w:b/>
                <w:bCs/>
                <w:color w:val="000000"/>
                <w:kern w:val="0"/>
                <w:sz w:val="36"/>
                <w:szCs w:val="36"/>
              </w:rPr>
              <w:t>粮食质量安全监管及执法经费项目绩效目标表</w:t>
            </w:r>
          </w:p>
        </w:tc>
      </w:tr>
      <w:tr>
        <w:tblPrEx>
          <w:tblCellMar>
            <w:top w:w="0" w:type="dxa"/>
            <w:left w:w="0" w:type="dxa"/>
            <w:bottom w:w="0" w:type="dxa"/>
            <w:right w:w="0" w:type="dxa"/>
          </w:tblCellMar>
        </w:tblPrEx>
        <w:trPr>
          <w:trHeight w:val="353" w:hRule="atLeast"/>
        </w:trPr>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项目编码</w:t>
            </w:r>
          </w:p>
        </w:tc>
        <w:tc>
          <w:tcPr>
            <w:tcW w:w="80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13022521GX2EDY8CYLEKO</w:t>
            </w:r>
          </w:p>
        </w:tc>
        <w:tc>
          <w:tcPr>
            <w:tcW w:w="983" w:type="pct"/>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项目名称</w:t>
            </w:r>
          </w:p>
        </w:tc>
        <w:tc>
          <w:tcPr>
            <w:tcW w:w="2667" w:type="pct"/>
            <w:gridSpan w:val="5"/>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粮食质量安全监管及执法经费</w:t>
            </w:r>
          </w:p>
        </w:tc>
      </w:tr>
      <w:tr>
        <w:tblPrEx>
          <w:tblCellMar>
            <w:top w:w="0" w:type="dxa"/>
            <w:left w:w="0" w:type="dxa"/>
            <w:bottom w:w="0" w:type="dxa"/>
            <w:right w:w="0" w:type="dxa"/>
          </w:tblCellMar>
        </w:tblPrEx>
        <w:trPr>
          <w:trHeight w:val="445" w:hRule="atLeast"/>
        </w:trPr>
        <w:tc>
          <w:tcPr>
            <w:tcW w:w="541"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预算规模及资金用途</w:t>
            </w:r>
          </w:p>
        </w:tc>
        <w:tc>
          <w:tcPr>
            <w:tcW w:w="808" w:type="pct"/>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 xml:space="preserve">预算数 </w:t>
            </w:r>
          </w:p>
        </w:tc>
        <w:tc>
          <w:tcPr>
            <w:tcW w:w="25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10万元</w:t>
            </w:r>
          </w:p>
        </w:tc>
        <w:tc>
          <w:tcPr>
            <w:tcW w:w="674"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其中：财政资金</w:t>
            </w:r>
          </w:p>
        </w:tc>
        <w:tc>
          <w:tcPr>
            <w:tcW w:w="1235" w:type="pct"/>
            <w:gridSpan w:val="3"/>
            <w:tcBorders>
              <w:top w:val="nil"/>
              <w:left w:val="nil"/>
              <w:bottom w:val="nil"/>
              <w:right w:val="nil"/>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10万元</w:t>
            </w:r>
          </w:p>
        </w:tc>
        <w:tc>
          <w:tcPr>
            <w:tcW w:w="781" w:type="pct"/>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其他资金</w:t>
            </w:r>
          </w:p>
        </w:tc>
        <w:tc>
          <w:tcPr>
            <w:tcW w:w="705"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87" w:hRule="atLeast"/>
        </w:trPr>
        <w:tc>
          <w:tcPr>
            <w:tcW w:w="54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4459" w:type="pct"/>
            <w:gridSpan w:val="9"/>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主要用于保护粮食生产者的积极性，促进粮食生产，维护经营者、消费者合法权益，保证国家粮食安全，维护粮食流通秩序，确保我县粮食行政执法监督检查工作的顺利开展。</w:t>
            </w:r>
          </w:p>
        </w:tc>
      </w:tr>
      <w:tr>
        <w:tblPrEx>
          <w:tblCellMar>
            <w:top w:w="0" w:type="dxa"/>
            <w:left w:w="0" w:type="dxa"/>
            <w:bottom w:w="0" w:type="dxa"/>
            <w:right w:w="0" w:type="dxa"/>
          </w:tblCellMar>
        </w:tblPrEx>
        <w:trPr>
          <w:trHeight w:val="321" w:hRule="atLeast"/>
        </w:trPr>
        <w:tc>
          <w:tcPr>
            <w:tcW w:w="541"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16"/>
                <w:szCs w:val="16"/>
              </w:rPr>
              <w:t>资金支出计划</w:t>
            </w:r>
            <w:r>
              <w:rPr>
                <w:rFonts w:hint="eastAsia" w:ascii="宋体" w:hAnsi="宋体"/>
                <w:b/>
                <w:bCs/>
                <w:color w:val="000000"/>
                <w:kern w:val="0"/>
                <w:sz w:val="16"/>
                <w:szCs w:val="16"/>
                <w:u w:val="single"/>
              </w:rPr>
              <w:t>（累计进度%</w:t>
            </w:r>
            <w:r>
              <w:rPr>
                <w:rFonts w:hint="eastAsia" w:ascii="宋体" w:hAnsi="宋体"/>
                <w:b/>
                <w:bCs/>
                <w:color w:val="000000"/>
                <w:kern w:val="0"/>
                <w:sz w:val="20"/>
                <w:szCs w:val="20"/>
                <w:u w:val="single"/>
              </w:rPr>
              <w:t>）</w:t>
            </w:r>
          </w:p>
        </w:tc>
        <w:tc>
          <w:tcPr>
            <w:tcW w:w="808" w:type="pct"/>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第一季度</w:t>
            </w:r>
          </w:p>
        </w:tc>
        <w:tc>
          <w:tcPr>
            <w:tcW w:w="1931" w:type="pct"/>
            <w:gridSpan w:val="4"/>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第二季度</w:t>
            </w:r>
          </w:p>
        </w:tc>
        <w:tc>
          <w:tcPr>
            <w:tcW w:w="781" w:type="pct"/>
            <w:gridSpan w:val="2"/>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第三季度</w:t>
            </w:r>
          </w:p>
        </w:tc>
        <w:tc>
          <w:tcPr>
            <w:tcW w:w="939" w:type="pct"/>
            <w:gridSpan w:val="2"/>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第四季度</w:t>
            </w:r>
          </w:p>
        </w:tc>
      </w:tr>
      <w:tr>
        <w:tblPrEx>
          <w:tblCellMar>
            <w:top w:w="0" w:type="dxa"/>
            <w:left w:w="0" w:type="dxa"/>
            <w:bottom w:w="0" w:type="dxa"/>
            <w:right w:w="0" w:type="dxa"/>
          </w:tblCellMar>
        </w:tblPrEx>
        <w:trPr>
          <w:trHeight w:val="284" w:hRule="atLeast"/>
        </w:trPr>
        <w:tc>
          <w:tcPr>
            <w:tcW w:w="54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80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w:t>
            </w:r>
          </w:p>
        </w:tc>
        <w:tc>
          <w:tcPr>
            <w:tcW w:w="1931" w:type="pct"/>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40%</w:t>
            </w:r>
          </w:p>
        </w:tc>
        <w:tc>
          <w:tcPr>
            <w:tcW w:w="781"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70%</w:t>
            </w:r>
          </w:p>
        </w:tc>
        <w:tc>
          <w:tcPr>
            <w:tcW w:w="939"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r>
      <w:tr>
        <w:tblPrEx>
          <w:tblCellMar>
            <w:top w:w="0" w:type="dxa"/>
            <w:left w:w="0" w:type="dxa"/>
            <w:bottom w:w="0" w:type="dxa"/>
            <w:right w:w="0" w:type="dxa"/>
          </w:tblCellMar>
        </w:tblPrEx>
        <w:trPr>
          <w:trHeight w:val="312" w:hRule="atLeast"/>
        </w:trPr>
        <w:tc>
          <w:tcPr>
            <w:tcW w:w="541"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绩效目标</w:t>
            </w:r>
          </w:p>
        </w:tc>
        <w:tc>
          <w:tcPr>
            <w:tcW w:w="4459" w:type="pct"/>
            <w:gridSpan w:val="9"/>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目标1：及时掌握收获、收购、储存、政策性粮食质量安全和品质情况，为落实粮食收购政策提供依据，确保用粮安全                                          目标2：掌握重点企业粮食质量状况，标准符合县情。</w:t>
            </w:r>
          </w:p>
        </w:tc>
      </w:tr>
      <w:tr>
        <w:tblPrEx>
          <w:tblCellMar>
            <w:top w:w="0" w:type="dxa"/>
            <w:left w:w="0" w:type="dxa"/>
            <w:bottom w:w="0" w:type="dxa"/>
            <w:right w:w="0" w:type="dxa"/>
          </w:tblCellMar>
        </w:tblPrEx>
        <w:trPr>
          <w:trHeight w:val="312" w:hRule="atLeast"/>
        </w:trPr>
        <w:tc>
          <w:tcPr>
            <w:tcW w:w="54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4459" w:type="pct"/>
            <w:gridSpan w:val="9"/>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54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4459" w:type="pct"/>
            <w:gridSpan w:val="9"/>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47" w:hRule="atLeast"/>
        </w:trPr>
        <w:tc>
          <w:tcPr>
            <w:tcW w:w="54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一级指标</w:t>
            </w:r>
          </w:p>
        </w:tc>
        <w:tc>
          <w:tcPr>
            <w:tcW w:w="80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二级指标</w:t>
            </w:r>
          </w:p>
        </w:tc>
        <w:tc>
          <w:tcPr>
            <w:tcW w:w="983" w:type="pct"/>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三级指标</w:t>
            </w:r>
          </w:p>
        </w:tc>
        <w:tc>
          <w:tcPr>
            <w:tcW w:w="94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绩效指标描述</w:t>
            </w:r>
          </w:p>
        </w:tc>
        <w:tc>
          <w:tcPr>
            <w:tcW w:w="781"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指标值</w:t>
            </w:r>
          </w:p>
        </w:tc>
        <w:tc>
          <w:tcPr>
            <w:tcW w:w="939"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指标值确定依据</w:t>
            </w:r>
          </w:p>
        </w:tc>
      </w:tr>
      <w:tr>
        <w:tblPrEx>
          <w:tblCellMar>
            <w:top w:w="0" w:type="dxa"/>
            <w:left w:w="0" w:type="dxa"/>
            <w:bottom w:w="0" w:type="dxa"/>
            <w:right w:w="0" w:type="dxa"/>
          </w:tblCellMar>
        </w:tblPrEx>
        <w:trPr>
          <w:trHeight w:val="417" w:hRule="atLeast"/>
        </w:trPr>
        <w:tc>
          <w:tcPr>
            <w:tcW w:w="541"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产出指标</w:t>
            </w:r>
          </w:p>
        </w:tc>
        <w:tc>
          <w:tcPr>
            <w:tcW w:w="80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数量指标</w:t>
            </w:r>
          </w:p>
        </w:tc>
        <w:tc>
          <w:tcPr>
            <w:tcW w:w="983" w:type="pct"/>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开展粮食质量安全检查次数</w:t>
            </w:r>
          </w:p>
        </w:tc>
        <w:tc>
          <w:tcPr>
            <w:tcW w:w="948" w:type="pct"/>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开展粮食质量安全检查次数</w:t>
            </w:r>
          </w:p>
        </w:tc>
        <w:tc>
          <w:tcPr>
            <w:tcW w:w="781"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20次</w:t>
            </w:r>
          </w:p>
        </w:tc>
        <w:tc>
          <w:tcPr>
            <w:tcW w:w="939"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81" w:hRule="atLeast"/>
        </w:trPr>
        <w:tc>
          <w:tcPr>
            <w:tcW w:w="54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80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质量指标</w:t>
            </w:r>
          </w:p>
        </w:tc>
        <w:tc>
          <w:tcPr>
            <w:tcW w:w="983" w:type="pct"/>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通过检查产品合格率</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产品合格率</w:t>
            </w:r>
          </w:p>
        </w:tc>
        <w:tc>
          <w:tcPr>
            <w:tcW w:w="781"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c>
          <w:tcPr>
            <w:tcW w:w="939"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产品合格率</w:t>
            </w:r>
          </w:p>
        </w:tc>
      </w:tr>
      <w:tr>
        <w:tblPrEx>
          <w:tblCellMar>
            <w:top w:w="0" w:type="dxa"/>
            <w:left w:w="0" w:type="dxa"/>
            <w:bottom w:w="0" w:type="dxa"/>
            <w:right w:w="0" w:type="dxa"/>
          </w:tblCellMar>
        </w:tblPrEx>
        <w:trPr>
          <w:trHeight w:val="309" w:hRule="atLeast"/>
        </w:trPr>
        <w:tc>
          <w:tcPr>
            <w:tcW w:w="54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80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时效指标</w:t>
            </w:r>
          </w:p>
        </w:tc>
        <w:tc>
          <w:tcPr>
            <w:tcW w:w="983" w:type="pct"/>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781"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2021年12月底前</w:t>
            </w:r>
          </w:p>
        </w:tc>
        <w:tc>
          <w:tcPr>
            <w:tcW w:w="939"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39" w:hRule="atLeast"/>
        </w:trPr>
        <w:tc>
          <w:tcPr>
            <w:tcW w:w="54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80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成本指标</w:t>
            </w:r>
          </w:p>
        </w:tc>
        <w:tc>
          <w:tcPr>
            <w:tcW w:w="983" w:type="pct"/>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781"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90以上</w:t>
            </w:r>
          </w:p>
        </w:tc>
        <w:tc>
          <w:tcPr>
            <w:tcW w:w="939"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471" w:hRule="atLeast"/>
        </w:trPr>
        <w:tc>
          <w:tcPr>
            <w:tcW w:w="541" w:type="pc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效果指标</w:t>
            </w:r>
          </w:p>
        </w:tc>
        <w:tc>
          <w:tcPr>
            <w:tcW w:w="808" w:type="pct"/>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经济效益指标</w:t>
            </w:r>
          </w:p>
        </w:tc>
        <w:tc>
          <w:tcPr>
            <w:tcW w:w="983" w:type="pct"/>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促进粮食生产、确保用粮安全</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促进粮食生产、确保用粮安全</w:t>
            </w:r>
          </w:p>
        </w:tc>
        <w:tc>
          <w:tcPr>
            <w:tcW w:w="781"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效果明显</w:t>
            </w:r>
          </w:p>
        </w:tc>
        <w:tc>
          <w:tcPr>
            <w:tcW w:w="939"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403" w:hRule="atLeast"/>
        </w:trPr>
        <w:tc>
          <w:tcPr>
            <w:tcW w:w="54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满意度指标</w:t>
            </w:r>
          </w:p>
        </w:tc>
        <w:tc>
          <w:tcPr>
            <w:tcW w:w="80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服务对象满意度指标</w:t>
            </w:r>
          </w:p>
        </w:tc>
        <w:tc>
          <w:tcPr>
            <w:tcW w:w="983" w:type="pct"/>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781"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90%以上</w:t>
            </w:r>
          </w:p>
        </w:tc>
        <w:tc>
          <w:tcPr>
            <w:tcW w:w="939"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bl>
    <w:p>
      <w:pPr>
        <w:spacing w:line="580" w:lineRule="exact"/>
        <w:rPr>
          <w:rFonts w:hint="eastAsia" w:ascii="方正小标宋_GBK" w:hAnsi="方正小标宋_GBK"/>
          <w:sz w:val="44"/>
          <w:szCs w:val="44"/>
        </w:rPr>
      </w:pPr>
      <w:r>
        <w:rPr>
          <w:sz w:val="44"/>
          <w:szCs w:val="44"/>
        </w:rPr>
        <w:t xml:space="preserve"> </w:t>
      </w:r>
    </w:p>
    <w:tbl>
      <w:tblPr>
        <w:tblStyle w:val="9"/>
        <w:tblW w:w="4701" w:type="pct"/>
        <w:tblInd w:w="228" w:type="dxa"/>
        <w:tblLayout w:type="fixed"/>
        <w:tblCellMar>
          <w:top w:w="0" w:type="dxa"/>
          <w:left w:w="0" w:type="dxa"/>
          <w:bottom w:w="0" w:type="dxa"/>
          <w:right w:w="0" w:type="dxa"/>
        </w:tblCellMar>
      </w:tblPr>
      <w:tblGrid>
        <w:gridCol w:w="1740"/>
        <w:gridCol w:w="1537"/>
        <w:gridCol w:w="1868"/>
        <w:gridCol w:w="1908"/>
        <w:gridCol w:w="2061"/>
        <w:gridCol w:w="1990"/>
        <w:gridCol w:w="2049"/>
      </w:tblGrid>
      <w:tr>
        <w:tblPrEx>
          <w:tblCellMar>
            <w:top w:w="0" w:type="dxa"/>
            <w:left w:w="0" w:type="dxa"/>
            <w:bottom w:w="0" w:type="dxa"/>
            <w:right w:w="0" w:type="dxa"/>
          </w:tblCellMar>
        </w:tblPrEx>
        <w:trPr>
          <w:trHeight w:val="885" w:hRule="atLeast"/>
        </w:trPr>
        <w:tc>
          <w:tcPr>
            <w:tcW w:w="13154" w:type="dxa"/>
            <w:gridSpan w:val="7"/>
            <w:tcBorders>
              <w:top w:val="nil"/>
              <w:left w:val="nil"/>
              <w:bottom w:val="single" w:color="000000" w:sz="4" w:space="0"/>
              <w:right w:val="nil"/>
            </w:tcBorders>
            <w:noWrap/>
            <w:tcMar>
              <w:top w:w="15" w:type="dxa"/>
              <w:left w:w="15" w:type="dxa"/>
              <w:bottom w:w="0"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b/>
                <w:bCs/>
                <w:color w:val="000000"/>
                <w:kern w:val="0"/>
                <w:sz w:val="36"/>
                <w:szCs w:val="36"/>
              </w:rPr>
              <w:t>物价专项业务费项目绩效目标表</w:t>
            </w:r>
          </w:p>
        </w:tc>
      </w:tr>
      <w:tr>
        <w:tblPrEx>
          <w:tblCellMar>
            <w:top w:w="0" w:type="dxa"/>
            <w:left w:w="0" w:type="dxa"/>
            <w:bottom w:w="0" w:type="dxa"/>
            <w:right w:w="0" w:type="dxa"/>
          </w:tblCellMar>
        </w:tblPrEx>
        <w:trPr>
          <w:trHeight w:val="382" w:hRule="atLeast"/>
        </w:trPr>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项目编码</w:t>
            </w:r>
          </w:p>
        </w:tc>
        <w:tc>
          <w:tcPr>
            <w:tcW w:w="3398"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1302252129PHETIXH40BP</w:t>
            </w:r>
          </w:p>
        </w:tc>
        <w:tc>
          <w:tcPr>
            <w:tcW w:w="190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项目名称</w:t>
            </w:r>
          </w:p>
        </w:tc>
        <w:tc>
          <w:tcPr>
            <w:tcW w:w="6108"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物价专项业务费</w:t>
            </w:r>
          </w:p>
        </w:tc>
      </w:tr>
      <w:tr>
        <w:tblPrEx>
          <w:tblCellMar>
            <w:top w:w="0" w:type="dxa"/>
            <w:left w:w="0" w:type="dxa"/>
            <w:bottom w:w="0" w:type="dxa"/>
            <w:right w:w="0" w:type="dxa"/>
          </w:tblCellMar>
        </w:tblPrEx>
        <w:trPr>
          <w:trHeight w:val="378" w:hRule="atLeast"/>
        </w:trPr>
        <w:tc>
          <w:tcPr>
            <w:tcW w:w="174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预算规模及资金用途</w:t>
            </w:r>
          </w:p>
        </w:tc>
        <w:tc>
          <w:tcPr>
            <w:tcW w:w="1530" w:type="dxa"/>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 xml:space="preserve">预算数 </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26万元</w:t>
            </w:r>
          </w:p>
        </w:tc>
        <w:tc>
          <w:tcPr>
            <w:tcW w:w="190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其中：财政资金</w:t>
            </w:r>
          </w:p>
        </w:tc>
        <w:tc>
          <w:tcPr>
            <w:tcW w:w="206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26万元</w:t>
            </w:r>
          </w:p>
        </w:tc>
        <w:tc>
          <w:tcPr>
            <w:tcW w:w="199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其他资金</w:t>
            </w:r>
          </w:p>
        </w:tc>
        <w:tc>
          <w:tcPr>
            <w:tcW w:w="205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18"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11414"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主要用于价格认定工作经费用于聘请专家及专业技术人员费用，咨询费、测绘测量费、差旅费等</w:t>
            </w:r>
          </w:p>
        </w:tc>
      </w:tr>
      <w:tr>
        <w:tblPrEx>
          <w:tblCellMar>
            <w:top w:w="0" w:type="dxa"/>
            <w:left w:w="0" w:type="dxa"/>
            <w:bottom w:w="0" w:type="dxa"/>
            <w:right w:w="0" w:type="dxa"/>
          </w:tblCellMar>
        </w:tblPrEx>
        <w:trPr>
          <w:trHeight w:val="261" w:hRule="atLeast"/>
        </w:trPr>
        <w:tc>
          <w:tcPr>
            <w:tcW w:w="174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Style w:val="16"/>
                <w:rFonts w:hint="default"/>
              </w:rPr>
              <w:t>资金支出计划</w:t>
            </w:r>
            <w:r>
              <w:rPr>
                <w:rStyle w:val="17"/>
                <w:rFonts w:hint="default"/>
              </w:rPr>
              <w:t>（累计进度%）</w:t>
            </w:r>
          </w:p>
        </w:tc>
        <w:tc>
          <w:tcPr>
            <w:tcW w:w="5306" w:type="dxa"/>
            <w:gridSpan w:val="3"/>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第一季度</w:t>
            </w:r>
          </w:p>
        </w:tc>
        <w:tc>
          <w:tcPr>
            <w:tcW w:w="2064"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第二季度</w:t>
            </w:r>
          </w:p>
        </w:tc>
        <w:tc>
          <w:tcPr>
            <w:tcW w:w="1992"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第三季度</w:t>
            </w:r>
          </w:p>
        </w:tc>
        <w:tc>
          <w:tcPr>
            <w:tcW w:w="2052"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第四季度</w:t>
            </w:r>
          </w:p>
        </w:tc>
      </w:tr>
      <w:tr>
        <w:tblPrEx>
          <w:tblCellMar>
            <w:top w:w="0" w:type="dxa"/>
            <w:left w:w="0" w:type="dxa"/>
            <w:bottom w:w="0" w:type="dxa"/>
            <w:right w:w="0" w:type="dxa"/>
          </w:tblCellMar>
        </w:tblPrEx>
        <w:trPr>
          <w:trHeight w:val="209"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5306"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25%</w:t>
            </w:r>
          </w:p>
        </w:tc>
        <w:tc>
          <w:tcPr>
            <w:tcW w:w="206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50%</w:t>
            </w:r>
          </w:p>
        </w:tc>
        <w:tc>
          <w:tcPr>
            <w:tcW w:w="199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75%</w:t>
            </w:r>
          </w:p>
        </w:tc>
        <w:tc>
          <w:tcPr>
            <w:tcW w:w="205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r>
      <w:tr>
        <w:tblPrEx>
          <w:tblCellMar>
            <w:top w:w="0" w:type="dxa"/>
            <w:left w:w="0" w:type="dxa"/>
            <w:bottom w:w="0" w:type="dxa"/>
            <w:right w:w="0" w:type="dxa"/>
          </w:tblCellMar>
        </w:tblPrEx>
        <w:trPr>
          <w:trHeight w:val="312" w:hRule="atLeast"/>
        </w:trPr>
        <w:tc>
          <w:tcPr>
            <w:tcW w:w="174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绩效目标</w:t>
            </w:r>
          </w:p>
        </w:tc>
        <w:tc>
          <w:tcPr>
            <w:tcW w:w="11414" w:type="dxa"/>
            <w:gridSpan w:val="6"/>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olor w:val="000000"/>
                <w:kern w:val="0"/>
                <w:sz w:val="20"/>
                <w:szCs w:val="20"/>
              </w:rPr>
              <w:t xml:space="preserve">目标1：保持市场价格总水平基本稳定。       </w:t>
            </w:r>
          </w:p>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目标2：为各类经济行为进行价格认证。</w:t>
            </w:r>
          </w:p>
        </w:tc>
      </w:tr>
      <w:tr>
        <w:tblPrEx>
          <w:tblCellMar>
            <w:top w:w="0" w:type="dxa"/>
            <w:left w:w="0" w:type="dxa"/>
            <w:bottom w:w="0" w:type="dxa"/>
            <w:right w:w="0" w:type="dxa"/>
          </w:tblCellMar>
        </w:tblPrEx>
        <w:trPr>
          <w:trHeight w:val="312"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11352"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11352"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11" w:hRule="atLeast"/>
        </w:trPr>
        <w:tc>
          <w:tcPr>
            <w:tcW w:w="17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一级指标</w:t>
            </w:r>
          </w:p>
        </w:tc>
        <w:tc>
          <w:tcPr>
            <w:tcW w:w="15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二级指标</w:t>
            </w:r>
          </w:p>
        </w:tc>
        <w:tc>
          <w:tcPr>
            <w:tcW w:w="3776"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三级指标</w:t>
            </w:r>
          </w:p>
        </w:tc>
        <w:tc>
          <w:tcPr>
            <w:tcW w:w="206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绩效指标描述</w:t>
            </w:r>
          </w:p>
        </w:tc>
        <w:tc>
          <w:tcPr>
            <w:tcW w:w="199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指标值</w:t>
            </w:r>
          </w:p>
        </w:tc>
        <w:tc>
          <w:tcPr>
            <w:tcW w:w="205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指标值确定依据</w:t>
            </w:r>
          </w:p>
        </w:tc>
      </w:tr>
      <w:tr>
        <w:tblPrEx>
          <w:tblCellMar>
            <w:top w:w="0" w:type="dxa"/>
            <w:left w:w="0" w:type="dxa"/>
            <w:bottom w:w="0" w:type="dxa"/>
            <w:right w:w="0" w:type="dxa"/>
          </w:tblCellMar>
        </w:tblPrEx>
        <w:trPr>
          <w:trHeight w:val="382" w:hRule="atLeast"/>
        </w:trPr>
        <w:tc>
          <w:tcPr>
            <w:tcW w:w="174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产出指标</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数量指标</w:t>
            </w:r>
          </w:p>
        </w:tc>
        <w:tc>
          <w:tcPr>
            <w:tcW w:w="37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完成案件数量</w:t>
            </w:r>
          </w:p>
        </w:tc>
        <w:tc>
          <w:tcPr>
            <w:tcW w:w="2064"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完成案件数量</w:t>
            </w:r>
          </w:p>
        </w:tc>
        <w:tc>
          <w:tcPr>
            <w:tcW w:w="1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130件</w:t>
            </w:r>
          </w:p>
        </w:tc>
        <w:tc>
          <w:tcPr>
            <w:tcW w:w="20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39"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质量指标</w:t>
            </w:r>
          </w:p>
        </w:tc>
        <w:tc>
          <w:tcPr>
            <w:tcW w:w="37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案件处理合格</w:t>
            </w:r>
          </w:p>
        </w:tc>
        <w:tc>
          <w:tcPr>
            <w:tcW w:w="20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案件处理合格率</w:t>
            </w:r>
          </w:p>
        </w:tc>
        <w:tc>
          <w:tcPr>
            <w:tcW w:w="1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c>
          <w:tcPr>
            <w:tcW w:w="20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案件处理合格率</w:t>
            </w:r>
          </w:p>
        </w:tc>
      </w:tr>
      <w:tr>
        <w:tblPrEx>
          <w:tblCellMar>
            <w:top w:w="0" w:type="dxa"/>
            <w:left w:w="0" w:type="dxa"/>
            <w:bottom w:w="0" w:type="dxa"/>
            <w:right w:w="0" w:type="dxa"/>
          </w:tblCellMar>
        </w:tblPrEx>
        <w:trPr>
          <w:trHeight w:val="321"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时效指标</w:t>
            </w:r>
          </w:p>
        </w:tc>
        <w:tc>
          <w:tcPr>
            <w:tcW w:w="37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20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1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2021年12月底前</w:t>
            </w:r>
          </w:p>
        </w:tc>
        <w:tc>
          <w:tcPr>
            <w:tcW w:w="20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09"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成本指标</w:t>
            </w:r>
          </w:p>
        </w:tc>
        <w:tc>
          <w:tcPr>
            <w:tcW w:w="37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20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1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90%以上</w:t>
            </w:r>
          </w:p>
        </w:tc>
        <w:tc>
          <w:tcPr>
            <w:tcW w:w="20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479" w:hRule="atLeast"/>
        </w:trPr>
        <w:tc>
          <w:tcPr>
            <w:tcW w:w="174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效果指标</w:t>
            </w:r>
          </w:p>
        </w:tc>
        <w:tc>
          <w:tcPr>
            <w:tcW w:w="1530"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经济效益指标</w:t>
            </w:r>
          </w:p>
        </w:tc>
        <w:tc>
          <w:tcPr>
            <w:tcW w:w="37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保持市场价格基本稳定，促进经济健康发展</w:t>
            </w:r>
          </w:p>
        </w:tc>
        <w:tc>
          <w:tcPr>
            <w:tcW w:w="20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保持市场价格基本稳定，促进经济健康发展</w:t>
            </w:r>
          </w:p>
        </w:tc>
        <w:tc>
          <w:tcPr>
            <w:tcW w:w="1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效果明显</w:t>
            </w:r>
          </w:p>
        </w:tc>
        <w:tc>
          <w:tcPr>
            <w:tcW w:w="20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90"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可持续影响指标</w:t>
            </w:r>
          </w:p>
        </w:tc>
        <w:tc>
          <w:tcPr>
            <w:tcW w:w="37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0"/>
                <w:szCs w:val="20"/>
              </w:rPr>
            </w:pPr>
          </w:p>
        </w:tc>
        <w:tc>
          <w:tcPr>
            <w:tcW w:w="20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0"/>
                <w:szCs w:val="20"/>
              </w:rPr>
            </w:pPr>
          </w:p>
        </w:tc>
        <w:tc>
          <w:tcPr>
            <w:tcW w:w="1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0"/>
                <w:szCs w:val="20"/>
              </w:rPr>
            </w:pPr>
          </w:p>
        </w:tc>
        <w:tc>
          <w:tcPr>
            <w:tcW w:w="20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71" w:hRule="atLeast"/>
        </w:trPr>
        <w:tc>
          <w:tcPr>
            <w:tcW w:w="17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满意度指标</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服务对象满意度指标</w:t>
            </w:r>
          </w:p>
        </w:tc>
        <w:tc>
          <w:tcPr>
            <w:tcW w:w="37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20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1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95%以上</w:t>
            </w:r>
          </w:p>
        </w:tc>
        <w:tc>
          <w:tcPr>
            <w:tcW w:w="20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r>
    </w:tbl>
    <w:p>
      <w:pPr>
        <w:widowControl/>
        <w:jc w:val="left"/>
        <w:rPr>
          <w:rFonts w:ascii="宋体" w:hAnsi="宋体"/>
          <w:vanish/>
          <w:kern w:val="0"/>
          <w:sz w:val="24"/>
          <w:szCs w:val="24"/>
        </w:rPr>
      </w:pPr>
      <w:r>
        <w:rPr>
          <w:rFonts w:hint="eastAsia" w:ascii="宋体" w:hAnsi="宋体"/>
          <w:vanish/>
          <w:kern w:val="0"/>
          <w:sz w:val="24"/>
          <w:szCs w:val="24"/>
        </w:rPr>
        <w:t xml:space="preserve"> </w:t>
      </w:r>
    </w:p>
    <w:tbl>
      <w:tblPr>
        <w:tblStyle w:val="9"/>
        <w:tblW w:w="4684" w:type="pct"/>
        <w:tblInd w:w="228" w:type="dxa"/>
        <w:tblLayout w:type="autofit"/>
        <w:tblCellMar>
          <w:top w:w="0" w:type="dxa"/>
          <w:left w:w="0" w:type="dxa"/>
          <w:bottom w:w="0" w:type="dxa"/>
          <w:right w:w="0" w:type="dxa"/>
        </w:tblCellMar>
      </w:tblPr>
      <w:tblGrid>
        <w:gridCol w:w="1385"/>
        <w:gridCol w:w="1397"/>
        <w:gridCol w:w="1337"/>
        <w:gridCol w:w="2956"/>
        <w:gridCol w:w="2068"/>
        <w:gridCol w:w="1552"/>
        <w:gridCol w:w="2409"/>
      </w:tblGrid>
      <w:tr>
        <w:tblPrEx>
          <w:tblCellMar>
            <w:top w:w="0" w:type="dxa"/>
            <w:left w:w="0" w:type="dxa"/>
            <w:bottom w:w="0" w:type="dxa"/>
            <w:right w:w="0" w:type="dxa"/>
          </w:tblCellMar>
        </w:tblPrEx>
        <w:trPr>
          <w:trHeight w:val="870" w:hRule="atLeast"/>
        </w:trPr>
        <w:tc>
          <w:tcPr>
            <w:tcW w:w="5000" w:type="pct"/>
            <w:gridSpan w:val="7"/>
            <w:tcBorders>
              <w:top w:val="nil"/>
              <w:left w:val="nil"/>
              <w:bottom w:val="single" w:color="000000" w:sz="4" w:space="0"/>
              <w:right w:val="nil"/>
            </w:tcBorders>
            <w:noWrap/>
            <w:tcMar>
              <w:top w:w="15" w:type="dxa"/>
              <w:left w:w="15" w:type="dxa"/>
              <w:bottom w:w="0" w:type="dxa"/>
              <w:right w:w="15" w:type="dxa"/>
            </w:tcMar>
            <w:vAlign w:val="center"/>
          </w:tcPr>
          <w:p>
            <w:pPr>
              <w:widowControl/>
              <w:jc w:val="center"/>
              <w:textAlignment w:val="center"/>
              <w:rPr>
                <w:rFonts w:hint="eastAsia" w:ascii="宋体" w:hAnsi="宋体"/>
                <w:b/>
                <w:bCs/>
                <w:color w:val="000000"/>
                <w:kern w:val="0"/>
                <w:sz w:val="36"/>
                <w:szCs w:val="36"/>
              </w:rPr>
            </w:pPr>
          </w:p>
          <w:p>
            <w:pPr>
              <w:widowControl/>
              <w:jc w:val="center"/>
              <w:textAlignment w:val="center"/>
              <w:rPr>
                <w:rFonts w:ascii="宋体" w:hAnsi="宋体" w:cs="宋体"/>
                <w:b/>
                <w:bCs/>
                <w:color w:val="000000"/>
                <w:sz w:val="36"/>
                <w:szCs w:val="36"/>
              </w:rPr>
            </w:pPr>
            <w:r>
              <w:rPr>
                <w:rFonts w:hint="eastAsia" w:ascii="宋体" w:hAnsi="宋体"/>
                <w:b/>
                <w:bCs/>
                <w:color w:val="000000"/>
                <w:kern w:val="0"/>
                <w:sz w:val="36"/>
                <w:szCs w:val="36"/>
              </w:rPr>
              <w:t>企事业单位补贴项目绩效目标表</w:t>
            </w:r>
          </w:p>
        </w:tc>
      </w:tr>
      <w:tr>
        <w:tblPrEx>
          <w:tblCellMar>
            <w:top w:w="0" w:type="dxa"/>
            <w:left w:w="0" w:type="dxa"/>
            <w:bottom w:w="0" w:type="dxa"/>
            <w:right w:w="0" w:type="dxa"/>
          </w:tblCellMar>
        </w:tblPrEx>
        <w:trPr>
          <w:trHeight w:val="390" w:hRule="atLeast"/>
        </w:trPr>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项目编码</w:t>
            </w:r>
          </w:p>
        </w:tc>
        <w:tc>
          <w:tcPr>
            <w:tcW w:w="1043"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130225211GO4TZIUCKURO</w:t>
            </w:r>
          </w:p>
        </w:tc>
        <w:tc>
          <w:tcPr>
            <w:tcW w:w="1127" w:type="pct"/>
            <w:tcBorders>
              <w:top w:val="single" w:color="000000" w:sz="4" w:space="0"/>
              <w:left w:val="nil"/>
              <w:bottom w:val="nil"/>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项目名称</w:t>
            </w:r>
          </w:p>
        </w:tc>
        <w:tc>
          <w:tcPr>
            <w:tcW w:w="2299" w:type="pct"/>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企事业单位补贴</w:t>
            </w:r>
          </w:p>
        </w:tc>
      </w:tr>
      <w:tr>
        <w:tblPrEx>
          <w:tblCellMar>
            <w:top w:w="0" w:type="dxa"/>
            <w:left w:w="0" w:type="dxa"/>
            <w:bottom w:w="0" w:type="dxa"/>
            <w:right w:w="0" w:type="dxa"/>
          </w:tblCellMar>
        </w:tblPrEx>
        <w:trPr>
          <w:trHeight w:val="390" w:hRule="atLeast"/>
        </w:trPr>
        <w:tc>
          <w:tcPr>
            <w:tcW w:w="529"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预算规模及资金用途</w:t>
            </w:r>
          </w:p>
        </w:tc>
        <w:tc>
          <w:tcPr>
            <w:tcW w:w="533" w:type="pct"/>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预算数</w:t>
            </w:r>
          </w:p>
        </w:tc>
        <w:tc>
          <w:tcPr>
            <w:tcW w:w="510"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50万元</w:t>
            </w:r>
          </w:p>
        </w:tc>
        <w:tc>
          <w:tcPr>
            <w:tcW w:w="112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其中：财政资金</w:t>
            </w:r>
          </w:p>
        </w:tc>
        <w:tc>
          <w:tcPr>
            <w:tcW w:w="789"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50万元</w:t>
            </w:r>
          </w:p>
        </w:tc>
        <w:tc>
          <w:tcPr>
            <w:tcW w:w="592"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其他资金</w:t>
            </w:r>
          </w:p>
        </w:tc>
        <w:tc>
          <w:tcPr>
            <w:tcW w:w="91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26"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4470" w:type="pct"/>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主要用于负责粮食系统综合业务管理和机关综合事务管理，确保机关正常运转，各项业务顺利进行。</w:t>
            </w:r>
          </w:p>
        </w:tc>
      </w:tr>
      <w:tr>
        <w:tblPrEx>
          <w:tblCellMar>
            <w:top w:w="0" w:type="dxa"/>
            <w:left w:w="0" w:type="dxa"/>
            <w:bottom w:w="0" w:type="dxa"/>
            <w:right w:w="0" w:type="dxa"/>
          </w:tblCellMar>
        </w:tblPrEx>
        <w:trPr>
          <w:trHeight w:val="273" w:hRule="atLeast"/>
        </w:trPr>
        <w:tc>
          <w:tcPr>
            <w:tcW w:w="529"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资金支出计划</w:t>
            </w:r>
            <w:r>
              <w:rPr>
                <w:rFonts w:hint="eastAsia" w:ascii="宋体" w:hAnsi="宋体"/>
                <w:b/>
                <w:bCs/>
                <w:color w:val="000000"/>
                <w:kern w:val="0"/>
                <w:sz w:val="20"/>
                <w:szCs w:val="20"/>
                <w:u w:val="single"/>
              </w:rPr>
              <w:t>（累计进度%）</w:t>
            </w:r>
          </w:p>
        </w:tc>
        <w:tc>
          <w:tcPr>
            <w:tcW w:w="2171" w:type="pct"/>
            <w:gridSpan w:val="3"/>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第一季度</w:t>
            </w:r>
          </w:p>
        </w:tc>
        <w:tc>
          <w:tcPr>
            <w:tcW w:w="789" w:type="pct"/>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第二季度</w:t>
            </w:r>
          </w:p>
        </w:tc>
        <w:tc>
          <w:tcPr>
            <w:tcW w:w="592" w:type="pct"/>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第三季度</w:t>
            </w:r>
          </w:p>
        </w:tc>
        <w:tc>
          <w:tcPr>
            <w:tcW w:w="918" w:type="pct"/>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第四季度</w:t>
            </w:r>
          </w:p>
        </w:tc>
      </w:tr>
      <w:tr>
        <w:tblPrEx>
          <w:tblCellMar>
            <w:top w:w="0" w:type="dxa"/>
            <w:left w:w="0" w:type="dxa"/>
            <w:bottom w:w="0" w:type="dxa"/>
            <w:right w:w="0" w:type="dxa"/>
          </w:tblCellMar>
        </w:tblPrEx>
        <w:trPr>
          <w:trHeight w:val="269"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2171" w:type="pct"/>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0%</w:t>
            </w:r>
          </w:p>
        </w:tc>
        <w:tc>
          <w:tcPr>
            <w:tcW w:w="789"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0%</w:t>
            </w:r>
          </w:p>
        </w:tc>
        <w:tc>
          <w:tcPr>
            <w:tcW w:w="592"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0%</w:t>
            </w:r>
          </w:p>
        </w:tc>
        <w:tc>
          <w:tcPr>
            <w:tcW w:w="91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r>
      <w:tr>
        <w:tblPrEx>
          <w:tblCellMar>
            <w:top w:w="0" w:type="dxa"/>
            <w:left w:w="0" w:type="dxa"/>
            <w:bottom w:w="0" w:type="dxa"/>
            <w:right w:w="0" w:type="dxa"/>
          </w:tblCellMar>
        </w:tblPrEx>
        <w:trPr>
          <w:trHeight w:val="312" w:hRule="atLeast"/>
        </w:trPr>
        <w:tc>
          <w:tcPr>
            <w:tcW w:w="529"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绩效目标</w:t>
            </w:r>
          </w:p>
        </w:tc>
        <w:tc>
          <w:tcPr>
            <w:tcW w:w="4470" w:type="pct"/>
            <w:gridSpan w:val="6"/>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olor w:val="000000"/>
                <w:kern w:val="0"/>
                <w:sz w:val="20"/>
                <w:szCs w:val="20"/>
              </w:rPr>
              <w:t xml:space="preserve">目标1：确保机关正常运转，各项业务顺利进行。                      </w:t>
            </w:r>
          </w:p>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目标2：工资及时发放，不拖欠社会保险费。</w:t>
            </w:r>
          </w:p>
        </w:tc>
      </w:tr>
      <w:tr>
        <w:tblPrEx>
          <w:tblCellMar>
            <w:top w:w="0" w:type="dxa"/>
            <w:left w:w="0" w:type="dxa"/>
            <w:bottom w:w="0" w:type="dxa"/>
            <w:right w:w="0"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0" w:type="auto"/>
            <w:gridSpan w:val="6"/>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0" w:type="auto"/>
            <w:gridSpan w:val="6"/>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5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一级指标</w:t>
            </w:r>
          </w:p>
        </w:tc>
        <w:tc>
          <w:tcPr>
            <w:tcW w:w="53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二级指标</w:t>
            </w:r>
          </w:p>
        </w:tc>
        <w:tc>
          <w:tcPr>
            <w:tcW w:w="1638"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三级指标</w:t>
            </w:r>
          </w:p>
        </w:tc>
        <w:tc>
          <w:tcPr>
            <w:tcW w:w="789"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绩效指标描述</w:t>
            </w:r>
          </w:p>
        </w:tc>
        <w:tc>
          <w:tcPr>
            <w:tcW w:w="592"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指标值</w:t>
            </w:r>
          </w:p>
        </w:tc>
        <w:tc>
          <w:tcPr>
            <w:tcW w:w="91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指标值确定依据</w:t>
            </w:r>
          </w:p>
        </w:tc>
      </w:tr>
      <w:tr>
        <w:tblPrEx>
          <w:tblCellMar>
            <w:top w:w="0" w:type="dxa"/>
            <w:left w:w="0" w:type="dxa"/>
            <w:bottom w:w="0" w:type="dxa"/>
            <w:right w:w="0" w:type="dxa"/>
          </w:tblCellMar>
        </w:tblPrEx>
        <w:trPr>
          <w:trHeight w:val="418" w:hRule="atLeast"/>
        </w:trPr>
        <w:tc>
          <w:tcPr>
            <w:tcW w:w="529"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产出指标</w:t>
            </w:r>
          </w:p>
        </w:tc>
        <w:tc>
          <w:tcPr>
            <w:tcW w:w="53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数量指标</w:t>
            </w:r>
          </w:p>
        </w:tc>
        <w:tc>
          <w:tcPr>
            <w:tcW w:w="1638"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补贴企业人员经费支出</w:t>
            </w:r>
          </w:p>
        </w:tc>
        <w:tc>
          <w:tcPr>
            <w:tcW w:w="789" w:type="pct"/>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补贴企业人员经费支出</w:t>
            </w:r>
          </w:p>
        </w:tc>
        <w:tc>
          <w:tcPr>
            <w:tcW w:w="59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50万元</w:t>
            </w:r>
          </w:p>
        </w:tc>
        <w:tc>
          <w:tcPr>
            <w:tcW w:w="91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44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53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质量指标</w:t>
            </w:r>
          </w:p>
        </w:tc>
        <w:tc>
          <w:tcPr>
            <w:tcW w:w="1638"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补贴资金发放及时率</w:t>
            </w:r>
          </w:p>
        </w:tc>
        <w:tc>
          <w:tcPr>
            <w:tcW w:w="78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补贴资金发放及时率</w:t>
            </w:r>
          </w:p>
        </w:tc>
        <w:tc>
          <w:tcPr>
            <w:tcW w:w="59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c>
          <w:tcPr>
            <w:tcW w:w="91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补贴资金发放及时率</w:t>
            </w:r>
          </w:p>
        </w:tc>
      </w:tr>
      <w:tr>
        <w:tblPrEx>
          <w:tblCellMar>
            <w:top w:w="0" w:type="dxa"/>
            <w:left w:w="0" w:type="dxa"/>
            <w:bottom w:w="0" w:type="dxa"/>
            <w:right w:w="0" w:type="dxa"/>
          </w:tblCellMar>
        </w:tblPrEx>
        <w:trPr>
          <w:trHeight w:val="38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53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时效指标</w:t>
            </w:r>
          </w:p>
        </w:tc>
        <w:tc>
          <w:tcPr>
            <w:tcW w:w="1638"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78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59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2021年12月底前</w:t>
            </w:r>
          </w:p>
        </w:tc>
        <w:tc>
          <w:tcPr>
            <w:tcW w:w="91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8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533" w:type="pct"/>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成本指标</w:t>
            </w:r>
          </w:p>
        </w:tc>
        <w:tc>
          <w:tcPr>
            <w:tcW w:w="1638" w:type="pct"/>
            <w:gridSpan w:val="2"/>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789" w:type="pct"/>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592" w:type="pct"/>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95%以上</w:t>
            </w:r>
          </w:p>
        </w:tc>
        <w:tc>
          <w:tcPr>
            <w:tcW w:w="918" w:type="pct"/>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72" w:hRule="atLeast"/>
        </w:trPr>
        <w:tc>
          <w:tcPr>
            <w:tcW w:w="52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效果指标</w:t>
            </w:r>
          </w:p>
        </w:tc>
        <w:tc>
          <w:tcPr>
            <w:tcW w:w="53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经济效益指标</w:t>
            </w:r>
          </w:p>
        </w:tc>
        <w:tc>
          <w:tcPr>
            <w:tcW w:w="1638"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保证下属单位机关正常运转</w:t>
            </w:r>
          </w:p>
        </w:tc>
        <w:tc>
          <w:tcPr>
            <w:tcW w:w="7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保证下属单位机关正常运转</w:t>
            </w:r>
          </w:p>
        </w:tc>
        <w:tc>
          <w:tcPr>
            <w:tcW w:w="592"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效果明显</w:t>
            </w:r>
          </w:p>
        </w:tc>
        <w:tc>
          <w:tcPr>
            <w:tcW w:w="91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631" w:hRule="atLeast"/>
        </w:trPr>
        <w:tc>
          <w:tcPr>
            <w:tcW w:w="5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满意度指标</w:t>
            </w:r>
          </w:p>
        </w:tc>
        <w:tc>
          <w:tcPr>
            <w:tcW w:w="53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服务对象满意度指标</w:t>
            </w:r>
          </w:p>
        </w:tc>
        <w:tc>
          <w:tcPr>
            <w:tcW w:w="1638"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78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职工满意度</w:t>
            </w:r>
          </w:p>
        </w:tc>
        <w:tc>
          <w:tcPr>
            <w:tcW w:w="59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90%以上</w:t>
            </w:r>
          </w:p>
        </w:tc>
        <w:tc>
          <w:tcPr>
            <w:tcW w:w="91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职工满意度</w:t>
            </w:r>
          </w:p>
        </w:tc>
      </w:tr>
    </w:tbl>
    <w:p>
      <w:pPr>
        <w:rPr>
          <w:rFonts w:hint="eastAsia" w:ascii="Calibri" w:hAnsi="Calibri"/>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tbl>
      <w:tblPr>
        <w:tblStyle w:val="9"/>
        <w:tblW w:w="4701" w:type="pct"/>
        <w:tblInd w:w="228" w:type="dxa"/>
        <w:tblLayout w:type="fixed"/>
        <w:tblCellMar>
          <w:top w:w="0" w:type="dxa"/>
          <w:left w:w="0" w:type="dxa"/>
          <w:bottom w:w="0" w:type="dxa"/>
          <w:right w:w="0" w:type="dxa"/>
        </w:tblCellMar>
      </w:tblPr>
      <w:tblGrid>
        <w:gridCol w:w="1604"/>
        <w:gridCol w:w="1398"/>
        <w:gridCol w:w="1655"/>
        <w:gridCol w:w="1344"/>
        <w:gridCol w:w="2960"/>
        <w:gridCol w:w="1932"/>
        <w:gridCol w:w="2261"/>
      </w:tblGrid>
      <w:tr>
        <w:tblPrEx>
          <w:tblCellMar>
            <w:top w:w="0" w:type="dxa"/>
            <w:left w:w="0" w:type="dxa"/>
            <w:bottom w:w="0" w:type="dxa"/>
            <w:right w:w="0" w:type="dxa"/>
          </w:tblCellMar>
        </w:tblPrEx>
        <w:trPr>
          <w:trHeight w:val="870" w:hRule="atLeast"/>
        </w:trPr>
        <w:tc>
          <w:tcPr>
            <w:tcW w:w="13154" w:type="dxa"/>
            <w:gridSpan w:val="7"/>
            <w:tcBorders>
              <w:top w:val="nil"/>
              <w:left w:val="nil"/>
              <w:bottom w:val="single" w:color="000000" w:sz="4" w:space="0"/>
              <w:right w:val="nil"/>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36"/>
                <w:szCs w:val="36"/>
              </w:rPr>
            </w:pPr>
            <w:r>
              <w:rPr>
                <w:rFonts w:hint="eastAsia" w:ascii="宋体" w:hAnsi="宋体"/>
                <w:b/>
                <w:bCs/>
                <w:color w:val="000000"/>
                <w:kern w:val="0"/>
                <w:sz w:val="36"/>
                <w:szCs w:val="36"/>
              </w:rPr>
              <w:t>争取产业项目前期费用项目绩效目标表</w:t>
            </w:r>
          </w:p>
        </w:tc>
      </w:tr>
      <w:tr>
        <w:tblPrEx>
          <w:tblCellMar>
            <w:top w:w="0" w:type="dxa"/>
            <w:left w:w="0" w:type="dxa"/>
            <w:bottom w:w="0" w:type="dxa"/>
            <w:right w:w="0" w:type="dxa"/>
          </w:tblCellMar>
        </w:tblPrEx>
        <w:trPr>
          <w:trHeight w:val="461" w:hRule="atLeast"/>
        </w:trPr>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项目编码</w:t>
            </w:r>
          </w:p>
        </w:tc>
        <w:tc>
          <w:tcPr>
            <w:tcW w:w="3040"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130225212ZIPHMMPG0AIE</w:t>
            </w:r>
          </w:p>
        </w:tc>
        <w:tc>
          <w:tcPr>
            <w:tcW w:w="13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项目名称</w:t>
            </w:r>
          </w:p>
        </w:tc>
        <w:tc>
          <w:tcPr>
            <w:tcW w:w="7180"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争取产业项目前期费用</w:t>
            </w:r>
          </w:p>
        </w:tc>
      </w:tr>
      <w:tr>
        <w:tblPrEx>
          <w:tblCellMar>
            <w:top w:w="0" w:type="dxa"/>
            <w:left w:w="0" w:type="dxa"/>
            <w:bottom w:w="0" w:type="dxa"/>
            <w:right w:w="0" w:type="dxa"/>
          </w:tblCellMar>
        </w:tblPrEx>
        <w:trPr>
          <w:trHeight w:val="423" w:hRule="atLeast"/>
        </w:trPr>
        <w:tc>
          <w:tcPr>
            <w:tcW w:w="1599" w:type="dxa"/>
            <w:vMerge w:val="restart"/>
            <w:tcBorders>
              <w:top w:val="nil"/>
              <w:left w:val="single" w:color="000000" w:sz="4" w:space="0"/>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预算规模及资金用途</w:t>
            </w:r>
          </w:p>
        </w:tc>
        <w:tc>
          <w:tcPr>
            <w:tcW w:w="1389" w:type="dxa"/>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预算数</w:t>
            </w:r>
            <w:r>
              <w:rPr>
                <w:rFonts w:hint="eastAsia"/>
                <w:color w:val="000000"/>
                <w:kern w:val="0"/>
                <w:sz w:val="20"/>
                <w:szCs w:val="20"/>
              </w:rPr>
              <w:t xml:space="preserve"> </w:t>
            </w:r>
          </w:p>
        </w:tc>
        <w:tc>
          <w:tcPr>
            <w:tcW w:w="165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200</w:t>
            </w:r>
            <w:r>
              <w:rPr>
                <w:rFonts w:hint="eastAsia" w:ascii="宋体" w:hAnsi="宋体"/>
                <w:color w:val="000000"/>
                <w:kern w:val="0"/>
                <w:sz w:val="20"/>
                <w:szCs w:val="20"/>
              </w:rPr>
              <w:t>万元</w:t>
            </w:r>
          </w:p>
        </w:tc>
        <w:tc>
          <w:tcPr>
            <w:tcW w:w="13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其中：财政资金</w:t>
            </w:r>
          </w:p>
        </w:tc>
        <w:tc>
          <w:tcPr>
            <w:tcW w:w="298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200</w:t>
            </w:r>
            <w:r>
              <w:rPr>
                <w:rFonts w:hint="eastAsia" w:ascii="宋体" w:hAnsi="宋体"/>
                <w:color w:val="000000"/>
                <w:kern w:val="0"/>
                <w:sz w:val="20"/>
                <w:szCs w:val="20"/>
              </w:rPr>
              <w:t>万元</w:t>
            </w:r>
          </w:p>
        </w:tc>
        <w:tc>
          <w:tcPr>
            <w:tcW w:w="1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其他资金</w:t>
            </w:r>
          </w:p>
        </w:tc>
        <w:tc>
          <w:tcPr>
            <w:tcW w:w="226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02" w:hRule="atLeast"/>
        </w:trPr>
        <w:tc>
          <w:tcPr>
            <w:tcW w:w="300" w:type="dxa"/>
            <w:vMerge w:val="continue"/>
            <w:tcBorders>
              <w:top w:val="nil"/>
              <w:left w:val="single" w:color="000000" w:sz="4" w:space="0"/>
              <w:bottom w:val="nil"/>
              <w:right w:val="single" w:color="000000" w:sz="4" w:space="0"/>
            </w:tcBorders>
            <w:vAlign w:val="center"/>
          </w:tcPr>
          <w:p>
            <w:pPr>
              <w:widowControl/>
              <w:jc w:val="left"/>
              <w:rPr>
                <w:rFonts w:ascii="宋体" w:hAnsi="宋体" w:cs="宋体"/>
                <w:b/>
                <w:bCs/>
                <w:color w:val="000000"/>
                <w:sz w:val="20"/>
                <w:szCs w:val="20"/>
              </w:rPr>
            </w:pPr>
          </w:p>
        </w:tc>
        <w:tc>
          <w:tcPr>
            <w:tcW w:w="11555"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主要用于争取国家建设资金费用，争取产业项目发生费用，根据中央关于京津冀协同发展的要求，承接产业项目发生费用</w:t>
            </w:r>
          </w:p>
        </w:tc>
      </w:tr>
      <w:tr>
        <w:tblPrEx>
          <w:tblCellMar>
            <w:top w:w="0" w:type="dxa"/>
            <w:left w:w="0" w:type="dxa"/>
            <w:bottom w:w="0" w:type="dxa"/>
            <w:right w:w="0" w:type="dxa"/>
          </w:tblCellMar>
        </w:tblPrEx>
        <w:trPr>
          <w:trHeight w:val="285" w:hRule="atLeast"/>
        </w:trPr>
        <w:tc>
          <w:tcPr>
            <w:tcW w:w="1599" w:type="dxa"/>
            <w:vMerge w:val="restart"/>
            <w:tcBorders>
              <w:top w:val="nil"/>
              <w:left w:val="single" w:color="000000" w:sz="4" w:space="0"/>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资金支出计划</w:t>
            </w:r>
            <w:r>
              <w:rPr>
                <w:rFonts w:hint="eastAsia" w:ascii="宋体" w:hAnsi="宋体"/>
                <w:b/>
                <w:bCs/>
                <w:color w:val="000000"/>
                <w:kern w:val="0"/>
                <w:sz w:val="20"/>
                <w:szCs w:val="20"/>
                <w:u w:val="single"/>
              </w:rPr>
              <w:t>（累计进度</w:t>
            </w:r>
            <w:r>
              <w:rPr>
                <w:rFonts w:hint="eastAsia"/>
                <w:b/>
                <w:bCs/>
                <w:color w:val="000000"/>
                <w:kern w:val="0"/>
                <w:sz w:val="20"/>
                <w:szCs w:val="20"/>
                <w:u w:val="single"/>
              </w:rPr>
              <w:t>%</w:t>
            </w:r>
            <w:r>
              <w:rPr>
                <w:rFonts w:hint="eastAsia" w:ascii="宋体" w:hAnsi="宋体"/>
                <w:b/>
                <w:bCs/>
                <w:color w:val="000000"/>
                <w:kern w:val="0"/>
                <w:sz w:val="20"/>
                <w:szCs w:val="20"/>
                <w:u w:val="single"/>
              </w:rPr>
              <w:t>）</w:t>
            </w:r>
          </w:p>
        </w:tc>
        <w:tc>
          <w:tcPr>
            <w:tcW w:w="4375" w:type="dxa"/>
            <w:gridSpan w:val="3"/>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第一季度</w:t>
            </w:r>
          </w:p>
        </w:tc>
        <w:tc>
          <w:tcPr>
            <w:tcW w:w="2980"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第二季度</w:t>
            </w:r>
          </w:p>
        </w:tc>
        <w:tc>
          <w:tcPr>
            <w:tcW w:w="1932"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第三季度</w:t>
            </w:r>
          </w:p>
        </w:tc>
        <w:tc>
          <w:tcPr>
            <w:tcW w:w="2268"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第四季度</w:t>
            </w:r>
          </w:p>
        </w:tc>
      </w:tr>
      <w:tr>
        <w:tblPrEx>
          <w:tblCellMar>
            <w:top w:w="0" w:type="dxa"/>
            <w:left w:w="0" w:type="dxa"/>
            <w:bottom w:w="0" w:type="dxa"/>
            <w:right w:w="0" w:type="dxa"/>
          </w:tblCellMar>
        </w:tblPrEx>
        <w:trPr>
          <w:trHeight w:val="359" w:hRule="atLeast"/>
        </w:trPr>
        <w:tc>
          <w:tcPr>
            <w:tcW w:w="300" w:type="dxa"/>
            <w:vMerge w:val="continue"/>
            <w:tcBorders>
              <w:top w:val="nil"/>
              <w:left w:val="single" w:color="000000" w:sz="4" w:space="0"/>
              <w:bottom w:val="nil"/>
              <w:right w:val="single" w:color="000000" w:sz="4" w:space="0"/>
            </w:tcBorders>
            <w:vAlign w:val="center"/>
          </w:tcPr>
          <w:p>
            <w:pPr>
              <w:widowControl/>
              <w:jc w:val="left"/>
              <w:rPr>
                <w:rFonts w:ascii="宋体" w:hAnsi="宋体" w:cs="宋体"/>
                <w:b/>
                <w:bCs/>
                <w:color w:val="000000"/>
                <w:sz w:val="20"/>
                <w:szCs w:val="20"/>
              </w:rPr>
            </w:pPr>
          </w:p>
        </w:tc>
        <w:tc>
          <w:tcPr>
            <w:tcW w:w="4375" w:type="dxa"/>
            <w:gridSpan w:val="3"/>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25%</w:t>
            </w:r>
          </w:p>
        </w:tc>
        <w:tc>
          <w:tcPr>
            <w:tcW w:w="2980"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50%</w:t>
            </w:r>
          </w:p>
        </w:tc>
        <w:tc>
          <w:tcPr>
            <w:tcW w:w="1932"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75%</w:t>
            </w:r>
          </w:p>
        </w:tc>
        <w:tc>
          <w:tcPr>
            <w:tcW w:w="2268"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100%</w:t>
            </w:r>
          </w:p>
        </w:tc>
      </w:tr>
      <w:tr>
        <w:tblPrEx>
          <w:tblCellMar>
            <w:top w:w="0" w:type="dxa"/>
            <w:left w:w="0" w:type="dxa"/>
            <w:bottom w:w="0" w:type="dxa"/>
            <w:right w:w="0" w:type="dxa"/>
          </w:tblCellMar>
        </w:tblPrEx>
        <w:trPr>
          <w:trHeight w:val="270" w:hRule="atLeast"/>
        </w:trPr>
        <w:tc>
          <w:tcPr>
            <w:tcW w:w="1599" w:type="dxa"/>
            <w:vMerge w:val="restart"/>
            <w:tcBorders>
              <w:top w:val="nil"/>
              <w:left w:val="single" w:color="000000" w:sz="4" w:space="0"/>
              <w:bottom w:val="nil"/>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绩效目标</w:t>
            </w:r>
          </w:p>
        </w:tc>
        <w:tc>
          <w:tcPr>
            <w:tcW w:w="11555" w:type="dxa"/>
            <w:gridSpan w:val="6"/>
            <w:tcBorders>
              <w:top w:val="single" w:color="auto" w:sz="4" w:space="0"/>
              <w:left w:val="nil"/>
              <w:bottom w:val="nil"/>
              <w:right w:val="single" w:color="auto"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目标</w:t>
            </w:r>
            <w:r>
              <w:rPr>
                <w:rFonts w:hint="eastAsia"/>
                <w:color w:val="000000"/>
                <w:kern w:val="0"/>
                <w:sz w:val="20"/>
                <w:szCs w:val="20"/>
              </w:rPr>
              <w:t>1</w:t>
            </w:r>
            <w:r>
              <w:rPr>
                <w:rFonts w:hint="eastAsia" w:ascii="宋体" w:hAnsi="宋体"/>
                <w:color w:val="000000"/>
                <w:kern w:val="0"/>
                <w:sz w:val="20"/>
                <w:szCs w:val="20"/>
              </w:rPr>
              <w:t xml:space="preserve">：多措并举，助推产业项目建设新突破。 </w:t>
            </w:r>
            <w:r>
              <w:rPr>
                <w:color w:val="000000"/>
                <w:kern w:val="0"/>
                <w:sz w:val="20"/>
                <w:szCs w:val="20"/>
              </w:rPr>
              <w:t xml:space="preserve">                      </w:t>
            </w:r>
          </w:p>
        </w:tc>
      </w:tr>
      <w:tr>
        <w:tblPrEx>
          <w:tblCellMar>
            <w:top w:w="0" w:type="dxa"/>
            <w:left w:w="0" w:type="dxa"/>
            <w:bottom w:w="0" w:type="dxa"/>
            <w:right w:w="0" w:type="dxa"/>
          </w:tblCellMar>
        </w:tblPrEx>
        <w:trPr>
          <w:trHeight w:val="270" w:hRule="atLeast"/>
        </w:trPr>
        <w:tc>
          <w:tcPr>
            <w:tcW w:w="300" w:type="dxa"/>
            <w:vMerge w:val="continue"/>
            <w:tcBorders>
              <w:top w:val="nil"/>
              <w:left w:val="single" w:color="000000" w:sz="4" w:space="0"/>
              <w:bottom w:val="nil"/>
              <w:right w:val="single" w:color="auto" w:sz="4" w:space="0"/>
            </w:tcBorders>
            <w:vAlign w:val="center"/>
          </w:tcPr>
          <w:p>
            <w:pPr>
              <w:widowControl/>
              <w:jc w:val="left"/>
              <w:rPr>
                <w:rFonts w:ascii="宋体" w:hAnsi="宋体" w:cs="宋体"/>
                <w:b/>
                <w:bCs/>
                <w:color w:val="000000"/>
                <w:sz w:val="20"/>
                <w:szCs w:val="20"/>
              </w:rPr>
            </w:pPr>
          </w:p>
        </w:tc>
        <w:tc>
          <w:tcPr>
            <w:tcW w:w="11555"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 w:val="20"/>
                <w:szCs w:val="20"/>
              </w:rPr>
            </w:pPr>
            <w:r>
              <w:rPr>
                <w:rFonts w:hint="eastAsia" w:ascii="宋体" w:hAnsi="宋体"/>
                <w:color w:val="000000"/>
                <w:kern w:val="0"/>
                <w:sz w:val="20"/>
                <w:szCs w:val="20"/>
              </w:rPr>
              <w:t>目标</w:t>
            </w:r>
            <w:r>
              <w:rPr>
                <w:rFonts w:hint="eastAsia"/>
                <w:color w:val="000000"/>
                <w:kern w:val="0"/>
                <w:sz w:val="20"/>
                <w:szCs w:val="20"/>
              </w:rPr>
              <w:t>2</w:t>
            </w:r>
            <w:r>
              <w:rPr>
                <w:rFonts w:hint="eastAsia" w:ascii="宋体" w:hAnsi="宋体"/>
                <w:color w:val="000000"/>
                <w:kern w:val="0"/>
                <w:sz w:val="20"/>
                <w:szCs w:val="20"/>
              </w:rPr>
              <w:t>：加强重点项目谋划协调，推动重点项目顺利实施</w:t>
            </w:r>
          </w:p>
        </w:tc>
      </w:tr>
      <w:tr>
        <w:tblPrEx>
          <w:tblCellMar>
            <w:top w:w="0" w:type="dxa"/>
            <w:left w:w="0" w:type="dxa"/>
            <w:bottom w:w="0" w:type="dxa"/>
            <w:right w:w="0" w:type="dxa"/>
          </w:tblCellMar>
        </w:tblPrEx>
        <w:trPr>
          <w:trHeight w:val="402" w:hRule="atLeast"/>
        </w:trPr>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一级指标</w:t>
            </w:r>
          </w:p>
        </w:tc>
        <w:tc>
          <w:tcPr>
            <w:tcW w:w="1389" w:type="dxa"/>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二级指标</w:t>
            </w:r>
          </w:p>
        </w:tc>
        <w:tc>
          <w:tcPr>
            <w:tcW w:w="2986" w:type="dxa"/>
            <w:gridSpan w:val="2"/>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三级指标</w:t>
            </w:r>
          </w:p>
        </w:tc>
        <w:tc>
          <w:tcPr>
            <w:tcW w:w="2980" w:type="dxa"/>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绩效指标描述</w:t>
            </w:r>
          </w:p>
        </w:tc>
        <w:tc>
          <w:tcPr>
            <w:tcW w:w="1932" w:type="dxa"/>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指标值</w:t>
            </w:r>
          </w:p>
        </w:tc>
        <w:tc>
          <w:tcPr>
            <w:tcW w:w="2268" w:type="dxa"/>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指标值确定依据</w:t>
            </w:r>
          </w:p>
        </w:tc>
      </w:tr>
      <w:tr>
        <w:tblPrEx>
          <w:tblCellMar>
            <w:top w:w="0" w:type="dxa"/>
            <w:left w:w="0" w:type="dxa"/>
            <w:bottom w:w="0" w:type="dxa"/>
            <w:right w:w="0" w:type="dxa"/>
          </w:tblCellMar>
        </w:tblPrEx>
        <w:trPr>
          <w:trHeight w:val="433" w:hRule="atLeast"/>
        </w:trPr>
        <w:tc>
          <w:tcPr>
            <w:tcW w:w="1599" w:type="dxa"/>
            <w:vMerge w:val="restart"/>
            <w:tcBorders>
              <w:top w:val="nil"/>
              <w:left w:val="single" w:color="000000" w:sz="4" w:space="0"/>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产出指标</w:t>
            </w:r>
          </w:p>
        </w:tc>
        <w:tc>
          <w:tcPr>
            <w:tcW w:w="13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数量指标</w:t>
            </w:r>
          </w:p>
        </w:tc>
        <w:tc>
          <w:tcPr>
            <w:tcW w:w="29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新开工重点项目</w:t>
            </w:r>
          </w:p>
        </w:tc>
        <w:tc>
          <w:tcPr>
            <w:tcW w:w="2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新开工重点项目</w:t>
            </w:r>
          </w:p>
        </w:tc>
        <w:tc>
          <w:tcPr>
            <w:tcW w:w="1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70</w:t>
            </w:r>
            <w:r>
              <w:rPr>
                <w:rFonts w:hint="eastAsia" w:ascii="宋体" w:hAnsi="宋体"/>
                <w:color w:val="000000"/>
                <w:kern w:val="0"/>
                <w:sz w:val="20"/>
                <w:szCs w:val="20"/>
              </w:rPr>
              <w:t>个</w:t>
            </w:r>
          </w:p>
        </w:tc>
        <w:tc>
          <w:tcPr>
            <w:tcW w:w="22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417" w:hRule="atLeast"/>
        </w:trPr>
        <w:tc>
          <w:tcPr>
            <w:tcW w:w="300" w:type="dxa"/>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13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质量指标</w:t>
            </w:r>
          </w:p>
        </w:tc>
        <w:tc>
          <w:tcPr>
            <w:tcW w:w="29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有效投资完成率</w:t>
            </w:r>
          </w:p>
        </w:tc>
        <w:tc>
          <w:tcPr>
            <w:tcW w:w="29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有效投资完成率</w:t>
            </w:r>
          </w:p>
        </w:tc>
        <w:tc>
          <w:tcPr>
            <w:tcW w:w="1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100%</w:t>
            </w:r>
          </w:p>
        </w:tc>
        <w:tc>
          <w:tcPr>
            <w:tcW w:w="22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有效投资完成率</w:t>
            </w:r>
          </w:p>
        </w:tc>
      </w:tr>
      <w:tr>
        <w:tblPrEx>
          <w:tblCellMar>
            <w:top w:w="0" w:type="dxa"/>
            <w:left w:w="0" w:type="dxa"/>
            <w:bottom w:w="0" w:type="dxa"/>
            <w:right w:w="0" w:type="dxa"/>
          </w:tblCellMar>
        </w:tblPrEx>
        <w:trPr>
          <w:trHeight w:val="374" w:hRule="atLeast"/>
        </w:trPr>
        <w:tc>
          <w:tcPr>
            <w:tcW w:w="300" w:type="dxa"/>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13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时效指标</w:t>
            </w:r>
          </w:p>
        </w:tc>
        <w:tc>
          <w:tcPr>
            <w:tcW w:w="29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29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1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2021</w:t>
            </w:r>
            <w:r>
              <w:rPr>
                <w:rFonts w:hint="eastAsia" w:ascii="宋体" w:hAnsi="宋体"/>
                <w:color w:val="000000"/>
                <w:kern w:val="0"/>
                <w:sz w:val="20"/>
                <w:szCs w:val="20"/>
              </w:rPr>
              <w:t>年</w:t>
            </w:r>
            <w:r>
              <w:rPr>
                <w:rFonts w:hint="eastAsia"/>
                <w:color w:val="000000"/>
                <w:kern w:val="0"/>
                <w:sz w:val="20"/>
                <w:szCs w:val="20"/>
              </w:rPr>
              <w:t>12</w:t>
            </w:r>
            <w:r>
              <w:rPr>
                <w:rFonts w:hint="eastAsia" w:ascii="宋体" w:hAnsi="宋体"/>
                <w:color w:val="000000"/>
                <w:kern w:val="0"/>
                <w:sz w:val="20"/>
                <w:szCs w:val="20"/>
              </w:rPr>
              <w:t>月底前</w:t>
            </w:r>
          </w:p>
        </w:tc>
        <w:tc>
          <w:tcPr>
            <w:tcW w:w="22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49" w:hRule="atLeast"/>
        </w:trPr>
        <w:tc>
          <w:tcPr>
            <w:tcW w:w="300" w:type="dxa"/>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13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成本指标</w:t>
            </w:r>
          </w:p>
        </w:tc>
        <w:tc>
          <w:tcPr>
            <w:tcW w:w="29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29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1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80%</w:t>
            </w:r>
            <w:r>
              <w:rPr>
                <w:rFonts w:hint="eastAsia" w:ascii="宋体" w:hAnsi="宋体"/>
                <w:color w:val="000000"/>
                <w:kern w:val="0"/>
                <w:sz w:val="20"/>
                <w:szCs w:val="20"/>
              </w:rPr>
              <w:t>以上</w:t>
            </w:r>
          </w:p>
        </w:tc>
        <w:tc>
          <w:tcPr>
            <w:tcW w:w="22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586" w:hRule="atLeast"/>
        </w:trPr>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效果指标</w:t>
            </w:r>
          </w:p>
        </w:tc>
        <w:tc>
          <w:tcPr>
            <w:tcW w:w="1389"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经济效益指标</w:t>
            </w:r>
          </w:p>
        </w:tc>
        <w:tc>
          <w:tcPr>
            <w:tcW w:w="29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促进县域经济发展</w:t>
            </w:r>
          </w:p>
        </w:tc>
        <w:tc>
          <w:tcPr>
            <w:tcW w:w="29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促进县域经济发展</w:t>
            </w:r>
          </w:p>
        </w:tc>
        <w:tc>
          <w:tcPr>
            <w:tcW w:w="1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效果明显</w:t>
            </w:r>
          </w:p>
        </w:tc>
        <w:tc>
          <w:tcPr>
            <w:tcW w:w="22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691" w:hRule="atLeast"/>
        </w:trPr>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满意度指标</w:t>
            </w:r>
          </w:p>
        </w:tc>
        <w:tc>
          <w:tcPr>
            <w:tcW w:w="13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服务对象满意度指标</w:t>
            </w:r>
          </w:p>
        </w:tc>
        <w:tc>
          <w:tcPr>
            <w:tcW w:w="29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29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1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90%</w:t>
            </w:r>
            <w:r>
              <w:rPr>
                <w:rFonts w:hint="eastAsia" w:ascii="宋体" w:hAnsi="宋体"/>
                <w:color w:val="000000"/>
                <w:kern w:val="0"/>
                <w:sz w:val="20"/>
                <w:szCs w:val="20"/>
              </w:rPr>
              <w:t>以上</w:t>
            </w:r>
          </w:p>
        </w:tc>
        <w:tc>
          <w:tcPr>
            <w:tcW w:w="22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r>
    </w:tbl>
    <w:p>
      <w:pPr>
        <w:rPr>
          <w:rFonts w:hint="eastAsia" w:ascii="Calibri" w:hAnsi="Calibri"/>
        </w:rPr>
      </w:pPr>
      <w:r>
        <w:rPr>
          <w:rFonts w:hint="eastAsia"/>
        </w:rPr>
        <w:t xml:space="preserve"> </w:t>
      </w:r>
    </w:p>
    <w:p>
      <w:pPr>
        <w:rPr>
          <w:rFonts w:hint="eastAsia"/>
        </w:rPr>
      </w:pPr>
      <w:r>
        <w:rPr>
          <w:rFonts w:hint="eastAsia"/>
        </w:rPr>
        <w:t xml:space="preserve"> </w:t>
      </w:r>
    </w:p>
    <w:tbl>
      <w:tblPr>
        <w:tblStyle w:val="9"/>
        <w:tblW w:w="4674" w:type="pct"/>
        <w:tblInd w:w="135" w:type="dxa"/>
        <w:tblLayout w:type="autofit"/>
        <w:tblCellMar>
          <w:top w:w="0" w:type="dxa"/>
          <w:left w:w="0" w:type="dxa"/>
          <w:bottom w:w="0" w:type="dxa"/>
          <w:right w:w="0" w:type="dxa"/>
        </w:tblCellMar>
      </w:tblPr>
      <w:tblGrid>
        <w:gridCol w:w="1900"/>
        <w:gridCol w:w="1373"/>
        <w:gridCol w:w="1585"/>
        <w:gridCol w:w="1538"/>
        <w:gridCol w:w="2210"/>
        <w:gridCol w:w="1865"/>
        <w:gridCol w:w="2605"/>
      </w:tblGrid>
      <w:tr>
        <w:tblPrEx>
          <w:tblCellMar>
            <w:top w:w="0" w:type="dxa"/>
            <w:left w:w="0" w:type="dxa"/>
            <w:bottom w:w="0" w:type="dxa"/>
            <w:right w:w="0" w:type="dxa"/>
          </w:tblCellMar>
        </w:tblPrEx>
        <w:trPr>
          <w:trHeight w:val="870" w:hRule="atLeast"/>
        </w:trPr>
        <w:tc>
          <w:tcPr>
            <w:tcW w:w="5000" w:type="pct"/>
            <w:gridSpan w:val="7"/>
            <w:tcBorders>
              <w:top w:val="nil"/>
              <w:left w:val="nil"/>
              <w:bottom w:val="single" w:color="000000" w:sz="4" w:space="0"/>
              <w:right w:val="nil"/>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b/>
                <w:color w:val="000000"/>
                <w:kern w:val="0"/>
                <w:sz w:val="36"/>
                <w:szCs w:val="36"/>
              </w:rPr>
              <w:t>县级储备粮食补贴项目绩效目标表</w:t>
            </w:r>
          </w:p>
        </w:tc>
      </w:tr>
      <w:tr>
        <w:tblPrEx>
          <w:tblCellMar>
            <w:top w:w="0" w:type="dxa"/>
            <w:left w:w="0" w:type="dxa"/>
            <w:bottom w:w="0" w:type="dxa"/>
            <w:right w:w="0" w:type="dxa"/>
          </w:tblCellMar>
        </w:tblPrEx>
        <w:trPr>
          <w:trHeight w:val="400" w:hRule="atLeast"/>
        </w:trPr>
        <w:tc>
          <w:tcPr>
            <w:tcW w:w="72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项目编码</w:t>
            </w:r>
          </w:p>
        </w:tc>
        <w:tc>
          <w:tcPr>
            <w:tcW w:w="1131"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13022521ZRBDV5CV601SE</w:t>
            </w:r>
          </w:p>
        </w:tc>
        <w:tc>
          <w:tcPr>
            <w:tcW w:w="58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项目名称</w:t>
            </w:r>
          </w:p>
        </w:tc>
        <w:tc>
          <w:tcPr>
            <w:tcW w:w="2552" w:type="pct"/>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县级储备粮补贴</w:t>
            </w:r>
          </w:p>
        </w:tc>
      </w:tr>
      <w:tr>
        <w:tblPrEx>
          <w:tblCellMar>
            <w:top w:w="0" w:type="dxa"/>
            <w:left w:w="0" w:type="dxa"/>
            <w:bottom w:w="0" w:type="dxa"/>
            <w:right w:w="0" w:type="dxa"/>
          </w:tblCellMar>
        </w:tblPrEx>
        <w:trPr>
          <w:trHeight w:val="337" w:hRule="atLeast"/>
        </w:trPr>
        <w:tc>
          <w:tcPr>
            <w:tcW w:w="727"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预算规模及资金用途</w:t>
            </w:r>
          </w:p>
        </w:tc>
        <w:tc>
          <w:tcPr>
            <w:tcW w:w="525" w:type="pct"/>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预算数　</w:t>
            </w:r>
          </w:p>
        </w:tc>
        <w:tc>
          <w:tcPr>
            <w:tcW w:w="60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100万元</w:t>
            </w:r>
          </w:p>
        </w:tc>
        <w:tc>
          <w:tcPr>
            <w:tcW w:w="58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其中：财政资金</w:t>
            </w:r>
          </w:p>
        </w:tc>
        <w:tc>
          <w:tcPr>
            <w:tcW w:w="845"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100万元</w:t>
            </w:r>
          </w:p>
        </w:tc>
        <w:tc>
          <w:tcPr>
            <w:tcW w:w="684"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其他资金</w:t>
            </w:r>
          </w:p>
        </w:tc>
        <w:tc>
          <w:tcPr>
            <w:tcW w:w="102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25"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4272" w:type="pct"/>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主要用于落实粮食购销政策，确保粮食流通规范有序,确保县级储备粮安全，有效发挥县级储备粮在宏观调控中的作用。</w:t>
            </w:r>
          </w:p>
        </w:tc>
      </w:tr>
      <w:tr>
        <w:tblPrEx>
          <w:tblCellMar>
            <w:top w:w="0" w:type="dxa"/>
            <w:left w:w="0" w:type="dxa"/>
            <w:bottom w:w="0" w:type="dxa"/>
            <w:right w:w="0" w:type="dxa"/>
          </w:tblCellMar>
        </w:tblPrEx>
        <w:trPr>
          <w:trHeight w:val="287" w:hRule="atLeast"/>
        </w:trPr>
        <w:tc>
          <w:tcPr>
            <w:tcW w:w="727"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资金支出计划</w:t>
            </w:r>
            <w:r>
              <w:rPr>
                <w:rFonts w:hint="eastAsia" w:ascii="宋体" w:hAnsi="宋体"/>
                <w:b/>
                <w:color w:val="000000"/>
                <w:kern w:val="0"/>
                <w:sz w:val="20"/>
                <w:szCs w:val="20"/>
                <w:u w:val="single"/>
              </w:rPr>
              <w:t>（累计进度%）</w:t>
            </w:r>
          </w:p>
        </w:tc>
        <w:tc>
          <w:tcPr>
            <w:tcW w:w="1719" w:type="pct"/>
            <w:gridSpan w:val="3"/>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第一季度</w:t>
            </w:r>
          </w:p>
        </w:tc>
        <w:tc>
          <w:tcPr>
            <w:tcW w:w="845" w:type="pct"/>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第二季度</w:t>
            </w:r>
          </w:p>
        </w:tc>
        <w:tc>
          <w:tcPr>
            <w:tcW w:w="684" w:type="pct"/>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第三季度</w:t>
            </w:r>
          </w:p>
        </w:tc>
        <w:tc>
          <w:tcPr>
            <w:tcW w:w="1023" w:type="pct"/>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第四季度</w:t>
            </w:r>
          </w:p>
        </w:tc>
      </w:tr>
      <w:tr>
        <w:tblPrEx>
          <w:tblCellMar>
            <w:top w:w="0" w:type="dxa"/>
            <w:left w:w="0" w:type="dxa"/>
            <w:bottom w:w="0" w:type="dxa"/>
            <w:right w:w="0" w:type="dxa"/>
          </w:tblCellMar>
        </w:tblPrEx>
        <w:trPr>
          <w:trHeight w:val="294"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719" w:type="pct"/>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25%</w:t>
            </w:r>
          </w:p>
        </w:tc>
        <w:tc>
          <w:tcPr>
            <w:tcW w:w="845"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50%</w:t>
            </w:r>
          </w:p>
        </w:tc>
        <w:tc>
          <w:tcPr>
            <w:tcW w:w="684"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75%</w:t>
            </w:r>
          </w:p>
        </w:tc>
        <w:tc>
          <w:tcPr>
            <w:tcW w:w="102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r>
      <w:tr>
        <w:tblPrEx>
          <w:tblCellMar>
            <w:top w:w="0" w:type="dxa"/>
            <w:left w:w="0" w:type="dxa"/>
            <w:bottom w:w="0" w:type="dxa"/>
            <w:right w:w="0" w:type="dxa"/>
          </w:tblCellMar>
        </w:tblPrEx>
        <w:trPr>
          <w:trHeight w:val="312" w:hRule="atLeast"/>
        </w:trPr>
        <w:tc>
          <w:tcPr>
            <w:tcW w:w="727"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绩效目标</w:t>
            </w:r>
          </w:p>
        </w:tc>
        <w:tc>
          <w:tcPr>
            <w:tcW w:w="4272" w:type="pct"/>
            <w:gridSpan w:val="6"/>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olor w:val="000000"/>
                <w:kern w:val="0"/>
                <w:sz w:val="20"/>
                <w:szCs w:val="20"/>
              </w:rPr>
              <w:t>目标1：确保粮食收的进、储的好、用的上。　　　　　　　　　　　　　　　　　　　　　　　　　　　　</w:t>
            </w:r>
          </w:p>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目标2：确保县级储备粮安全.</w:t>
            </w:r>
          </w:p>
        </w:tc>
      </w:tr>
      <w:tr>
        <w:tblPrEx>
          <w:tblCellMar>
            <w:top w:w="0" w:type="dxa"/>
            <w:left w:w="0" w:type="dxa"/>
            <w:bottom w:w="0" w:type="dxa"/>
            <w:right w:w="0"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0" w:type="auto"/>
            <w:gridSpan w:val="6"/>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0" w:type="auto"/>
            <w:gridSpan w:val="6"/>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32" w:hRule="atLeast"/>
        </w:trPr>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一级指标</w:t>
            </w:r>
          </w:p>
        </w:tc>
        <w:tc>
          <w:tcPr>
            <w:tcW w:w="525"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二级指标</w:t>
            </w:r>
          </w:p>
        </w:tc>
        <w:tc>
          <w:tcPr>
            <w:tcW w:w="1194"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三级指标</w:t>
            </w:r>
          </w:p>
        </w:tc>
        <w:tc>
          <w:tcPr>
            <w:tcW w:w="845"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绩效指标描述</w:t>
            </w:r>
          </w:p>
        </w:tc>
        <w:tc>
          <w:tcPr>
            <w:tcW w:w="7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指标值</w:t>
            </w:r>
          </w:p>
        </w:tc>
        <w:tc>
          <w:tcPr>
            <w:tcW w:w="994"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指标值确定依据</w:t>
            </w:r>
          </w:p>
        </w:tc>
      </w:tr>
      <w:tr>
        <w:tblPrEx>
          <w:tblCellMar>
            <w:top w:w="0" w:type="dxa"/>
            <w:left w:w="0" w:type="dxa"/>
            <w:bottom w:w="0" w:type="dxa"/>
            <w:right w:w="0" w:type="dxa"/>
          </w:tblCellMar>
        </w:tblPrEx>
        <w:trPr>
          <w:trHeight w:val="333" w:hRule="atLeast"/>
        </w:trPr>
        <w:tc>
          <w:tcPr>
            <w:tcW w:w="727"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产出指标</w:t>
            </w:r>
          </w:p>
        </w:tc>
        <w:tc>
          <w:tcPr>
            <w:tcW w:w="525" w:type="pct"/>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数量指标</w:t>
            </w:r>
          </w:p>
        </w:tc>
        <w:tc>
          <w:tcPr>
            <w:tcW w:w="1194"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玉米储备数量</w:t>
            </w:r>
          </w:p>
        </w:tc>
        <w:tc>
          <w:tcPr>
            <w:tcW w:w="845" w:type="pct"/>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玉米储备数量</w:t>
            </w:r>
          </w:p>
        </w:tc>
        <w:tc>
          <w:tcPr>
            <w:tcW w:w="7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8000吨</w:t>
            </w:r>
          </w:p>
        </w:tc>
        <w:tc>
          <w:tcPr>
            <w:tcW w:w="99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87"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194"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小麦储备数量</w:t>
            </w:r>
          </w:p>
        </w:tc>
        <w:tc>
          <w:tcPr>
            <w:tcW w:w="845" w:type="pct"/>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小麦储备数量</w:t>
            </w:r>
          </w:p>
        </w:tc>
        <w:tc>
          <w:tcPr>
            <w:tcW w:w="7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4527吨</w:t>
            </w:r>
          </w:p>
        </w:tc>
        <w:tc>
          <w:tcPr>
            <w:tcW w:w="99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8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52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质量指标</w:t>
            </w:r>
          </w:p>
        </w:tc>
        <w:tc>
          <w:tcPr>
            <w:tcW w:w="1194"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储备粮质量</w:t>
            </w:r>
          </w:p>
        </w:tc>
        <w:tc>
          <w:tcPr>
            <w:tcW w:w="8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储备粮质量</w:t>
            </w:r>
          </w:p>
        </w:tc>
        <w:tc>
          <w:tcPr>
            <w:tcW w:w="7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符合国家标准</w:t>
            </w:r>
          </w:p>
        </w:tc>
        <w:tc>
          <w:tcPr>
            <w:tcW w:w="99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75"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525" w:type="pct"/>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时效指标</w:t>
            </w:r>
          </w:p>
        </w:tc>
        <w:tc>
          <w:tcPr>
            <w:tcW w:w="1194"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8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7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2021年12月底前</w:t>
            </w:r>
          </w:p>
        </w:tc>
        <w:tc>
          <w:tcPr>
            <w:tcW w:w="99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1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525" w:type="pct"/>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成本指标</w:t>
            </w:r>
          </w:p>
        </w:tc>
        <w:tc>
          <w:tcPr>
            <w:tcW w:w="1194"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每吨轮换费用</w:t>
            </w:r>
          </w:p>
        </w:tc>
        <w:tc>
          <w:tcPr>
            <w:tcW w:w="8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每吨轮换费用</w:t>
            </w:r>
          </w:p>
        </w:tc>
        <w:tc>
          <w:tcPr>
            <w:tcW w:w="7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120元</w:t>
            </w:r>
          </w:p>
        </w:tc>
        <w:tc>
          <w:tcPr>
            <w:tcW w:w="99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每吨轮换费用</w:t>
            </w:r>
          </w:p>
        </w:tc>
      </w:tr>
      <w:tr>
        <w:tblPrEx>
          <w:tblCellMar>
            <w:top w:w="0" w:type="dxa"/>
            <w:left w:w="0" w:type="dxa"/>
            <w:bottom w:w="0" w:type="dxa"/>
            <w:right w:w="0" w:type="dxa"/>
          </w:tblCellMar>
        </w:tblPrEx>
        <w:trPr>
          <w:trHeight w:val="337"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194"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每吨储存费用</w:t>
            </w:r>
          </w:p>
        </w:tc>
        <w:tc>
          <w:tcPr>
            <w:tcW w:w="8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每吨储存费用</w:t>
            </w:r>
          </w:p>
        </w:tc>
        <w:tc>
          <w:tcPr>
            <w:tcW w:w="7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86元</w:t>
            </w:r>
          </w:p>
        </w:tc>
        <w:tc>
          <w:tcPr>
            <w:tcW w:w="99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每吨储存费用</w:t>
            </w:r>
          </w:p>
        </w:tc>
      </w:tr>
      <w:tr>
        <w:tblPrEx>
          <w:tblCellMar>
            <w:top w:w="0" w:type="dxa"/>
            <w:left w:w="0" w:type="dxa"/>
            <w:bottom w:w="0" w:type="dxa"/>
            <w:right w:w="0" w:type="dxa"/>
          </w:tblCellMar>
        </w:tblPrEx>
        <w:trPr>
          <w:trHeight w:val="293"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194"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贷款利息费用</w:t>
            </w:r>
          </w:p>
        </w:tc>
        <w:tc>
          <w:tcPr>
            <w:tcW w:w="845"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贷款利息费用</w:t>
            </w:r>
          </w:p>
        </w:tc>
        <w:tc>
          <w:tcPr>
            <w:tcW w:w="7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150万元</w:t>
            </w:r>
          </w:p>
        </w:tc>
        <w:tc>
          <w:tcPr>
            <w:tcW w:w="994"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贷款利息费用</w:t>
            </w:r>
          </w:p>
        </w:tc>
      </w:tr>
      <w:tr>
        <w:tblPrEx>
          <w:tblCellMar>
            <w:top w:w="0" w:type="dxa"/>
            <w:left w:w="0" w:type="dxa"/>
            <w:bottom w:w="0" w:type="dxa"/>
            <w:right w:w="0" w:type="dxa"/>
          </w:tblCellMar>
        </w:tblPrEx>
        <w:trPr>
          <w:trHeight w:val="413"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52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社会效益指标</w:t>
            </w:r>
          </w:p>
        </w:tc>
        <w:tc>
          <w:tcPr>
            <w:tcW w:w="1194"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保障储备粮安全及供应</w:t>
            </w:r>
          </w:p>
        </w:tc>
        <w:tc>
          <w:tcPr>
            <w:tcW w:w="8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保障储备粮安全及供应</w:t>
            </w:r>
          </w:p>
        </w:tc>
        <w:tc>
          <w:tcPr>
            <w:tcW w:w="7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c>
          <w:tcPr>
            <w:tcW w:w="99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564" w:hRule="atLeast"/>
        </w:trPr>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满意度指标</w:t>
            </w:r>
          </w:p>
        </w:tc>
        <w:tc>
          <w:tcPr>
            <w:tcW w:w="52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服务对象满意度指标</w:t>
            </w:r>
          </w:p>
        </w:tc>
        <w:tc>
          <w:tcPr>
            <w:tcW w:w="1194"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8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7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99%以上</w:t>
            </w:r>
          </w:p>
        </w:tc>
        <w:tc>
          <w:tcPr>
            <w:tcW w:w="99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r>
    </w:tbl>
    <w:p>
      <w:pPr>
        <w:widowControl/>
        <w:jc w:val="left"/>
        <w:rPr>
          <w:rFonts w:ascii="宋体" w:hAnsi="宋体"/>
          <w:vanish/>
          <w:kern w:val="0"/>
          <w:sz w:val="24"/>
          <w:szCs w:val="24"/>
        </w:rPr>
      </w:pPr>
    </w:p>
    <w:tbl>
      <w:tblPr>
        <w:tblStyle w:val="9"/>
        <w:tblW w:w="4688" w:type="pct"/>
        <w:tblInd w:w="135" w:type="dxa"/>
        <w:tblLayout w:type="fixed"/>
        <w:tblCellMar>
          <w:top w:w="0" w:type="dxa"/>
          <w:left w:w="0" w:type="dxa"/>
          <w:bottom w:w="0" w:type="dxa"/>
          <w:right w:w="0" w:type="dxa"/>
        </w:tblCellMar>
      </w:tblPr>
      <w:tblGrid>
        <w:gridCol w:w="1644"/>
        <w:gridCol w:w="114"/>
        <w:gridCol w:w="252"/>
        <w:gridCol w:w="1022"/>
        <w:gridCol w:w="240"/>
        <w:gridCol w:w="154"/>
        <w:gridCol w:w="1874"/>
        <w:gridCol w:w="138"/>
        <w:gridCol w:w="1082"/>
        <w:gridCol w:w="297"/>
        <w:gridCol w:w="114"/>
        <w:gridCol w:w="2302"/>
        <w:gridCol w:w="109"/>
        <w:gridCol w:w="1656"/>
        <w:gridCol w:w="27"/>
        <w:gridCol w:w="27"/>
        <w:gridCol w:w="507"/>
        <w:gridCol w:w="1563"/>
      </w:tblGrid>
      <w:tr>
        <w:tblPrEx>
          <w:tblCellMar>
            <w:top w:w="0" w:type="dxa"/>
            <w:left w:w="0" w:type="dxa"/>
            <w:bottom w:w="0" w:type="dxa"/>
            <w:right w:w="0" w:type="dxa"/>
          </w:tblCellMar>
        </w:tblPrEx>
        <w:trPr>
          <w:trHeight w:val="870" w:hRule="atLeast"/>
        </w:trPr>
        <w:tc>
          <w:tcPr>
            <w:tcW w:w="13116" w:type="dxa"/>
            <w:gridSpan w:val="18"/>
            <w:tcBorders>
              <w:top w:val="nil"/>
              <w:left w:val="nil"/>
              <w:bottom w:val="single" w:color="000000" w:sz="4" w:space="0"/>
              <w:right w:val="nil"/>
            </w:tcBorders>
            <w:noWrap/>
            <w:tcMar>
              <w:top w:w="15" w:type="dxa"/>
              <w:left w:w="15" w:type="dxa"/>
              <w:bottom w:w="0" w:type="dxa"/>
              <w:right w:w="15" w:type="dxa"/>
            </w:tcMar>
            <w:vAlign w:val="center"/>
          </w:tcPr>
          <w:p>
            <w:pPr>
              <w:tabs>
                <w:tab w:val="center" w:pos="6543"/>
              </w:tabs>
              <w:spacing w:line="580" w:lineRule="exact"/>
              <w:jc w:val="left"/>
              <w:rPr>
                <w:rFonts w:hint="eastAsia" w:ascii="方正小标宋_GBK" w:hAnsi="Calibri" w:eastAsia="宋体" w:cs="宋体"/>
                <w:sz w:val="44"/>
                <w:szCs w:val="44"/>
                <w:lang w:eastAsia="zh-CN"/>
              </w:rPr>
            </w:pPr>
            <w:r>
              <w:rPr>
                <w:rFonts w:ascii="方正小标宋_GBK"/>
                <w:sz w:val="44"/>
                <w:szCs w:val="44"/>
              </w:rPr>
              <w:tab/>
            </w:r>
            <w:r>
              <w:rPr>
                <w:rFonts w:hint="eastAsia" w:ascii="方正小标宋_GBK"/>
                <w:sz w:val="44"/>
                <w:szCs w:val="44"/>
                <w:lang w:eastAsia="zh-CN"/>
              </w:rPr>
              <w:tab/>
            </w:r>
          </w:p>
          <w:p>
            <w:pPr>
              <w:spacing w:line="580" w:lineRule="exact"/>
              <w:jc w:val="center"/>
              <w:rPr>
                <w:rFonts w:ascii="宋体" w:hAnsi="宋体" w:cs="宋体"/>
                <w:b/>
                <w:color w:val="000000"/>
                <w:sz w:val="36"/>
                <w:szCs w:val="36"/>
              </w:rPr>
            </w:pPr>
            <w:r>
              <w:rPr>
                <w:rFonts w:hint="eastAsia" w:ascii="宋体" w:hAnsi="宋体"/>
                <w:b/>
                <w:color w:val="000000"/>
                <w:kern w:val="0"/>
                <w:sz w:val="36"/>
                <w:szCs w:val="36"/>
              </w:rPr>
              <w:t>政策性挂账利息项目绩效目标表</w:t>
            </w:r>
          </w:p>
        </w:tc>
      </w:tr>
      <w:tr>
        <w:tblPrEx>
          <w:tblCellMar>
            <w:top w:w="0" w:type="dxa"/>
            <w:left w:w="0" w:type="dxa"/>
            <w:bottom w:w="0" w:type="dxa"/>
            <w:right w:w="0" w:type="dxa"/>
          </w:tblCellMar>
        </w:tblPrEx>
        <w:trPr>
          <w:trHeight w:val="370" w:hRule="atLeast"/>
        </w:trPr>
        <w:tc>
          <w:tcPr>
            <w:tcW w:w="1755"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项目编码</w:t>
            </w:r>
          </w:p>
        </w:tc>
        <w:tc>
          <w:tcPr>
            <w:tcW w:w="3673" w:type="dxa"/>
            <w:gridSpan w:val="6"/>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13022521TW2F1VQUWGFQ8</w:t>
            </w:r>
          </w:p>
        </w:tc>
        <w:tc>
          <w:tcPr>
            <w:tcW w:w="1484"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项目名称</w:t>
            </w:r>
          </w:p>
        </w:tc>
        <w:tc>
          <w:tcPr>
            <w:tcW w:w="6204" w:type="dxa"/>
            <w:gridSpan w:val="7"/>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政策性挂账利息</w:t>
            </w:r>
          </w:p>
        </w:tc>
      </w:tr>
      <w:tr>
        <w:tblPrEx>
          <w:tblCellMar>
            <w:top w:w="0" w:type="dxa"/>
            <w:left w:w="0" w:type="dxa"/>
            <w:bottom w:w="0" w:type="dxa"/>
            <w:right w:w="0" w:type="dxa"/>
          </w:tblCellMar>
        </w:tblPrEx>
        <w:trPr>
          <w:trHeight w:val="370" w:hRule="atLeast"/>
        </w:trPr>
        <w:tc>
          <w:tcPr>
            <w:tcW w:w="1755" w:type="dxa"/>
            <w:gridSpan w:val="2"/>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预算规模及资金用途</w:t>
            </w:r>
          </w:p>
        </w:tc>
        <w:tc>
          <w:tcPr>
            <w:tcW w:w="1505" w:type="dxa"/>
            <w:gridSpan w:val="3"/>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预算数　</w:t>
            </w:r>
          </w:p>
        </w:tc>
        <w:tc>
          <w:tcPr>
            <w:tcW w:w="216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65万元</w:t>
            </w:r>
          </w:p>
        </w:tc>
        <w:tc>
          <w:tcPr>
            <w:tcW w:w="1484"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其中：财政资金</w:t>
            </w:r>
          </w:p>
        </w:tc>
        <w:tc>
          <w:tcPr>
            <w:tcW w:w="231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65万元</w:t>
            </w:r>
          </w:p>
        </w:tc>
        <w:tc>
          <w:tcPr>
            <w:tcW w:w="1812"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其他资金</w:t>
            </w:r>
          </w:p>
        </w:tc>
        <w:tc>
          <w:tcPr>
            <w:tcW w:w="2076"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10" w:hRule="atLeast"/>
        </w:trPr>
        <w:tc>
          <w:tcPr>
            <w:tcW w:w="60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1361" w:type="dxa"/>
            <w:gridSpan w:val="1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主要用于负责落实政策性挂账贷款利息消化工作</w:t>
            </w:r>
          </w:p>
        </w:tc>
      </w:tr>
      <w:tr>
        <w:tblPrEx>
          <w:tblCellMar>
            <w:top w:w="0" w:type="dxa"/>
            <w:left w:w="0" w:type="dxa"/>
            <w:bottom w:w="0" w:type="dxa"/>
            <w:right w:w="0" w:type="dxa"/>
          </w:tblCellMar>
        </w:tblPrEx>
        <w:trPr>
          <w:trHeight w:val="402" w:hRule="atLeast"/>
        </w:trPr>
        <w:tc>
          <w:tcPr>
            <w:tcW w:w="1755" w:type="dxa"/>
            <w:gridSpan w:val="2"/>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资金支出计划</w:t>
            </w:r>
            <w:r>
              <w:rPr>
                <w:rFonts w:hint="eastAsia" w:ascii="宋体" w:hAnsi="宋体"/>
                <w:b/>
                <w:color w:val="000000"/>
                <w:kern w:val="0"/>
                <w:sz w:val="20"/>
                <w:szCs w:val="20"/>
                <w:u w:val="single"/>
              </w:rPr>
              <w:t>（累计进度%）</w:t>
            </w:r>
          </w:p>
        </w:tc>
        <w:tc>
          <w:tcPr>
            <w:tcW w:w="5157" w:type="dxa"/>
            <w:gridSpan w:val="9"/>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第一季度</w:t>
            </w:r>
          </w:p>
        </w:tc>
        <w:tc>
          <w:tcPr>
            <w:tcW w:w="2316"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第二季度</w:t>
            </w:r>
          </w:p>
        </w:tc>
        <w:tc>
          <w:tcPr>
            <w:tcW w:w="1812" w:type="dxa"/>
            <w:gridSpan w:val="4"/>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第三季度</w:t>
            </w:r>
          </w:p>
        </w:tc>
        <w:tc>
          <w:tcPr>
            <w:tcW w:w="2076"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第四季度</w:t>
            </w:r>
          </w:p>
        </w:tc>
      </w:tr>
      <w:tr>
        <w:tblPrEx>
          <w:tblCellMar>
            <w:top w:w="0" w:type="dxa"/>
            <w:left w:w="0" w:type="dxa"/>
            <w:bottom w:w="0" w:type="dxa"/>
            <w:right w:w="0" w:type="dxa"/>
          </w:tblCellMar>
        </w:tblPrEx>
        <w:trPr>
          <w:trHeight w:val="283" w:hRule="atLeast"/>
        </w:trPr>
        <w:tc>
          <w:tcPr>
            <w:tcW w:w="60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5157" w:type="dxa"/>
            <w:gridSpan w:val="9"/>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25%</w:t>
            </w:r>
          </w:p>
        </w:tc>
        <w:tc>
          <w:tcPr>
            <w:tcW w:w="231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50%</w:t>
            </w:r>
          </w:p>
        </w:tc>
        <w:tc>
          <w:tcPr>
            <w:tcW w:w="1812"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75%</w:t>
            </w:r>
          </w:p>
        </w:tc>
        <w:tc>
          <w:tcPr>
            <w:tcW w:w="2076"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r>
      <w:tr>
        <w:tblPrEx>
          <w:tblCellMar>
            <w:top w:w="0" w:type="dxa"/>
            <w:left w:w="0" w:type="dxa"/>
            <w:bottom w:w="0" w:type="dxa"/>
            <w:right w:w="0" w:type="dxa"/>
          </w:tblCellMar>
        </w:tblPrEx>
        <w:trPr>
          <w:trHeight w:val="312" w:hRule="atLeast"/>
        </w:trPr>
        <w:tc>
          <w:tcPr>
            <w:tcW w:w="1755" w:type="dxa"/>
            <w:gridSpan w:val="2"/>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绩效目标</w:t>
            </w:r>
          </w:p>
        </w:tc>
        <w:tc>
          <w:tcPr>
            <w:tcW w:w="11361" w:type="dxa"/>
            <w:gridSpan w:val="16"/>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olor w:val="000000"/>
                <w:kern w:val="0"/>
                <w:sz w:val="20"/>
                <w:szCs w:val="20"/>
              </w:rPr>
              <w:t>目标1：及时申请拨付政策性贷款利息消化工作　　　</w:t>
            </w:r>
          </w:p>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目标2：及时归还贷款利息。</w:t>
            </w:r>
          </w:p>
        </w:tc>
      </w:tr>
      <w:tr>
        <w:tblPrEx>
          <w:tblCellMar>
            <w:top w:w="0" w:type="dxa"/>
            <w:left w:w="0" w:type="dxa"/>
            <w:bottom w:w="0" w:type="dxa"/>
            <w:right w:w="0" w:type="dxa"/>
          </w:tblCellMar>
        </w:tblPrEx>
        <w:trPr>
          <w:trHeight w:val="312" w:hRule="atLeast"/>
        </w:trPr>
        <w:tc>
          <w:tcPr>
            <w:tcW w:w="60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1761" w:type="dxa"/>
            <w:gridSpan w:val="16"/>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60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1761" w:type="dxa"/>
            <w:gridSpan w:val="16"/>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17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一级指标</w:t>
            </w:r>
          </w:p>
        </w:tc>
        <w:tc>
          <w:tcPr>
            <w:tcW w:w="1505"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二级指标</w:t>
            </w:r>
          </w:p>
        </w:tc>
        <w:tc>
          <w:tcPr>
            <w:tcW w:w="3652" w:type="dxa"/>
            <w:gridSpan w:val="6"/>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三级指标</w:t>
            </w:r>
          </w:p>
        </w:tc>
        <w:tc>
          <w:tcPr>
            <w:tcW w:w="231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绩效指标描述</w:t>
            </w:r>
          </w:p>
        </w:tc>
        <w:tc>
          <w:tcPr>
            <w:tcW w:w="1812"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指标值</w:t>
            </w:r>
          </w:p>
        </w:tc>
        <w:tc>
          <w:tcPr>
            <w:tcW w:w="2076"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指标值确定依据</w:t>
            </w:r>
          </w:p>
        </w:tc>
      </w:tr>
      <w:tr>
        <w:tblPrEx>
          <w:tblCellMar>
            <w:top w:w="0" w:type="dxa"/>
            <w:left w:w="0" w:type="dxa"/>
            <w:bottom w:w="0" w:type="dxa"/>
            <w:right w:w="0" w:type="dxa"/>
          </w:tblCellMar>
        </w:tblPrEx>
        <w:trPr>
          <w:trHeight w:val="492" w:hRule="atLeast"/>
        </w:trPr>
        <w:tc>
          <w:tcPr>
            <w:tcW w:w="1755" w:type="dxa"/>
            <w:gridSpan w:val="2"/>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产出指标</w:t>
            </w:r>
          </w:p>
        </w:tc>
        <w:tc>
          <w:tcPr>
            <w:tcW w:w="150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数量指标</w:t>
            </w:r>
          </w:p>
        </w:tc>
        <w:tc>
          <w:tcPr>
            <w:tcW w:w="3652"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粮食企业挂账贷款金额</w:t>
            </w:r>
          </w:p>
        </w:tc>
        <w:tc>
          <w:tcPr>
            <w:tcW w:w="2316"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粮食企业挂账贷款金额</w:t>
            </w:r>
          </w:p>
        </w:tc>
        <w:tc>
          <w:tcPr>
            <w:tcW w:w="181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8784.47万元</w:t>
            </w:r>
          </w:p>
        </w:tc>
        <w:tc>
          <w:tcPr>
            <w:tcW w:w="20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29" w:hRule="atLeast"/>
        </w:trPr>
        <w:tc>
          <w:tcPr>
            <w:tcW w:w="60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0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质量指标</w:t>
            </w:r>
          </w:p>
        </w:tc>
        <w:tc>
          <w:tcPr>
            <w:tcW w:w="3652"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还款及时率</w:t>
            </w:r>
          </w:p>
        </w:tc>
        <w:tc>
          <w:tcPr>
            <w:tcW w:w="23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还款及时率</w:t>
            </w:r>
          </w:p>
        </w:tc>
        <w:tc>
          <w:tcPr>
            <w:tcW w:w="181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c>
          <w:tcPr>
            <w:tcW w:w="20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96" w:hRule="atLeast"/>
        </w:trPr>
        <w:tc>
          <w:tcPr>
            <w:tcW w:w="60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0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时效指标</w:t>
            </w:r>
          </w:p>
        </w:tc>
        <w:tc>
          <w:tcPr>
            <w:tcW w:w="3652"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23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181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2021年12月底前</w:t>
            </w:r>
          </w:p>
        </w:tc>
        <w:tc>
          <w:tcPr>
            <w:tcW w:w="20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456" w:hRule="atLeast"/>
        </w:trPr>
        <w:tc>
          <w:tcPr>
            <w:tcW w:w="60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0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成本指标</w:t>
            </w:r>
          </w:p>
        </w:tc>
        <w:tc>
          <w:tcPr>
            <w:tcW w:w="3652"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23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181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90%以上</w:t>
            </w:r>
          </w:p>
        </w:tc>
        <w:tc>
          <w:tcPr>
            <w:tcW w:w="20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528" w:hRule="atLeast"/>
        </w:trPr>
        <w:tc>
          <w:tcPr>
            <w:tcW w:w="60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0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可持续影响指标</w:t>
            </w:r>
          </w:p>
        </w:tc>
        <w:tc>
          <w:tcPr>
            <w:tcW w:w="3652"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依政策归还贷款时限</w:t>
            </w:r>
          </w:p>
        </w:tc>
        <w:tc>
          <w:tcPr>
            <w:tcW w:w="23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依政策归还贷款时限</w:t>
            </w:r>
          </w:p>
        </w:tc>
        <w:tc>
          <w:tcPr>
            <w:tcW w:w="181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长期</w:t>
            </w:r>
          </w:p>
        </w:tc>
        <w:tc>
          <w:tcPr>
            <w:tcW w:w="20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依政策归还贷款时限</w:t>
            </w:r>
          </w:p>
        </w:tc>
      </w:tr>
      <w:tr>
        <w:tblPrEx>
          <w:tblCellMar>
            <w:top w:w="0" w:type="dxa"/>
            <w:left w:w="0" w:type="dxa"/>
            <w:bottom w:w="0" w:type="dxa"/>
            <w:right w:w="0" w:type="dxa"/>
          </w:tblCellMar>
        </w:tblPrEx>
        <w:trPr>
          <w:trHeight w:val="609" w:hRule="atLeast"/>
        </w:trPr>
        <w:tc>
          <w:tcPr>
            <w:tcW w:w="17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满意度指标</w:t>
            </w:r>
          </w:p>
        </w:tc>
        <w:tc>
          <w:tcPr>
            <w:tcW w:w="150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服务对象满意度指标</w:t>
            </w:r>
          </w:p>
        </w:tc>
        <w:tc>
          <w:tcPr>
            <w:tcW w:w="3652"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23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181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95%以上</w:t>
            </w:r>
          </w:p>
        </w:tc>
        <w:tc>
          <w:tcPr>
            <w:tcW w:w="20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r>
      <w:tr>
        <w:tblPrEx>
          <w:tblCellMar>
            <w:top w:w="0" w:type="dxa"/>
            <w:left w:w="0" w:type="dxa"/>
            <w:bottom w:w="0" w:type="dxa"/>
            <w:right w:w="0" w:type="dxa"/>
          </w:tblCellMar>
        </w:tblPrEx>
        <w:trPr>
          <w:trHeight w:val="1239" w:hRule="atLeast"/>
        </w:trPr>
        <w:tc>
          <w:tcPr>
            <w:tcW w:w="13116" w:type="dxa"/>
            <w:gridSpan w:val="18"/>
            <w:tcBorders>
              <w:top w:val="nil"/>
              <w:left w:val="nil"/>
              <w:bottom w:val="single" w:color="000000" w:sz="4" w:space="0"/>
              <w:right w:val="nil"/>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b/>
                <w:color w:val="000000"/>
                <w:kern w:val="0"/>
                <w:sz w:val="36"/>
                <w:szCs w:val="36"/>
              </w:rPr>
              <w:t>企业改制费项目绩效目标表</w:t>
            </w:r>
          </w:p>
        </w:tc>
      </w:tr>
      <w:tr>
        <w:tblPrEx>
          <w:tblCellMar>
            <w:top w:w="0" w:type="dxa"/>
            <w:left w:w="0" w:type="dxa"/>
            <w:bottom w:w="0" w:type="dxa"/>
            <w:right w:w="0" w:type="dxa"/>
          </w:tblCellMar>
        </w:tblPrEx>
        <w:trPr>
          <w:trHeight w:val="365" w:hRule="atLeast"/>
        </w:trPr>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项目编码</w:t>
            </w:r>
          </w:p>
        </w:tc>
        <w:tc>
          <w:tcPr>
            <w:tcW w:w="3649" w:type="dxa"/>
            <w:gridSpan w:val="6"/>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13022521TV2BYYNI5WLB2</w:t>
            </w:r>
          </w:p>
        </w:tc>
        <w:tc>
          <w:tcPr>
            <w:tcW w:w="1212"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项目名称</w:t>
            </w:r>
          </w:p>
        </w:tc>
        <w:tc>
          <w:tcPr>
            <w:tcW w:w="6612" w:type="dxa"/>
            <w:gridSpan w:val="9"/>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企业改制费</w:t>
            </w:r>
          </w:p>
        </w:tc>
      </w:tr>
      <w:tr>
        <w:tblPrEx>
          <w:tblCellMar>
            <w:top w:w="0" w:type="dxa"/>
            <w:left w:w="0" w:type="dxa"/>
            <w:bottom w:w="0" w:type="dxa"/>
            <w:right w:w="0" w:type="dxa"/>
          </w:tblCellMar>
        </w:tblPrEx>
        <w:trPr>
          <w:trHeight w:val="341" w:hRule="atLeast"/>
        </w:trPr>
        <w:tc>
          <w:tcPr>
            <w:tcW w:w="164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预算规模及资金用途</w:t>
            </w:r>
          </w:p>
        </w:tc>
        <w:tc>
          <w:tcPr>
            <w:tcW w:w="1379" w:type="dxa"/>
            <w:gridSpan w:val="3"/>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预算数　</w:t>
            </w:r>
          </w:p>
        </w:tc>
        <w:tc>
          <w:tcPr>
            <w:tcW w:w="2270"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109.76万元</w:t>
            </w:r>
          </w:p>
        </w:tc>
        <w:tc>
          <w:tcPr>
            <w:tcW w:w="1212"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其中：财政资金</w:t>
            </w:r>
          </w:p>
        </w:tc>
        <w:tc>
          <w:tcPr>
            <w:tcW w:w="2832"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109.76万元</w:t>
            </w:r>
          </w:p>
        </w:tc>
        <w:tc>
          <w:tcPr>
            <w:tcW w:w="2219"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其他资金</w:t>
            </w:r>
          </w:p>
        </w:tc>
        <w:tc>
          <w:tcPr>
            <w:tcW w:w="156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90"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1473" w:type="dxa"/>
            <w:gridSpan w:val="17"/>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主要用于负责及时缴纳社会保险费，按时发放内退人员、离退休及遗属人员费用</w:t>
            </w:r>
          </w:p>
        </w:tc>
      </w:tr>
      <w:tr>
        <w:tblPrEx>
          <w:tblCellMar>
            <w:top w:w="0" w:type="dxa"/>
            <w:left w:w="0" w:type="dxa"/>
            <w:bottom w:w="0" w:type="dxa"/>
            <w:right w:w="0" w:type="dxa"/>
          </w:tblCellMar>
        </w:tblPrEx>
        <w:trPr>
          <w:trHeight w:val="263" w:hRule="atLeast"/>
        </w:trPr>
        <w:tc>
          <w:tcPr>
            <w:tcW w:w="164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资金支出计划</w:t>
            </w:r>
            <w:r>
              <w:rPr>
                <w:rFonts w:hint="eastAsia" w:ascii="宋体" w:hAnsi="宋体"/>
                <w:b/>
                <w:color w:val="000000"/>
                <w:kern w:val="0"/>
                <w:sz w:val="20"/>
                <w:szCs w:val="20"/>
                <w:u w:val="single"/>
              </w:rPr>
              <w:t>（累计进度%）</w:t>
            </w:r>
          </w:p>
        </w:tc>
        <w:tc>
          <w:tcPr>
            <w:tcW w:w="4861" w:type="dxa"/>
            <w:gridSpan w:val="8"/>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第一季度</w:t>
            </w:r>
          </w:p>
        </w:tc>
        <w:tc>
          <w:tcPr>
            <w:tcW w:w="2832" w:type="dxa"/>
            <w:gridSpan w:val="4"/>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第二季度</w:t>
            </w:r>
          </w:p>
        </w:tc>
        <w:tc>
          <w:tcPr>
            <w:tcW w:w="2219" w:type="dxa"/>
            <w:gridSpan w:val="4"/>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第三季度</w:t>
            </w:r>
          </w:p>
        </w:tc>
        <w:tc>
          <w:tcPr>
            <w:tcW w:w="1561"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第四季度</w:t>
            </w:r>
          </w:p>
        </w:tc>
      </w:tr>
      <w:tr>
        <w:tblPrEx>
          <w:tblCellMar>
            <w:top w:w="0" w:type="dxa"/>
            <w:left w:w="0" w:type="dxa"/>
            <w:bottom w:w="0" w:type="dxa"/>
            <w:right w:w="0" w:type="dxa"/>
          </w:tblCellMar>
        </w:tblPrEx>
        <w:trPr>
          <w:trHeight w:val="310"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4861" w:type="dxa"/>
            <w:gridSpan w:val="8"/>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25%</w:t>
            </w:r>
          </w:p>
        </w:tc>
        <w:tc>
          <w:tcPr>
            <w:tcW w:w="2832"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50%</w:t>
            </w:r>
          </w:p>
        </w:tc>
        <w:tc>
          <w:tcPr>
            <w:tcW w:w="2219"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75%</w:t>
            </w:r>
          </w:p>
        </w:tc>
        <w:tc>
          <w:tcPr>
            <w:tcW w:w="156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r>
      <w:tr>
        <w:tblPrEx>
          <w:tblCellMar>
            <w:top w:w="0" w:type="dxa"/>
            <w:left w:w="0" w:type="dxa"/>
            <w:bottom w:w="0" w:type="dxa"/>
            <w:right w:w="0" w:type="dxa"/>
          </w:tblCellMar>
        </w:tblPrEx>
        <w:trPr>
          <w:trHeight w:val="312" w:hRule="atLeast"/>
        </w:trPr>
        <w:tc>
          <w:tcPr>
            <w:tcW w:w="164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绩效目标</w:t>
            </w:r>
          </w:p>
        </w:tc>
        <w:tc>
          <w:tcPr>
            <w:tcW w:w="11473" w:type="dxa"/>
            <w:gridSpan w:val="17"/>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olor w:val="000000"/>
                <w:kern w:val="0"/>
                <w:sz w:val="20"/>
                <w:szCs w:val="20"/>
              </w:rPr>
              <w:t>目标1：按时发放内退人员、离退休及遗属人员工资及补助　　　　　　</w:t>
            </w:r>
          </w:p>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目标2：负责及时缴纳社会保险费</w:t>
            </w:r>
          </w:p>
        </w:tc>
      </w:tr>
      <w:tr>
        <w:tblPrEx>
          <w:tblCellMar>
            <w:top w:w="0" w:type="dxa"/>
            <w:left w:w="0" w:type="dxa"/>
            <w:bottom w:w="0" w:type="dxa"/>
            <w:right w:w="0" w:type="dxa"/>
          </w:tblCellMar>
        </w:tblPrEx>
        <w:trPr>
          <w:trHeight w:val="312"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2061" w:type="dxa"/>
            <w:gridSpan w:val="17"/>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2061" w:type="dxa"/>
            <w:gridSpan w:val="17"/>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一级指标</w:t>
            </w:r>
          </w:p>
        </w:tc>
        <w:tc>
          <w:tcPr>
            <w:tcW w:w="1379"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二级指标</w:t>
            </w:r>
          </w:p>
        </w:tc>
        <w:tc>
          <w:tcPr>
            <w:tcW w:w="3482" w:type="dxa"/>
            <w:gridSpan w:val="5"/>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三级指标</w:t>
            </w:r>
          </w:p>
        </w:tc>
        <w:tc>
          <w:tcPr>
            <w:tcW w:w="2832"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绩效指标描述</w:t>
            </w:r>
          </w:p>
        </w:tc>
        <w:tc>
          <w:tcPr>
            <w:tcW w:w="1680"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指标值</w:t>
            </w:r>
          </w:p>
        </w:tc>
        <w:tc>
          <w:tcPr>
            <w:tcW w:w="2100"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指标值确定依据</w:t>
            </w:r>
          </w:p>
        </w:tc>
      </w:tr>
      <w:tr>
        <w:tblPrEx>
          <w:tblCellMar>
            <w:top w:w="0" w:type="dxa"/>
            <w:left w:w="0" w:type="dxa"/>
            <w:bottom w:w="0" w:type="dxa"/>
            <w:right w:w="0" w:type="dxa"/>
          </w:tblCellMar>
        </w:tblPrEx>
        <w:trPr>
          <w:trHeight w:val="401" w:hRule="atLeast"/>
        </w:trPr>
        <w:tc>
          <w:tcPr>
            <w:tcW w:w="164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产出指标</w:t>
            </w:r>
          </w:p>
        </w:tc>
        <w:tc>
          <w:tcPr>
            <w:tcW w:w="1379"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数量指标</w:t>
            </w:r>
          </w:p>
        </w:tc>
        <w:tc>
          <w:tcPr>
            <w:tcW w:w="3482" w:type="dxa"/>
            <w:gridSpan w:val="5"/>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补贴人数</w:t>
            </w:r>
          </w:p>
        </w:tc>
        <w:tc>
          <w:tcPr>
            <w:tcW w:w="2832" w:type="dxa"/>
            <w:gridSpan w:val="4"/>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补贴人数</w:t>
            </w:r>
          </w:p>
        </w:tc>
        <w:tc>
          <w:tcPr>
            <w:tcW w:w="16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454人</w:t>
            </w:r>
          </w:p>
        </w:tc>
        <w:tc>
          <w:tcPr>
            <w:tcW w:w="210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420"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379"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质量指标</w:t>
            </w:r>
          </w:p>
        </w:tc>
        <w:tc>
          <w:tcPr>
            <w:tcW w:w="3482" w:type="dxa"/>
            <w:gridSpan w:val="5"/>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缴纳社会保险及补贴完成率</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缴纳社会保险及补贴完成率</w:t>
            </w:r>
          </w:p>
        </w:tc>
        <w:tc>
          <w:tcPr>
            <w:tcW w:w="16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c>
          <w:tcPr>
            <w:tcW w:w="210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50"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379"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时效指标</w:t>
            </w:r>
          </w:p>
        </w:tc>
        <w:tc>
          <w:tcPr>
            <w:tcW w:w="3482" w:type="dxa"/>
            <w:gridSpan w:val="5"/>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16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2021年12月底前</w:t>
            </w:r>
          </w:p>
        </w:tc>
        <w:tc>
          <w:tcPr>
            <w:tcW w:w="210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53"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379" w:type="dxa"/>
            <w:gridSpan w:val="3"/>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成本指标</w:t>
            </w:r>
          </w:p>
        </w:tc>
        <w:tc>
          <w:tcPr>
            <w:tcW w:w="3482" w:type="dxa"/>
            <w:gridSpan w:val="5"/>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16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95%以上</w:t>
            </w:r>
          </w:p>
        </w:tc>
        <w:tc>
          <w:tcPr>
            <w:tcW w:w="210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92" w:hRule="atLeast"/>
        </w:trPr>
        <w:tc>
          <w:tcPr>
            <w:tcW w:w="1643"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效果指标</w:t>
            </w:r>
          </w:p>
        </w:tc>
        <w:tc>
          <w:tcPr>
            <w:tcW w:w="137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经济效益指标</w:t>
            </w:r>
          </w:p>
        </w:tc>
        <w:tc>
          <w:tcPr>
            <w:tcW w:w="3482"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稳定改制职工生活</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稳定改制职工生活</w:t>
            </w:r>
          </w:p>
        </w:tc>
        <w:tc>
          <w:tcPr>
            <w:tcW w:w="16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效果明显</w:t>
            </w:r>
          </w:p>
        </w:tc>
        <w:tc>
          <w:tcPr>
            <w:tcW w:w="210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89"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z w:val="20"/>
                <w:szCs w:val="20"/>
              </w:rPr>
            </w:pPr>
          </w:p>
        </w:tc>
        <w:tc>
          <w:tcPr>
            <w:tcW w:w="1379" w:type="dxa"/>
            <w:gridSpan w:val="3"/>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社会效益指标</w:t>
            </w:r>
          </w:p>
        </w:tc>
        <w:tc>
          <w:tcPr>
            <w:tcW w:w="3482" w:type="dxa"/>
            <w:gridSpan w:val="5"/>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保障社会稳定</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保障社会稳定</w:t>
            </w:r>
          </w:p>
        </w:tc>
        <w:tc>
          <w:tcPr>
            <w:tcW w:w="16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逐年提升</w:t>
            </w:r>
          </w:p>
        </w:tc>
        <w:tc>
          <w:tcPr>
            <w:tcW w:w="210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621" w:hRule="atLeast"/>
        </w:trPr>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满意度指标</w:t>
            </w:r>
          </w:p>
        </w:tc>
        <w:tc>
          <w:tcPr>
            <w:tcW w:w="1379"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服务对象满意度指标</w:t>
            </w:r>
          </w:p>
        </w:tc>
        <w:tc>
          <w:tcPr>
            <w:tcW w:w="3482" w:type="dxa"/>
            <w:gridSpan w:val="5"/>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16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90%以上</w:t>
            </w:r>
          </w:p>
        </w:tc>
        <w:tc>
          <w:tcPr>
            <w:tcW w:w="210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r>
      <w:tr>
        <w:tblPrEx>
          <w:tblCellMar>
            <w:top w:w="0" w:type="dxa"/>
            <w:left w:w="0" w:type="dxa"/>
            <w:bottom w:w="0" w:type="dxa"/>
            <w:right w:w="0" w:type="dxa"/>
          </w:tblCellMar>
        </w:tblPrEx>
        <w:trPr>
          <w:trHeight w:val="870" w:hRule="atLeast"/>
        </w:trPr>
        <w:tc>
          <w:tcPr>
            <w:tcW w:w="13116" w:type="dxa"/>
            <w:gridSpan w:val="18"/>
            <w:tcBorders>
              <w:top w:val="nil"/>
              <w:left w:val="nil"/>
              <w:bottom w:val="single" w:color="000000" w:sz="4" w:space="0"/>
              <w:right w:val="nil"/>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b/>
                <w:color w:val="000000"/>
                <w:kern w:val="0"/>
                <w:sz w:val="32"/>
                <w:szCs w:val="32"/>
              </w:rPr>
              <w:t>化工建设项目质量监督管理专家咨询费项目绩效目标表</w:t>
            </w:r>
          </w:p>
        </w:tc>
      </w:tr>
      <w:tr>
        <w:tblPrEx>
          <w:tblCellMar>
            <w:top w:w="0" w:type="dxa"/>
            <w:left w:w="0" w:type="dxa"/>
            <w:bottom w:w="0" w:type="dxa"/>
            <w:right w:w="0" w:type="dxa"/>
          </w:tblCellMar>
        </w:tblPrEx>
        <w:trPr>
          <w:trHeight w:val="394" w:hRule="atLeast"/>
        </w:trPr>
        <w:tc>
          <w:tcPr>
            <w:tcW w:w="2003"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项目编码</w:t>
            </w:r>
          </w:p>
        </w:tc>
        <w:tc>
          <w:tcPr>
            <w:tcW w:w="3289"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13022521U3AQYN1QWK6I9</w:t>
            </w:r>
          </w:p>
        </w:tc>
        <w:tc>
          <w:tcPr>
            <w:tcW w:w="1509"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项目名称</w:t>
            </w:r>
          </w:p>
        </w:tc>
        <w:tc>
          <w:tcPr>
            <w:tcW w:w="6315" w:type="dxa"/>
            <w:gridSpan w:val="8"/>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化工建设项目质量监督管理专家咨询费</w:t>
            </w:r>
          </w:p>
        </w:tc>
      </w:tr>
      <w:tr>
        <w:tblPrEx>
          <w:tblCellMar>
            <w:top w:w="0" w:type="dxa"/>
            <w:left w:w="0" w:type="dxa"/>
            <w:bottom w:w="0" w:type="dxa"/>
            <w:right w:w="0" w:type="dxa"/>
          </w:tblCellMar>
        </w:tblPrEx>
        <w:trPr>
          <w:trHeight w:val="375" w:hRule="atLeast"/>
        </w:trPr>
        <w:tc>
          <w:tcPr>
            <w:tcW w:w="2003" w:type="dxa"/>
            <w:gridSpan w:val="3"/>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预算规模及资金用途</w:t>
            </w:r>
          </w:p>
        </w:tc>
        <w:tc>
          <w:tcPr>
            <w:tcW w:w="1411" w:type="dxa"/>
            <w:gridSpan w:val="3"/>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预算数　</w:t>
            </w:r>
          </w:p>
        </w:tc>
        <w:tc>
          <w:tcPr>
            <w:tcW w:w="18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20万元</w:t>
            </w:r>
          </w:p>
        </w:tc>
        <w:tc>
          <w:tcPr>
            <w:tcW w:w="1509"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其中：财政资金</w:t>
            </w:r>
          </w:p>
        </w:tc>
        <w:tc>
          <w:tcPr>
            <w:tcW w:w="2535"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20万元</w:t>
            </w:r>
          </w:p>
        </w:tc>
        <w:tc>
          <w:tcPr>
            <w:tcW w:w="165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其他资金</w:t>
            </w:r>
          </w:p>
        </w:tc>
        <w:tc>
          <w:tcPr>
            <w:tcW w:w="2124"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71" w:hRule="atLeast"/>
        </w:trPr>
        <w:tc>
          <w:tcPr>
            <w:tcW w:w="9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1113" w:type="dxa"/>
            <w:gridSpan w:val="15"/>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主要用于负责本县总投资2亿元以下化工建设项目的质量监督管理</w:t>
            </w:r>
          </w:p>
        </w:tc>
      </w:tr>
      <w:tr>
        <w:tblPrEx>
          <w:tblCellMar>
            <w:top w:w="0" w:type="dxa"/>
            <w:left w:w="0" w:type="dxa"/>
            <w:bottom w:w="0" w:type="dxa"/>
            <w:right w:w="0" w:type="dxa"/>
          </w:tblCellMar>
        </w:tblPrEx>
        <w:trPr>
          <w:trHeight w:val="299" w:hRule="atLeast"/>
        </w:trPr>
        <w:tc>
          <w:tcPr>
            <w:tcW w:w="2003" w:type="dxa"/>
            <w:gridSpan w:val="3"/>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资金支出计划</w:t>
            </w:r>
            <w:r>
              <w:rPr>
                <w:rFonts w:hint="eastAsia" w:ascii="宋体" w:hAnsi="宋体"/>
                <w:b/>
                <w:color w:val="000000"/>
                <w:kern w:val="0"/>
                <w:sz w:val="20"/>
                <w:szCs w:val="20"/>
                <w:u w:val="single"/>
              </w:rPr>
              <w:t>（累计进度%）</w:t>
            </w:r>
          </w:p>
        </w:tc>
        <w:tc>
          <w:tcPr>
            <w:tcW w:w="4798" w:type="dxa"/>
            <w:gridSpan w:val="7"/>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第一季度</w:t>
            </w:r>
          </w:p>
        </w:tc>
        <w:tc>
          <w:tcPr>
            <w:tcW w:w="2535" w:type="dxa"/>
            <w:gridSpan w:val="3"/>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第二季度</w:t>
            </w:r>
          </w:p>
        </w:tc>
        <w:tc>
          <w:tcPr>
            <w:tcW w:w="1656"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第三季度</w:t>
            </w:r>
          </w:p>
        </w:tc>
        <w:tc>
          <w:tcPr>
            <w:tcW w:w="2124" w:type="dxa"/>
            <w:gridSpan w:val="4"/>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第四季度</w:t>
            </w:r>
          </w:p>
        </w:tc>
      </w:tr>
      <w:tr>
        <w:tblPrEx>
          <w:tblCellMar>
            <w:top w:w="0" w:type="dxa"/>
            <w:left w:w="0" w:type="dxa"/>
            <w:bottom w:w="0" w:type="dxa"/>
            <w:right w:w="0" w:type="dxa"/>
          </w:tblCellMar>
        </w:tblPrEx>
        <w:trPr>
          <w:trHeight w:val="252" w:hRule="atLeast"/>
        </w:trPr>
        <w:tc>
          <w:tcPr>
            <w:tcW w:w="9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4798" w:type="dxa"/>
            <w:gridSpan w:val="7"/>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25%</w:t>
            </w:r>
          </w:p>
        </w:tc>
        <w:tc>
          <w:tcPr>
            <w:tcW w:w="2535"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50%</w:t>
            </w:r>
          </w:p>
        </w:tc>
        <w:tc>
          <w:tcPr>
            <w:tcW w:w="165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75%</w:t>
            </w:r>
          </w:p>
        </w:tc>
        <w:tc>
          <w:tcPr>
            <w:tcW w:w="2124"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r>
      <w:tr>
        <w:tblPrEx>
          <w:tblCellMar>
            <w:top w:w="0" w:type="dxa"/>
            <w:left w:w="0" w:type="dxa"/>
            <w:bottom w:w="0" w:type="dxa"/>
            <w:right w:w="0" w:type="dxa"/>
          </w:tblCellMar>
        </w:tblPrEx>
        <w:trPr>
          <w:trHeight w:val="312" w:hRule="atLeast"/>
        </w:trPr>
        <w:tc>
          <w:tcPr>
            <w:tcW w:w="2003" w:type="dxa"/>
            <w:gridSpan w:val="3"/>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绩效目标</w:t>
            </w:r>
          </w:p>
        </w:tc>
        <w:tc>
          <w:tcPr>
            <w:tcW w:w="11113" w:type="dxa"/>
            <w:gridSpan w:val="15"/>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目标1：负责本县的化工建设项目的质量监督管理，推进监督检查工作规范化、专业化　　　　　　　　　　　　　　　　　　　　　　　　　　　　　　　　　目标2：及时发现和查处参建单位违反国家有关工程质量监管工作，及时发现和查处违反国家有关工程管理的法律、法规的行为，削除质量隐患，保证工程质量</w:t>
            </w:r>
          </w:p>
        </w:tc>
      </w:tr>
      <w:tr>
        <w:tblPrEx>
          <w:tblCellMar>
            <w:top w:w="0" w:type="dxa"/>
            <w:left w:w="0" w:type="dxa"/>
            <w:bottom w:w="0" w:type="dxa"/>
            <w:right w:w="0" w:type="dxa"/>
          </w:tblCellMar>
        </w:tblPrEx>
        <w:trPr>
          <w:trHeight w:val="312" w:hRule="atLeast"/>
        </w:trPr>
        <w:tc>
          <w:tcPr>
            <w:tcW w:w="9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1461" w:type="dxa"/>
            <w:gridSpan w:val="15"/>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9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1461" w:type="dxa"/>
            <w:gridSpan w:val="15"/>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87" w:hRule="atLeast"/>
        </w:trPr>
        <w:tc>
          <w:tcPr>
            <w:tcW w:w="200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一级指标</w:t>
            </w:r>
          </w:p>
        </w:tc>
        <w:tc>
          <w:tcPr>
            <w:tcW w:w="1411"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二级指标</w:t>
            </w:r>
          </w:p>
        </w:tc>
        <w:tc>
          <w:tcPr>
            <w:tcW w:w="3090"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三级指标</w:t>
            </w:r>
          </w:p>
        </w:tc>
        <w:tc>
          <w:tcPr>
            <w:tcW w:w="2832"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绩效指标描述</w:t>
            </w:r>
          </w:p>
        </w:tc>
        <w:tc>
          <w:tcPr>
            <w:tcW w:w="165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指标值</w:t>
            </w:r>
          </w:p>
        </w:tc>
        <w:tc>
          <w:tcPr>
            <w:tcW w:w="2124"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指标值确定依据</w:t>
            </w:r>
          </w:p>
        </w:tc>
      </w:tr>
      <w:tr>
        <w:tblPrEx>
          <w:tblCellMar>
            <w:top w:w="0" w:type="dxa"/>
            <w:left w:w="0" w:type="dxa"/>
            <w:bottom w:w="0" w:type="dxa"/>
            <w:right w:w="0" w:type="dxa"/>
          </w:tblCellMar>
        </w:tblPrEx>
        <w:trPr>
          <w:trHeight w:val="456" w:hRule="atLeast"/>
        </w:trPr>
        <w:tc>
          <w:tcPr>
            <w:tcW w:w="2003" w:type="dxa"/>
            <w:gridSpan w:val="3"/>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产出指标</w:t>
            </w:r>
          </w:p>
        </w:tc>
        <w:tc>
          <w:tcPr>
            <w:tcW w:w="141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数量指标</w:t>
            </w:r>
          </w:p>
        </w:tc>
        <w:tc>
          <w:tcPr>
            <w:tcW w:w="309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化工项目安装工程质量检查次数</w:t>
            </w:r>
          </w:p>
        </w:tc>
        <w:tc>
          <w:tcPr>
            <w:tcW w:w="2832" w:type="dxa"/>
            <w:gridSpan w:val="4"/>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化工项目安装工程质量检查次数</w:t>
            </w:r>
          </w:p>
        </w:tc>
        <w:tc>
          <w:tcPr>
            <w:tcW w:w="16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大于2次</w:t>
            </w:r>
          </w:p>
        </w:tc>
        <w:tc>
          <w:tcPr>
            <w:tcW w:w="2124"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480" w:hRule="atLeast"/>
        </w:trPr>
        <w:tc>
          <w:tcPr>
            <w:tcW w:w="9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41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质量指标</w:t>
            </w:r>
          </w:p>
        </w:tc>
        <w:tc>
          <w:tcPr>
            <w:tcW w:w="309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化工项目安装工程质量合格率</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化工项目安装工程质量合格率</w:t>
            </w:r>
          </w:p>
        </w:tc>
        <w:tc>
          <w:tcPr>
            <w:tcW w:w="16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c>
          <w:tcPr>
            <w:tcW w:w="2124"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73" w:hRule="atLeast"/>
        </w:trPr>
        <w:tc>
          <w:tcPr>
            <w:tcW w:w="9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41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时效指标</w:t>
            </w:r>
          </w:p>
        </w:tc>
        <w:tc>
          <w:tcPr>
            <w:tcW w:w="309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16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2021年12月底前</w:t>
            </w:r>
          </w:p>
        </w:tc>
        <w:tc>
          <w:tcPr>
            <w:tcW w:w="2124"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50" w:hRule="atLeast"/>
        </w:trPr>
        <w:tc>
          <w:tcPr>
            <w:tcW w:w="9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41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成本指标</w:t>
            </w:r>
          </w:p>
        </w:tc>
        <w:tc>
          <w:tcPr>
            <w:tcW w:w="309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16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95%以上</w:t>
            </w:r>
          </w:p>
        </w:tc>
        <w:tc>
          <w:tcPr>
            <w:tcW w:w="2124"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699" w:hRule="atLeast"/>
        </w:trPr>
        <w:tc>
          <w:tcPr>
            <w:tcW w:w="9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41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社会效益指标</w:t>
            </w:r>
          </w:p>
        </w:tc>
        <w:tc>
          <w:tcPr>
            <w:tcW w:w="309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削除隐患，保证工程质量、公共安全和公民的生命、财产安全</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削除隐患，保证工程质量、公共安全和公民的生命、财产安全</w:t>
            </w:r>
          </w:p>
        </w:tc>
        <w:tc>
          <w:tcPr>
            <w:tcW w:w="16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逐年提升</w:t>
            </w:r>
          </w:p>
        </w:tc>
        <w:tc>
          <w:tcPr>
            <w:tcW w:w="2124"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648" w:hRule="atLeast"/>
        </w:trPr>
        <w:tc>
          <w:tcPr>
            <w:tcW w:w="200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满意度指标</w:t>
            </w:r>
          </w:p>
        </w:tc>
        <w:tc>
          <w:tcPr>
            <w:tcW w:w="141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服务对象满意度指标</w:t>
            </w:r>
          </w:p>
        </w:tc>
        <w:tc>
          <w:tcPr>
            <w:tcW w:w="309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16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90%以上</w:t>
            </w:r>
          </w:p>
        </w:tc>
        <w:tc>
          <w:tcPr>
            <w:tcW w:w="2124"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r>
    </w:tbl>
    <w:p>
      <w:pPr>
        <w:rPr>
          <w:rFonts w:hint="eastAsia" w:ascii="Calibri" w:hAnsi="Calibri"/>
        </w:rPr>
      </w:pPr>
      <w:r>
        <w:rPr>
          <w:rFonts w:hint="eastAsia"/>
        </w:rPr>
        <w:t xml:space="preserve"> </w:t>
      </w:r>
    </w:p>
    <w:p>
      <w:pPr>
        <w:rPr>
          <w:rFonts w:hint="eastAsia"/>
        </w:rPr>
      </w:pPr>
      <w:r>
        <w:rPr>
          <w:rFonts w:hint="eastAsia"/>
        </w:rPr>
        <w:t xml:space="preserve"> </w:t>
      </w:r>
    </w:p>
    <w:p>
      <w:pPr>
        <w:rPr>
          <w:rFonts w:ascii="宋体" w:hAnsi="宋体" w:cs="宋体"/>
          <w:b/>
          <w:color w:val="333333"/>
          <w:kern w:val="0"/>
          <w:sz w:val="32"/>
          <w:szCs w:val="32"/>
        </w:rPr>
      </w:pPr>
      <w:r>
        <w:rPr>
          <w:rFonts w:hint="eastAsia"/>
        </w:rPr>
        <w:t xml:space="preserve"> </w:t>
      </w:r>
      <w:r>
        <w:rPr>
          <w:rFonts w:ascii="方正楷体简体" w:hAnsi="方正楷体简体" w:cs="方正黑体简体"/>
          <w:b/>
          <w:color w:val="333333"/>
          <w:kern w:val="0"/>
          <w:sz w:val="32"/>
          <w:szCs w:val="32"/>
        </w:rPr>
        <w:t>六、</w:t>
      </w:r>
      <w:r>
        <w:rPr>
          <w:rFonts w:hint="eastAsia" w:ascii="宋体" w:hAnsi="宋体"/>
          <w:b/>
          <w:color w:val="333333"/>
          <w:kern w:val="0"/>
          <w:sz w:val="32"/>
          <w:szCs w:val="32"/>
        </w:rPr>
        <w:t>政府采购预算情况。</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2021年政府采购预算总金额68.86万元。具体为：项目宣传费用50万元；电脑20台，价值10.93万元；打印机、扫描仪、复印机等7.93万元。</w:t>
      </w:r>
    </w:p>
    <w:p>
      <w:pPr>
        <w:pStyle w:val="8"/>
        <w:rPr>
          <w:rFonts w:hint="eastAsia"/>
        </w:rPr>
      </w:pPr>
      <w:r>
        <w:rPr>
          <w:rFonts w:hint="eastAsia" w:ascii="宋体" w:hAnsi="宋体"/>
          <w:lang w:eastAsia="zh-CN"/>
        </w:rPr>
        <w:t>部门</w:t>
      </w:r>
      <w:r>
        <w:rPr>
          <w:rFonts w:hint="eastAsia" w:ascii="宋体" w:hAnsi="宋体"/>
        </w:rPr>
        <w:t>政府采购预算支出一览表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951"/>
        <w:gridCol w:w="1476"/>
        <w:gridCol w:w="679"/>
        <w:gridCol w:w="617"/>
        <w:gridCol w:w="1357"/>
        <w:gridCol w:w="804"/>
        <w:gridCol w:w="436"/>
        <w:gridCol w:w="846"/>
        <w:gridCol w:w="728"/>
        <w:gridCol w:w="747"/>
        <w:gridCol w:w="830"/>
        <w:gridCol w:w="932"/>
        <w:gridCol w:w="932"/>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513" w:type="pct"/>
            <w:gridSpan w:val="10"/>
            <w:tcBorders>
              <w:top w:val="nil"/>
              <w:left w:val="nil"/>
              <w:bottom w:val="single" w:color="auto" w:sz="4" w:space="0"/>
              <w:right w:val="nil"/>
            </w:tcBorders>
            <w:vAlign w:val="center"/>
          </w:tcPr>
          <w:p>
            <w:pPr>
              <w:widowControl/>
              <w:jc w:val="left"/>
              <w:rPr>
                <w:rFonts w:ascii="黑体" w:hAnsi="黑体" w:eastAsia="黑体" w:cs="宋体"/>
                <w:b/>
                <w:bCs/>
                <w:color w:val="000000"/>
                <w:kern w:val="0"/>
              </w:rPr>
            </w:pPr>
            <w:r>
              <w:rPr>
                <w:rFonts w:hint="eastAsia" w:ascii="宋体" w:hAnsi="宋体"/>
                <w:sz w:val="28"/>
                <w:szCs w:val="28"/>
              </w:rPr>
              <w:t>乐亭县发展和改革局</w:t>
            </w:r>
          </w:p>
        </w:tc>
        <w:tc>
          <w:tcPr>
            <w:tcW w:w="1487" w:type="pct"/>
            <w:gridSpan w:val="5"/>
            <w:tcBorders>
              <w:top w:val="nil"/>
              <w:left w:val="nil"/>
              <w:bottom w:val="single" w:color="auto" w:sz="4" w:space="0"/>
              <w:right w:val="nil"/>
            </w:tcBorders>
            <w:vAlign w:val="center"/>
          </w:tcPr>
          <w:p>
            <w:pPr>
              <w:widowControl/>
              <w:jc w:val="right"/>
              <w:rPr>
                <w:rFonts w:ascii="黑体" w:hAnsi="黑体" w:eastAsia="黑体" w:cs="宋体"/>
                <w:b/>
                <w:bCs/>
                <w:color w:val="000000"/>
                <w:kern w:val="0"/>
              </w:rPr>
            </w:pPr>
            <w:r>
              <w:rPr>
                <w:rFonts w:hint="eastAsia" w:ascii="宋体" w:hAnsi="宋体"/>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30" w:type="pct"/>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单位名称</w:t>
            </w:r>
          </w:p>
        </w:tc>
        <w:tc>
          <w:tcPr>
            <w:tcW w:w="1094"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所属项目</w:t>
            </w:r>
          </w:p>
        </w:tc>
        <w:tc>
          <w:tcPr>
            <w:tcW w:w="21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政府采购目录序号</w:t>
            </w:r>
          </w:p>
        </w:tc>
        <w:tc>
          <w:tcPr>
            <w:tcW w:w="47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采购物品名称</w:t>
            </w:r>
          </w:p>
        </w:tc>
        <w:tc>
          <w:tcPr>
            <w:tcW w:w="28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产品规格</w:t>
            </w:r>
          </w:p>
        </w:tc>
        <w:tc>
          <w:tcPr>
            <w:tcW w:w="1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单位</w:t>
            </w:r>
          </w:p>
        </w:tc>
        <w:tc>
          <w:tcPr>
            <w:tcW w:w="29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rPr>
            </w:pPr>
            <w:r>
              <w:rPr>
                <w:rFonts w:hint="eastAsia" w:ascii="黑体" w:hAnsi="黑体" w:eastAsia="黑体"/>
                <w:b/>
                <w:bCs/>
                <w:color w:val="000000"/>
                <w:kern w:val="0"/>
              </w:rPr>
              <w:t>单价(元)</w:t>
            </w:r>
          </w:p>
        </w:tc>
        <w:tc>
          <w:tcPr>
            <w:tcW w:w="25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数量</w:t>
            </w:r>
          </w:p>
        </w:tc>
        <w:tc>
          <w:tcPr>
            <w:tcW w:w="1487" w:type="pct"/>
            <w:gridSpan w:val="5"/>
            <w:tcBorders>
              <w:top w:val="single" w:color="auto" w:sz="4" w:space="0"/>
              <w:left w:val="single" w:color="auto" w:sz="4" w:space="0"/>
              <w:bottom w:val="nil"/>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政府采购金额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30"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333" w:type="pct"/>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功能分类科目编码</w:t>
            </w:r>
          </w:p>
        </w:tc>
        <w:tc>
          <w:tcPr>
            <w:tcW w:w="521" w:type="pct"/>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项目名称</w:t>
            </w:r>
          </w:p>
        </w:tc>
        <w:tc>
          <w:tcPr>
            <w:tcW w:w="240" w:type="pct"/>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项目类型</w:t>
            </w:r>
          </w:p>
        </w:tc>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4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1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9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rPr>
            </w:pP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6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总计</w:t>
            </w:r>
          </w:p>
        </w:tc>
        <w:tc>
          <w:tcPr>
            <w:tcW w:w="1223"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30"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333"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521"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40"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4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1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9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rPr>
            </w:pP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93" w:type="pct"/>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一般公共预算拨款安排</w:t>
            </w:r>
          </w:p>
        </w:tc>
        <w:tc>
          <w:tcPr>
            <w:tcW w:w="32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政府性基金预算拨款安排</w:t>
            </w:r>
          </w:p>
        </w:tc>
        <w:tc>
          <w:tcPr>
            <w:tcW w:w="32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color w:val="000000"/>
                <w:kern w:val="0"/>
              </w:rPr>
              <w:t>国有资本经营预算拨款安排</w:t>
            </w:r>
          </w:p>
        </w:tc>
        <w:tc>
          <w:tcPr>
            <w:tcW w:w="27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30"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333"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521"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40"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4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1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9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rPr>
            </w:pP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93"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333"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521"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40"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4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1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9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rPr>
            </w:pP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93"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 xml:space="preserve">    合计</w:t>
            </w:r>
          </w:p>
        </w:tc>
        <w:tc>
          <w:tcPr>
            <w:tcW w:w="333"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18"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8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97"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25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68.86</w:t>
            </w: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68.86</w:t>
            </w: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272"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乐亭县发展和改革局</w:t>
            </w:r>
          </w:p>
        </w:tc>
        <w:tc>
          <w:tcPr>
            <w:tcW w:w="333"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2010499</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争取产业项目前期费用</w:t>
            </w:r>
          </w:p>
        </w:tc>
        <w:tc>
          <w:tcPr>
            <w:tcW w:w="2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专项公用</w:t>
            </w:r>
          </w:p>
        </w:tc>
        <w:tc>
          <w:tcPr>
            <w:tcW w:w="218"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展板</w:t>
            </w:r>
          </w:p>
        </w:tc>
        <w:tc>
          <w:tcPr>
            <w:tcW w:w="28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个</w:t>
            </w:r>
          </w:p>
        </w:tc>
        <w:tc>
          <w:tcPr>
            <w:tcW w:w="297"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300</w:t>
            </w:r>
          </w:p>
        </w:tc>
        <w:tc>
          <w:tcPr>
            <w:tcW w:w="25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866</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26</w:t>
            </w: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26</w:t>
            </w: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272"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乐亭县发展和改革局</w:t>
            </w:r>
          </w:p>
        </w:tc>
        <w:tc>
          <w:tcPr>
            <w:tcW w:w="333"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2010499</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争取产业项目前期费用</w:t>
            </w:r>
          </w:p>
        </w:tc>
        <w:tc>
          <w:tcPr>
            <w:tcW w:w="2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专项公用</w:t>
            </w:r>
          </w:p>
        </w:tc>
        <w:tc>
          <w:tcPr>
            <w:tcW w:w="218"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宣传册</w:t>
            </w:r>
          </w:p>
        </w:tc>
        <w:tc>
          <w:tcPr>
            <w:tcW w:w="28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本</w:t>
            </w:r>
          </w:p>
        </w:tc>
        <w:tc>
          <w:tcPr>
            <w:tcW w:w="297"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60</w:t>
            </w:r>
          </w:p>
        </w:tc>
        <w:tc>
          <w:tcPr>
            <w:tcW w:w="25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4000</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24</w:t>
            </w: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24</w:t>
            </w: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272"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乐亭县发展和改革局</w:t>
            </w:r>
          </w:p>
        </w:tc>
        <w:tc>
          <w:tcPr>
            <w:tcW w:w="333"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2010499</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争取产业项目前期费用</w:t>
            </w:r>
          </w:p>
        </w:tc>
        <w:tc>
          <w:tcPr>
            <w:tcW w:w="2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专项公用</w:t>
            </w:r>
          </w:p>
        </w:tc>
        <w:tc>
          <w:tcPr>
            <w:tcW w:w="218"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办公设备购置</w:t>
            </w:r>
          </w:p>
        </w:tc>
        <w:tc>
          <w:tcPr>
            <w:tcW w:w="28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批</w:t>
            </w:r>
          </w:p>
        </w:tc>
        <w:tc>
          <w:tcPr>
            <w:tcW w:w="297"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188600</w:t>
            </w:r>
          </w:p>
        </w:tc>
        <w:tc>
          <w:tcPr>
            <w:tcW w:w="25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olor w:val="000000"/>
                <w:kern w:val="0"/>
              </w:rPr>
              <w:t>1</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18.86</w:t>
            </w: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18.86</w:t>
            </w: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272"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r>
    </w:tbl>
    <w:p>
      <w:pPr>
        <w:widowControl/>
        <w:spacing w:line="360" w:lineRule="auto"/>
        <w:ind w:firstLine="640"/>
        <w:rPr>
          <w:rFonts w:ascii="方正仿宋简体" w:hAnsi="宋体" w:cs="Arial"/>
          <w:color w:val="333333"/>
          <w:kern w:val="0"/>
          <w:sz w:val="32"/>
          <w:szCs w:val="32"/>
        </w:rPr>
      </w:pPr>
      <w:r>
        <w:rPr>
          <w:rFonts w:ascii="方正仿宋简体" w:hAnsi="宋体" w:cs="Arial"/>
          <w:color w:val="333333"/>
          <w:kern w:val="0"/>
          <w:sz w:val="32"/>
          <w:szCs w:val="32"/>
        </w:rPr>
        <w:t xml:space="preserve"> </w:t>
      </w:r>
    </w:p>
    <w:p>
      <w:pPr>
        <w:widowControl/>
        <w:spacing w:line="360" w:lineRule="auto"/>
        <w:ind w:firstLine="640"/>
        <w:rPr>
          <w:rFonts w:ascii="宋体" w:hAnsi="宋体" w:cs="宋体"/>
          <w:b/>
          <w:color w:val="333333"/>
          <w:kern w:val="0"/>
          <w:sz w:val="32"/>
          <w:szCs w:val="32"/>
        </w:rPr>
      </w:pPr>
      <w:r>
        <w:rPr>
          <w:rFonts w:ascii="方正仿宋简体" w:hAnsi="方正仿宋简体" w:cs="方正黑体简体"/>
          <w:b/>
          <w:color w:val="333333"/>
          <w:kern w:val="0"/>
          <w:sz w:val="32"/>
          <w:szCs w:val="32"/>
        </w:rPr>
        <w:t>七、</w:t>
      </w:r>
      <w:r>
        <w:rPr>
          <w:rFonts w:hint="eastAsia" w:ascii="宋体" w:hAnsi="宋体"/>
          <w:b/>
          <w:color w:val="333333"/>
          <w:kern w:val="0"/>
          <w:sz w:val="32"/>
          <w:szCs w:val="32"/>
        </w:rPr>
        <w:t>国有资产信息。</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2020年末，我</w:t>
      </w:r>
      <w:r>
        <w:rPr>
          <w:rFonts w:hint="eastAsia" w:ascii="宋体" w:hAnsi="宋体"/>
          <w:color w:val="333333"/>
          <w:kern w:val="0"/>
          <w:sz w:val="32"/>
          <w:szCs w:val="32"/>
          <w:lang w:eastAsia="zh-CN"/>
        </w:rPr>
        <w:t>部门</w:t>
      </w:r>
      <w:r>
        <w:rPr>
          <w:rFonts w:hint="eastAsia" w:ascii="宋体" w:hAnsi="宋体"/>
          <w:color w:val="333333"/>
          <w:kern w:val="0"/>
          <w:sz w:val="32"/>
          <w:szCs w:val="32"/>
        </w:rPr>
        <w:t>固定资产总额122.79万元，2021年拟购置电脑、打印机、监控设备等固定资产18.86万元，已列入政府采购预算表。</w:t>
      </w:r>
    </w:p>
    <w:tbl>
      <w:tblPr>
        <w:tblStyle w:val="9"/>
        <w:tblW w:w="5000" w:type="pct"/>
        <w:tblInd w:w="0" w:type="dxa"/>
        <w:tblLayout w:type="autofit"/>
        <w:tblCellMar>
          <w:top w:w="0" w:type="dxa"/>
          <w:left w:w="108" w:type="dxa"/>
          <w:bottom w:w="0" w:type="dxa"/>
          <w:right w:w="108" w:type="dxa"/>
        </w:tblCellMar>
      </w:tblPr>
      <w:tblGrid>
        <w:gridCol w:w="5491"/>
        <w:gridCol w:w="3317"/>
        <w:gridCol w:w="5366"/>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vAlign w:val="center"/>
          </w:tcPr>
          <w:p>
            <w:pPr>
              <w:widowControl/>
              <w:rPr>
                <w:rFonts w:ascii="宋体" w:hAnsi="宋体" w:cs="宋体"/>
                <w:b/>
                <w:bCs/>
                <w:kern w:val="0"/>
                <w:sz w:val="32"/>
                <w:szCs w:val="32"/>
              </w:rPr>
            </w:pPr>
            <w:r>
              <w:rPr>
                <w:rFonts w:hint="eastAsia" w:ascii="宋体" w:hAnsi="宋体"/>
                <w:b/>
                <w:bCs/>
                <w:kern w:val="0"/>
                <w:sz w:val="32"/>
                <w:szCs w:val="32"/>
              </w:rPr>
              <w:t>乐亭县发展和改革局固定资产占用情况表</w:t>
            </w:r>
          </w:p>
        </w:tc>
      </w:tr>
      <w:tr>
        <w:tblPrEx>
          <w:tblCellMar>
            <w:top w:w="0" w:type="dxa"/>
            <w:left w:w="108" w:type="dxa"/>
            <w:bottom w:w="0" w:type="dxa"/>
            <w:right w:w="108" w:type="dxa"/>
          </w:tblCellMar>
        </w:tblPrEx>
        <w:trPr>
          <w:trHeight w:val="510" w:hRule="atLeast"/>
        </w:trPr>
        <w:tc>
          <w:tcPr>
            <w:tcW w:w="3107" w:type="pct"/>
            <w:gridSpan w:val="2"/>
            <w:tcBorders>
              <w:top w:val="nil"/>
              <w:left w:val="nil"/>
              <w:bottom w:val="nil"/>
              <w:right w:val="nil"/>
            </w:tcBorders>
            <w:vAlign w:val="center"/>
          </w:tcPr>
          <w:p>
            <w:pPr>
              <w:widowControl/>
              <w:jc w:val="left"/>
              <w:rPr>
                <w:rFonts w:ascii="宋体" w:hAnsi="宋体" w:cs="宋体"/>
                <w:kern w:val="0"/>
                <w:sz w:val="22"/>
                <w:szCs w:val="22"/>
              </w:rPr>
            </w:pPr>
            <w:r>
              <w:rPr>
                <w:rFonts w:hint="eastAsia" w:ascii="宋体" w:hAnsi="宋体"/>
                <w:kern w:val="0"/>
                <w:sz w:val="22"/>
                <w:szCs w:val="22"/>
              </w:rPr>
              <w:t xml:space="preserve">编制单位：乐亭县发展和改革局 </w:t>
            </w:r>
          </w:p>
        </w:tc>
        <w:tc>
          <w:tcPr>
            <w:tcW w:w="1893" w:type="pct"/>
            <w:tcBorders>
              <w:top w:val="nil"/>
              <w:left w:val="nil"/>
              <w:bottom w:val="nil"/>
              <w:right w:val="nil"/>
            </w:tcBorders>
            <w:vAlign w:val="center"/>
          </w:tcPr>
          <w:p>
            <w:pPr>
              <w:widowControl/>
              <w:jc w:val="left"/>
              <w:rPr>
                <w:rFonts w:ascii="宋体" w:hAnsi="宋体" w:cs="宋体"/>
                <w:kern w:val="0"/>
                <w:sz w:val="22"/>
                <w:szCs w:val="22"/>
              </w:rPr>
            </w:pPr>
            <w:r>
              <w:rPr>
                <w:rFonts w:hint="eastAsia" w:ascii="宋体" w:hAnsi="宋体"/>
                <w:kern w:val="0"/>
                <w:sz w:val="22"/>
                <w:szCs w:val="22"/>
              </w:rPr>
              <w:t xml:space="preserve">截止时间：2020年12月31日  </w:t>
            </w:r>
          </w:p>
        </w:tc>
      </w:tr>
      <w:tr>
        <w:tblPrEx>
          <w:tblCellMar>
            <w:top w:w="0" w:type="dxa"/>
            <w:left w:w="108" w:type="dxa"/>
            <w:bottom w:w="0" w:type="dxa"/>
            <w:right w:w="108" w:type="dxa"/>
          </w:tblCellMar>
        </w:tblPrEx>
        <w:trPr>
          <w:trHeight w:val="645" w:hRule="atLeast"/>
        </w:trPr>
        <w:tc>
          <w:tcPr>
            <w:tcW w:w="19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b/>
                <w:bCs/>
                <w:kern w:val="0"/>
                <w:sz w:val="22"/>
                <w:szCs w:val="22"/>
              </w:rPr>
              <w:t>项   目</w:t>
            </w:r>
          </w:p>
        </w:tc>
        <w:tc>
          <w:tcPr>
            <w:tcW w:w="117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b/>
                <w:bCs/>
                <w:kern w:val="0"/>
                <w:sz w:val="22"/>
                <w:szCs w:val="22"/>
              </w:rPr>
              <w:t>数量</w:t>
            </w:r>
          </w:p>
        </w:tc>
        <w:tc>
          <w:tcPr>
            <w:tcW w:w="189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70"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kern w:val="0"/>
                <w:sz w:val="22"/>
                <w:szCs w:val="22"/>
              </w:rPr>
              <w:t>——</w:t>
            </w:r>
          </w:p>
        </w:tc>
        <w:tc>
          <w:tcPr>
            <w:tcW w:w="1893"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kern w:val="0"/>
                <w:sz w:val="22"/>
                <w:szCs w:val="22"/>
              </w:rPr>
              <w:t>122.79</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kern w:val="0"/>
                <w:sz w:val="22"/>
                <w:szCs w:val="22"/>
              </w:rPr>
              <w:t>交通运输设备</w:t>
            </w:r>
          </w:p>
        </w:tc>
        <w:tc>
          <w:tcPr>
            <w:tcW w:w="1170"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kern w:val="0"/>
                <w:sz w:val="22"/>
                <w:szCs w:val="22"/>
              </w:rPr>
              <w:t>2</w:t>
            </w:r>
          </w:p>
        </w:tc>
        <w:tc>
          <w:tcPr>
            <w:tcW w:w="1893"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kern w:val="0"/>
                <w:sz w:val="22"/>
                <w:szCs w:val="22"/>
              </w:rPr>
              <w:t>37.79</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kern w:val="0"/>
                <w:sz w:val="22"/>
                <w:szCs w:val="22"/>
              </w:rPr>
              <w:t>其他固定资产</w:t>
            </w:r>
          </w:p>
        </w:tc>
        <w:tc>
          <w:tcPr>
            <w:tcW w:w="1170"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kern w:val="0"/>
                <w:sz w:val="22"/>
                <w:szCs w:val="22"/>
              </w:rPr>
              <w:t>——</w:t>
            </w:r>
          </w:p>
        </w:tc>
        <w:tc>
          <w:tcPr>
            <w:tcW w:w="1893"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kern w:val="0"/>
                <w:sz w:val="22"/>
                <w:szCs w:val="22"/>
              </w:rPr>
              <w:t>85</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70"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kern w:val="0"/>
                <w:sz w:val="22"/>
                <w:szCs w:val="22"/>
              </w:rPr>
              <w:t>——</w:t>
            </w:r>
          </w:p>
        </w:tc>
        <w:tc>
          <w:tcPr>
            <w:tcW w:w="1893"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70"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kern w:val="0"/>
                <w:sz w:val="22"/>
                <w:szCs w:val="22"/>
              </w:rPr>
              <w:t>——</w:t>
            </w:r>
          </w:p>
        </w:tc>
        <w:tc>
          <w:tcPr>
            <w:tcW w:w="1893"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r>
    </w:tbl>
    <w:p>
      <w:pPr>
        <w:widowControl/>
        <w:spacing w:line="360" w:lineRule="auto"/>
        <w:ind w:firstLine="640"/>
        <w:rPr>
          <w:rFonts w:hint="eastAsia" w:ascii="方正仿宋简体" w:hAnsi="宋体" w:cs="Arial"/>
          <w:color w:val="333333"/>
          <w:kern w:val="0"/>
          <w:sz w:val="32"/>
          <w:szCs w:val="32"/>
        </w:rPr>
      </w:pPr>
      <w:r>
        <w:rPr>
          <w:rFonts w:ascii="方正仿宋简体" w:hAnsi="宋体" w:cs="Arial"/>
          <w:color w:val="333333"/>
          <w:kern w:val="0"/>
          <w:sz w:val="32"/>
          <w:szCs w:val="32"/>
        </w:rPr>
        <w:t xml:space="preserve"> </w:t>
      </w:r>
    </w:p>
    <w:p>
      <w:pPr>
        <w:widowControl/>
        <w:spacing w:line="360" w:lineRule="auto"/>
        <w:ind w:firstLine="640"/>
        <w:rPr>
          <w:rFonts w:ascii="宋体" w:hAnsi="宋体" w:cs="宋体"/>
          <w:b/>
          <w:color w:val="333333"/>
          <w:kern w:val="0"/>
          <w:sz w:val="32"/>
          <w:szCs w:val="32"/>
        </w:rPr>
      </w:pPr>
      <w:r>
        <w:rPr>
          <w:rFonts w:ascii="方正仿宋简体" w:hAnsi="方正黑体简体" w:cs="方正黑体简体"/>
          <w:b/>
          <w:color w:val="333333"/>
          <w:kern w:val="0"/>
          <w:sz w:val="32"/>
          <w:szCs w:val="32"/>
        </w:rPr>
        <w:t xml:space="preserve"> </w:t>
      </w:r>
      <w:r>
        <w:rPr>
          <w:rFonts w:ascii="方正仿宋简体" w:hAnsi="方正仿宋简体" w:cs="方正黑体简体"/>
          <w:b/>
          <w:color w:val="333333"/>
          <w:kern w:val="0"/>
          <w:sz w:val="32"/>
          <w:szCs w:val="32"/>
        </w:rPr>
        <w:t>八、</w:t>
      </w:r>
      <w:r>
        <w:rPr>
          <w:rFonts w:hint="eastAsia" w:ascii="宋体" w:hAnsi="宋体"/>
          <w:b/>
          <w:color w:val="333333"/>
          <w:kern w:val="0"/>
          <w:sz w:val="32"/>
          <w:szCs w:val="32"/>
        </w:rPr>
        <w:t>相关名词解释。</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1、财政拨款收入：指本年度从县级财政部门取得的财政拨款。</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2、事业收入：指事业单位开展专业业务活动及辅助活动所取得的收入。如：医院的各项收费收入。</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3、基本支出：指为保障机构正常运转、完成日常工作任务而发生的人员支出和公用支出。</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4、项目支出：指在基本支出之外为完成特定行政任务和事业发展目标所发生的支出。</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5、“三公”经费：指部门用财政拨款安排的因公出国（境）费、公务用车购置及运行维护费和公务接待费。</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6、机关运行经费：指为保障行政单位（包括参照公务法管理的事业单位）运行用于购买货物和服务的各项资金，包括办公及印刷费、邮电费、差旅费、会议费、福利费、日常维修费、办公用房水电费、办公用房取暖费、办公用房物业管理费、公务用车运行维护费及其他费用。</w:t>
      </w:r>
    </w:p>
    <w:p>
      <w:pPr>
        <w:widowControl/>
        <w:spacing w:line="360" w:lineRule="auto"/>
        <w:ind w:firstLine="640"/>
        <w:rPr>
          <w:rFonts w:hint="eastAsia" w:ascii="宋体" w:hAnsi="宋体"/>
          <w:b/>
          <w:color w:val="333333"/>
          <w:kern w:val="0"/>
          <w:sz w:val="32"/>
          <w:szCs w:val="32"/>
        </w:rPr>
      </w:pPr>
      <w:r>
        <w:rPr>
          <w:rFonts w:hint="eastAsia" w:ascii="宋体" w:hAnsi="宋体"/>
          <w:b/>
          <w:color w:val="333333"/>
          <w:kern w:val="0"/>
          <w:sz w:val="32"/>
          <w:szCs w:val="32"/>
        </w:rPr>
        <w:t>九、项目绩效申报情况</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主要项目预算绩效目标申报表</w:t>
      </w:r>
    </w:p>
    <w:tbl>
      <w:tblPr>
        <w:tblStyle w:val="9"/>
        <w:tblW w:w="5000" w:type="pct"/>
        <w:tblInd w:w="0" w:type="dxa"/>
        <w:tblLayout w:type="autofit"/>
        <w:tblCellMar>
          <w:top w:w="0" w:type="dxa"/>
          <w:left w:w="108" w:type="dxa"/>
          <w:bottom w:w="0" w:type="dxa"/>
          <w:right w:w="108" w:type="dxa"/>
        </w:tblCellMar>
      </w:tblPr>
      <w:tblGrid>
        <w:gridCol w:w="1261"/>
        <w:gridCol w:w="1775"/>
        <w:gridCol w:w="2948"/>
        <w:gridCol w:w="4125"/>
        <w:gridCol w:w="4065"/>
      </w:tblGrid>
      <w:tr>
        <w:tblPrEx>
          <w:tblCellMar>
            <w:top w:w="0" w:type="dxa"/>
            <w:left w:w="108" w:type="dxa"/>
            <w:bottom w:w="0" w:type="dxa"/>
            <w:right w:w="108" w:type="dxa"/>
          </w:tblCellMar>
        </w:tblPrEx>
        <w:trPr>
          <w:trHeight w:val="832" w:hRule="atLeast"/>
        </w:trPr>
        <w:tc>
          <w:tcPr>
            <w:tcW w:w="5000" w:type="pct"/>
            <w:gridSpan w:val="5"/>
            <w:tcBorders>
              <w:top w:val="nil"/>
              <w:left w:val="nil"/>
              <w:bottom w:val="single" w:color="auto" w:sz="4" w:space="0"/>
              <w:right w:val="nil"/>
            </w:tcBorders>
            <w:vAlign w:val="center"/>
          </w:tcPr>
          <w:p>
            <w:pPr>
              <w:widowControl/>
              <w:jc w:val="center"/>
              <w:rPr>
                <w:rFonts w:ascii="宋体" w:hAnsi="宋体" w:cs="宋体"/>
                <w:kern w:val="0"/>
                <w:sz w:val="52"/>
                <w:szCs w:val="52"/>
              </w:rPr>
            </w:pPr>
            <w:r>
              <w:rPr>
                <w:rFonts w:hint="eastAsia" w:ascii="宋体" w:hAnsi="宋体"/>
                <w:kern w:val="0"/>
                <w:sz w:val="40"/>
                <w:szCs w:val="40"/>
              </w:rPr>
              <w:t>2021年项目预算绩效目标申报表</w:t>
            </w:r>
          </w:p>
        </w:tc>
      </w:tr>
      <w:tr>
        <w:tblPrEx>
          <w:tblCellMar>
            <w:top w:w="0" w:type="dxa"/>
            <w:left w:w="108" w:type="dxa"/>
            <w:bottom w:w="0" w:type="dxa"/>
            <w:right w:w="108" w:type="dxa"/>
          </w:tblCellMar>
        </w:tblPrEx>
        <w:trPr>
          <w:trHeight w:val="491" w:hRule="atLeast"/>
        </w:trPr>
        <w:tc>
          <w:tcPr>
            <w:tcW w:w="1071"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项目名称</w:t>
            </w:r>
          </w:p>
        </w:tc>
        <w:tc>
          <w:tcPr>
            <w:tcW w:w="1040"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争取产业项目前期费用</w:t>
            </w:r>
          </w:p>
        </w:tc>
        <w:tc>
          <w:tcPr>
            <w:tcW w:w="145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项目负责人及电话</w:t>
            </w:r>
          </w:p>
        </w:tc>
        <w:tc>
          <w:tcPr>
            <w:tcW w:w="1434"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7" w:hRule="atLeast"/>
        </w:trPr>
        <w:tc>
          <w:tcPr>
            <w:tcW w:w="1071"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主管部门</w:t>
            </w:r>
          </w:p>
        </w:tc>
        <w:tc>
          <w:tcPr>
            <w:tcW w:w="1040"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　</w:t>
            </w:r>
          </w:p>
        </w:tc>
        <w:tc>
          <w:tcPr>
            <w:tcW w:w="145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实施单位</w:t>
            </w:r>
          </w:p>
        </w:tc>
        <w:tc>
          <w:tcPr>
            <w:tcW w:w="1434"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发改局</w:t>
            </w:r>
          </w:p>
        </w:tc>
      </w:tr>
      <w:tr>
        <w:tblPrEx>
          <w:tblCellMar>
            <w:top w:w="0" w:type="dxa"/>
            <w:left w:w="108" w:type="dxa"/>
            <w:bottom w:w="0" w:type="dxa"/>
            <w:right w:w="108" w:type="dxa"/>
          </w:tblCellMar>
        </w:tblPrEx>
        <w:trPr>
          <w:trHeight w:val="405" w:hRule="atLeast"/>
        </w:trPr>
        <w:tc>
          <w:tcPr>
            <w:tcW w:w="1071" w:type="pct"/>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资金情况（万元）</w:t>
            </w:r>
          </w:p>
        </w:tc>
        <w:tc>
          <w:tcPr>
            <w:tcW w:w="1040"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b/>
                <w:bCs/>
                <w:kern w:val="0"/>
                <w:sz w:val="24"/>
                <w:szCs w:val="24"/>
              </w:rPr>
              <w:t>年度资金总额：</w:t>
            </w:r>
          </w:p>
        </w:tc>
        <w:tc>
          <w:tcPr>
            <w:tcW w:w="2890"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200</w:t>
            </w:r>
          </w:p>
        </w:tc>
      </w:tr>
      <w:tr>
        <w:tblPrEx>
          <w:tblCellMar>
            <w:top w:w="0" w:type="dxa"/>
            <w:left w:w="108" w:type="dxa"/>
            <w:bottom w:w="0" w:type="dxa"/>
            <w:right w:w="108" w:type="dxa"/>
          </w:tblCellMar>
        </w:tblPrEx>
        <w:trPr>
          <w:trHeight w:val="381" w:hRule="atLeast"/>
        </w:trPr>
        <w:tc>
          <w:tcPr>
            <w:tcW w:w="1071"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1040" w:type="pct"/>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4"/>
                <w:szCs w:val="24"/>
              </w:rPr>
            </w:pPr>
            <w:r>
              <w:rPr>
                <w:rFonts w:hint="eastAsia" w:ascii="宋体" w:hAnsi="宋体"/>
                <w:b/>
                <w:bCs/>
                <w:kern w:val="0"/>
                <w:sz w:val="24"/>
                <w:szCs w:val="24"/>
              </w:rPr>
              <w:t>其中：上级资金</w:t>
            </w:r>
          </w:p>
        </w:tc>
        <w:tc>
          <w:tcPr>
            <w:tcW w:w="2890"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333" w:hRule="atLeast"/>
        </w:trPr>
        <w:tc>
          <w:tcPr>
            <w:tcW w:w="1071"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1040" w:type="pct"/>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4"/>
                <w:szCs w:val="24"/>
              </w:rPr>
            </w:pPr>
            <w:r>
              <w:rPr>
                <w:rFonts w:hint="eastAsia" w:ascii="宋体" w:hAnsi="宋体"/>
                <w:b/>
                <w:bCs/>
                <w:kern w:val="0"/>
                <w:sz w:val="24"/>
                <w:szCs w:val="24"/>
              </w:rPr>
              <w:t>县级资金</w:t>
            </w:r>
          </w:p>
        </w:tc>
        <w:tc>
          <w:tcPr>
            <w:tcW w:w="2890"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200</w:t>
            </w:r>
          </w:p>
        </w:tc>
      </w:tr>
      <w:tr>
        <w:tblPrEx>
          <w:tblCellMar>
            <w:top w:w="0" w:type="dxa"/>
            <w:left w:w="108" w:type="dxa"/>
            <w:bottom w:w="0" w:type="dxa"/>
            <w:right w:w="108" w:type="dxa"/>
          </w:tblCellMar>
        </w:tblPrEx>
        <w:trPr>
          <w:trHeight w:val="285" w:hRule="atLeast"/>
        </w:trPr>
        <w:tc>
          <w:tcPr>
            <w:tcW w:w="1071"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1040" w:type="pct"/>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4"/>
                <w:szCs w:val="24"/>
              </w:rPr>
            </w:pPr>
            <w:r>
              <w:rPr>
                <w:rFonts w:hint="eastAsia" w:ascii="宋体" w:hAnsi="宋体"/>
                <w:b/>
                <w:bCs/>
                <w:kern w:val="0"/>
                <w:sz w:val="24"/>
                <w:szCs w:val="24"/>
              </w:rPr>
              <w:t>其他资金</w:t>
            </w:r>
          </w:p>
        </w:tc>
        <w:tc>
          <w:tcPr>
            <w:tcW w:w="2890" w:type="pct"/>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44" w:hRule="atLeast"/>
        </w:trPr>
        <w:tc>
          <w:tcPr>
            <w:tcW w:w="445"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项目概况及总体目标</w:t>
            </w:r>
          </w:p>
        </w:tc>
        <w:tc>
          <w:tcPr>
            <w:tcW w:w="3121"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年度目标</w:t>
            </w:r>
          </w:p>
        </w:tc>
        <w:tc>
          <w:tcPr>
            <w:tcW w:w="1434"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年度总体目标计划完成情况</w:t>
            </w:r>
          </w:p>
        </w:tc>
      </w:tr>
      <w:tr>
        <w:tblPrEx>
          <w:tblCellMar>
            <w:top w:w="0" w:type="dxa"/>
            <w:left w:w="108" w:type="dxa"/>
            <w:bottom w:w="0" w:type="dxa"/>
            <w:right w:w="108" w:type="dxa"/>
          </w:tblCellMar>
        </w:tblPrEx>
        <w:trPr>
          <w:trHeight w:val="1022" w:hRule="atLeast"/>
        </w:trPr>
        <w:tc>
          <w:tcPr>
            <w:tcW w:w="4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3121" w:type="pct"/>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争取国家建设资金用，争取产业项目发生费用，根据中央关于京津冀协同发展的要求，承接产业项目发生费用</w:t>
            </w:r>
          </w:p>
        </w:tc>
        <w:tc>
          <w:tcPr>
            <w:tcW w:w="1434"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多措并举，助推产业项目建设新突破，加强重点项目谋划协调，推动重点项目顺利实施</w:t>
            </w:r>
          </w:p>
        </w:tc>
      </w:tr>
      <w:tr>
        <w:tblPrEx>
          <w:tblCellMar>
            <w:top w:w="0" w:type="dxa"/>
            <w:left w:w="108" w:type="dxa"/>
            <w:bottom w:w="0" w:type="dxa"/>
            <w:right w:w="108" w:type="dxa"/>
          </w:tblCellMar>
        </w:tblPrEx>
        <w:trPr>
          <w:trHeight w:val="378" w:hRule="atLeast"/>
        </w:trPr>
        <w:tc>
          <w:tcPr>
            <w:tcW w:w="445"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绩效指标</w:t>
            </w:r>
          </w:p>
        </w:tc>
        <w:tc>
          <w:tcPr>
            <w:tcW w:w="626"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一级指标</w:t>
            </w:r>
          </w:p>
        </w:tc>
        <w:tc>
          <w:tcPr>
            <w:tcW w:w="1040"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二级指标</w:t>
            </w:r>
          </w:p>
        </w:tc>
        <w:tc>
          <w:tcPr>
            <w:tcW w:w="1455"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三级指标</w:t>
            </w:r>
          </w:p>
        </w:tc>
        <w:tc>
          <w:tcPr>
            <w:tcW w:w="1434"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指标值</w:t>
            </w:r>
          </w:p>
        </w:tc>
      </w:tr>
      <w:tr>
        <w:tblPrEx>
          <w:tblCellMar>
            <w:top w:w="0" w:type="dxa"/>
            <w:left w:w="108" w:type="dxa"/>
            <w:bottom w:w="0" w:type="dxa"/>
            <w:right w:w="108" w:type="dxa"/>
          </w:tblCellMar>
        </w:tblPrEx>
        <w:trPr>
          <w:trHeight w:val="402" w:hRule="atLeast"/>
        </w:trPr>
        <w:tc>
          <w:tcPr>
            <w:tcW w:w="4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626" w:type="pct"/>
            <w:vMerge w:val="restart"/>
            <w:tcBorders>
              <w:top w:val="nil"/>
              <w:left w:val="nil"/>
              <w:bottom w:val="single" w:color="000000"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产出指标</w:t>
            </w:r>
          </w:p>
        </w:tc>
        <w:tc>
          <w:tcPr>
            <w:tcW w:w="1040"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数量指标</w:t>
            </w:r>
          </w:p>
        </w:tc>
        <w:tc>
          <w:tcPr>
            <w:tcW w:w="1455"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olor w:val="000000"/>
                <w:kern w:val="0"/>
                <w:sz w:val="20"/>
                <w:szCs w:val="20"/>
              </w:rPr>
              <w:t>新开工重点项目</w:t>
            </w:r>
          </w:p>
        </w:tc>
        <w:tc>
          <w:tcPr>
            <w:tcW w:w="1434"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olor w:val="000000"/>
                <w:kern w:val="0"/>
                <w:sz w:val="22"/>
                <w:szCs w:val="22"/>
              </w:rPr>
              <w:t>70项</w:t>
            </w:r>
          </w:p>
        </w:tc>
      </w:tr>
      <w:tr>
        <w:tblPrEx>
          <w:tblCellMar>
            <w:top w:w="0" w:type="dxa"/>
            <w:left w:w="108" w:type="dxa"/>
            <w:bottom w:w="0" w:type="dxa"/>
            <w:right w:w="108" w:type="dxa"/>
          </w:tblCellMar>
        </w:tblPrEx>
        <w:trPr>
          <w:trHeight w:val="426" w:hRule="atLeast"/>
        </w:trPr>
        <w:tc>
          <w:tcPr>
            <w:tcW w:w="4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626"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40"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质量指标</w:t>
            </w:r>
          </w:p>
        </w:tc>
        <w:tc>
          <w:tcPr>
            <w:tcW w:w="1455"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有效投资完成率</w:t>
            </w:r>
          </w:p>
        </w:tc>
        <w:tc>
          <w:tcPr>
            <w:tcW w:w="1434"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100%</w:t>
            </w:r>
          </w:p>
        </w:tc>
      </w:tr>
      <w:tr>
        <w:tblPrEx>
          <w:tblCellMar>
            <w:top w:w="0" w:type="dxa"/>
            <w:left w:w="108" w:type="dxa"/>
            <w:bottom w:w="0" w:type="dxa"/>
            <w:right w:w="108" w:type="dxa"/>
          </w:tblCellMar>
        </w:tblPrEx>
        <w:trPr>
          <w:trHeight w:val="354" w:hRule="atLeast"/>
        </w:trPr>
        <w:tc>
          <w:tcPr>
            <w:tcW w:w="4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626"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40"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成本指标</w:t>
            </w:r>
          </w:p>
        </w:tc>
        <w:tc>
          <w:tcPr>
            <w:tcW w:w="1455" w:type="pct"/>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b/>
                <w:bCs/>
                <w:kern w:val="0"/>
                <w:sz w:val="24"/>
                <w:szCs w:val="24"/>
              </w:rPr>
              <w:t>　</w:t>
            </w:r>
            <w:r>
              <w:rPr>
                <w:rFonts w:hint="eastAsia" w:ascii="宋体" w:hAnsi="宋体"/>
                <w:color w:val="000000"/>
                <w:kern w:val="0"/>
                <w:sz w:val="20"/>
                <w:szCs w:val="20"/>
              </w:rPr>
              <w:t>预算资金完成率</w:t>
            </w:r>
          </w:p>
        </w:tc>
        <w:tc>
          <w:tcPr>
            <w:tcW w:w="1434"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kern w:val="0"/>
                <w:sz w:val="24"/>
                <w:szCs w:val="24"/>
              </w:rPr>
              <w:t>80%</w:t>
            </w:r>
            <w:r>
              <w:rPr>
                <w:rFonts w:hint="eastAsia" w:ascii="宋体" w:hAnsi="宋体"/>
                <w:b/>
                <w:bCs/>
                <w:kern w:val="0"/>
                <w:sz w:val="24"/>
                <w:szCs w:val="24"/>
              </w:rPr>
              <w:t>　</w:t>
            </w:r>
          </w:p>
        </w:tc>
      </w:tr>
      <w:tr>
        <w:tblPrEx>
          <w:tblCellMar>
            <w:top w:w="0" w:type="dxa"/>
            <w:left w:w="108" w:type="dxa"/>
            <w:bottom w:w="0" w:type="dxa"/>
            <w:right w:w="108" w:type="dxa"/>
          </w:tblCellMar>
        </w:tblPrEx>
        <w:trPr>
          <w:trHeight w:val="414" w:hRule="atLeast"/>
        </w:trPr>
        <w:tc>
          <w:tcPr>
            <w:tcW w:w="4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626"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40"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时效指标</w:t>
            </w:r>
          </w:p>
        </w:tc>
        <w:tc>
          <w:tcPr>
            <w:tcW w:w="1455"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olor w:val="000000"/>
                <w:kern w:val="0"/>
                <w:sz w:val="20"/>
                <w:szCs w:val="20"/>
              </w:rPr>
              <w:t>项目完成时限</w:t>
            </w:r>
          </w:p>
        </w:tc>
        <w:tc>
          <w:tcPr>
            <w:tcW w:w="1434"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2021年12月底</w:t>
            </w:r>
          </w:p>
        </w:tc>
      </w:tr>
      <w:tr>
        <w:tblPrEx>
          <w:tblCellMar>
            <w:top w:w="0" w:type="dxa"/>
            <w:left w:w="108" w:type="dxa"/>
            <w:bottom w:w="0" w:type="dxa"/>
            <w:right w:w="108" w:type="dxa"/>
          </w:tblCellMar>
        </w:tblPrEx>
        <w:trPr>
          <w:trHeight w:val="390" w:hRule="atLeast"/>
        </w:trPr>
        <w:tc>
          <w:tcPr>
            <w:tcW w:w="4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626"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40"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经济效益指标</w:t>
            </w:r>
          </w:p>
        </w:tc>
        <w:tc>
          <w:tcPr>
            <w:tcW w:w="1455"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促进县域经济发展</w:t>
            </w:r>
          </w:p>
        </w:tc>
        <w:tc>
          <w:tcPr>
            <w:tcW w:w="1434"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效果明显</w:t>
            </w:r>
          </w:p>
        </w:tc>
      </w:tr>
      <w:tr>
        <w:tblPrEx>
          <w:tblCellMar>
            <w:top w:w="0" w:type="dxa"/>
            <w:left w:w="108" w:type="dxa"/>
            <w:bottom w:w="0" w:type="dxa"/>
            <w:right w:w="108" w:type="dxa"/>
          </w:tblCellMar>
        </w:tblPrEx>
        <w:trPr>
          <w:trHeight w:val="538" w:hRule="atLeast"/>
        </w:trPr>
        <w:tc>
          <w:tcPr>
            <w:tcW w:w="4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626"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满意度指标</w:t>
            </w:r>
          </w:p>
        </w:tc>
        <w:tc>
          <w:tcPr>
            <w:tcW w:w="1040"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服务对象满意度指标</w:t>
            </w:r>
          </w:p>
        </w:tc>
        <w:tc>
          <w:tcPr>
            <w:tcW w:w="1455"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服务对象满意度</w:t>
            </w:r>
          </w:p>
        </w:tc>
        <w:tc>
          <w:tcPr>
            <w:tcW w:w="1434"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≥90%</w:t>
            </w:r>
          </w:p>
        </w:tc>
      </w:tr>
    </w:tbl>
    <w:p>
      <w:pPr>
        <w:widowControl/>
        <w:jc w:val="left"/>
        <w:rPr>
          <w:rFonts w:ascii="宋体" w:hAnsi="宋体"/>
          <w:vanish/>
          <w:kern w:val="0"/>
          <w:sz w:val="24"/>
          <w:szCs w:val="24"/>
        </w:rPr>
      </w:pPr>
    </w:p>
    <w:tbl>
      <w:tblPr>
        <w:tblStyle w:val="9"/>
        <w:tblW w:w="5000" w:type="pct"/>
        <w:tblInd w:w="0" w:type="dxa"/>
        <w:tblLayout w:type="autofit"/>
        <w:tblCellMar>
          <w:top w:w="0" w:type="dxa"/>
          <w:left w:w="108" w:type="dxa"/>
          <w:bottom w:w="0" w:type="dxa"/>
          <w:right w:w="108" w:type="dxa"/>
        </w:tblCellMar>
      </w:tblPr>
      <w:tblGrid>
        <w:gridCol w:w="1343"/>
        <w:gridCol w:w="1698"/>
        <w:gridCol w:w="2934"/>
        <w:gridCol w:w="3833"/>
        <w:gridCol w:w="4366"/>
      </w:tblGrid>
      <w:tr>
        <w:tblPrEx>
          <w:tblCellMar>
            <w:top w:w="0" w:type="dxa"/>
            <w:left w:w="108" w:type="dxa"/>
            <w:bottom w:w="0" w:type="dxa"/>
            <w:right w:w="108" w:type="dxa"/>
          </w:tblCellMar>
        </w:tblPrEx>
        <w:trPr>
          <w:trHeight w:val="482" w:hRule="atLeast"/>
        </w:trPr>
        <w:tc>
          <w:tcPr>
            <w:tcW w:w="5000" w:type="pct"/>
            <w:gridSpan w:val="5"/>
            <w:tcBorders>
              <w:top w:val="nil"/>
              <w:left w:val="nil"/>
              <w:bottom w:val="single" w:color="auto" w:sz="4" w:space="0"/>
              <w:right w:val="nil"/>
            </w:tcBorders>
            <w:vAlign w:val="center"/>
          </w:tcPr>
          <w:p>
            <w:pPr>
              <w:widowControl/>
              <w:jc w:val="center"/>
              <w:rPr>
                <w:rFonts w:ascii="宋体" w:hAnsi="宋体" w:cs="宋体"/>
                <w:kern w:val="0"/>
                <w:sz w:val="52"/>
                <w:szCs w:val="52"/>
              </w:rPr>
            </w:pPr>
            <w:r>
              <w:rPr>
                <w:rFonts w:hint="eastAsia" w:ascii="宋体" w:hAnsi="宋体"/>
                <w:kern w:val="0"/>
                <w:sz w:val="40"/>
                <w:szCs w:val="40"/>
              </w:rPr>
              <w:t>2021年项目预算绩效目标申报表</w:t>
            </w:r>
          </w:p>
        </w:tc>
      </w:tr>
      <w:tr>
        <w:tblPrEx>
          <w:tblCellMar>
            <w:top w:w="0" w:type="dxa"/>
            <w:left w:w="108" w:type="dxa"/>
            <w:bottom w:w="0" w:type="dxa"/>
            <w:right w:w="108" w:type="dxa"/>
          </w:tblCellMar>
        </w:tblPrEx>
        <w:trPr>
          <w:trHeight w:val="455" w:hRule="atLeast"/>
        </w:trPr>
        <w:tc>
          <w:tcPr>
            <w:tcW w:w="107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项目名称</w:t>
            </w:r>
          </w:p>
        </w:tc>
        <w:tc>
          <w:tcPr>
            <w:tcW w:w="1035"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直属库县级储备粮补贴</w:t>
            </w:r>
          </w:p>
        </w:tc>
        <w:tc>
          <w:tcPr>
            <w:tcW w:w="13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项目负责人及电话</w:t>
            </w:r>
          </w:p>
        </w:tc>
        <w:tc>
          <w:tcPr>
            <w:tcW w:w="1541"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301" w:hRule="atLeast"/>
        </w:trPr>
        <w:tc>
          <w:tcPr>
            <w:tcW w:w="107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主管部门</w:t>
            </w:r>
          </w:p>
        </w:tc>
        <w:tc>
          <w:tcPr>
            <w:tcW w:w="1035"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　</w:t>
            </w:r>
          </w:p>
        </w:tc>
        <w:tc>
          <w:tcPr>
            <w:tcW w:w="13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实施单位</w:t>
            </w:r>
          </w:p>
        </w:tc>
        <w:tc>
          <w:tcPr>
            <w:tcW w:w="1541"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发改局</w:t>
            </w:r>
          </w:p>
        </w:tc>
      </w:tr>
      <w:tr>
        <w:tblPrEx>
          <w:tblCellMar>
            <w:top w:w="0" w:type="dxa"/>
            <w:left w:w="108" w:type="dxa"/>
            <w:bottom w:w="0" w:type="dxa"/>
            <w:right w:w="108" w:type="dxa"/>
          </w:tblCellMar>
        </w:tblPrEx>
        <w:trPr>
          <w:trHeight w:val="331" w:hRule="atLeast"/>
        </w:trPr>
        <w:tc>
          <w:tcPr>
            <w:tcW w:w="1073" w:type="pct"/>
            <w:gridSpan w:val="2"/>
            <w:vMerge w:val="restart"/>
            <w:tcBorders>
              <w:top w:val="nil"/>
              <w:left w:val="single" w:color="auto" w:sz="4" w:space="0"/>
              <w:bottom w:val="single" w:color="000000" w:sz="4" w:space="0"/>
              <w:right w:val="single" w:color="000000"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资金情况（万元）</w:t>
            </w:r>
          </w:p>
        </w:tc>
        <w:tc>
          <w:tcPr>
            <w:tcW w:w="1035" w:type="pct"/>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b/>
                <w:bCs/>
                <w:kern w:val="0"/>
                <w:sz w:val="24"/>
                <w:szCs w:val="24"/>
              </w:rPr>
              <w:t>年度资金总额：</w:t>
            </w:r>
          </w:p>
        </w:tc>
        <w:tc>
          <w:tcPr>
            <w:tcW w:w="2892"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331" w:hRule="atLeast"/>
        </w:trPr>
        <w:tc>
          <w:tcPr>
            <w:tcW w:w="1073" w:type="pct"/>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4"/>
                <w:szCs w:val="24"/>
              </w:rPr>
            </w:pPr>
          </w:p>
        </w:tc>
        <w:tc>
          <w:tcPr>
            <w:tcW w:w="1035" w:type="pct"/>
            <w:tcBorders>
              <w:top w:val="nil"/>
              <w:left w:val="nil"/>
              <w:bottom w:val="single" w:color="auto" w:sz="4" w:space="0"/>
              <w:right w:val="single" w:color="auto" w:sz="4" w:space="0"/>
            </w:tcBorders>
            <w:vAlign w:val="center"/>
          </w:tcPr>
          <w:p>
            <w:pPr>
              <w:widowControl/>
              <w:jc w:val="right"/>
              <w:rPr>
                <w:rFonts w:ascii="宋体" w:hAnsi="宋体" w:cs="宋体"/>
                <w:b/>
                <w:bCs/>
                <w:kern w:val="0"/>
                <w:sz w:val="24"/>
                <w:szCs w:val="24"/>
              </w:rPr>
            </w:pPr>
            <w:r>
              <w:rPr>
                <w:rFonts w:hint="eastAsia" w:ascii="宋体" w:hAnsi="宋体"/>
                <w:b/>
                <w:bCs/>
                <w:kern w:val="0"/>
                <w:sz w:val="24"/>
                <w:szCs w:val="24"/>
              </w:rPr>
              <w:t>其中：上级资金</w:t>
            </w:r>
          </w:p>
        </w:tc>
        <w:tc>
          <w:tcPr>
            <w:tcW w:w="2892"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367" w:hRule="atLeast"/>
        </w:trPr>
        <w:tc>
          <w:tcPr>
            <w:tcW w:w="1073" w:type="pct"/>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4"/>
                <w:szCs w:val="24"/>
              </w:rPr>
            </w:pPr>
          </w:p>
        </w:tc>
        <w:tc>
          <w:tcPr>
            <w:tcW w:w="1035" w:type="pct"/>
            <w:tcBorders>
              <w:top w:val="nil"/>
              <w:left w:val="nil"/>
              <w:bottom w:val="single" w:color="auto" w:sz="4" w:space="0"/>
              <w:right w:val="single" w:color="auto" w:sz="4" w:space="0"/>
            </w:tcBorders>
            <w:vAlign w:val="center"/>
          </w:tcPr>
          <w:p>
            <w:pPr>
              <w:widowControl/>
              <w:jc w:val="right"/>
              <w:rPr>
                <w:rFonts w:ascii="宋体" w:hAnsi="宋体" w:cs="宋体"/>
                <w:b/>
                <w:bCs/>
                <w:kern w:val="0"/>
                <w:sz w:val="24"/>
                <w:szCs w:val="24"/>
              </w:rPr>
            </w:pPr>
            <w:r>
              <w:rPr>
                <w:rFonts w:hint="eastAsia" w:ascii="宋体" w:hAnsi="宋体"/>
                <w:b/>
                <w:bCs/>
                <w:kern w:val="0"/>
                <w:sz w:val="24"/>
                <w:szCs w:val="24"/>
              </w:rPr>
              <w:t>县级资金</w:t>
            </w:r>
          </w:p>
        </w:tc>
        <w:tc>
          <w:tcPr>
            <w:tcW w:w="2892"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100</w:t>
            </w:r>
          </w:p>
        </w:tc>
      </w:tr>
      <w:tr>
        <w:tblPrEx>
          <w:tblCellMar>
            <w:top w:w="0" w:type="dxa"/>
            <w:left w:w="108" w:type="dxa"/>
            <w:bottom w:w="0" w:type="dxa"/>
            <w:right w:w="108" w:type="dxa"/>
          </w:tblCellMar>
        </w:tblPrEx>
        <w:trPr>
          <w:trHeight w:val="379" w:hRule="atLeast"/>
        </w:trPr>
        <w:tc>
          <w:tcPr>
            <w:tcW w:w="1073" w:type="pct"/>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4"/>
                <w:szCs w:val="24"/>
              </w:rPr>
            </w:pPr>
          </w:p>
        </w:tc>
        <w:tc>
          <w:tcPr>
            <w:tcW w:w="1035" w:type="pct"/>
            <w:tcBorders>
              <w:top w:val="nil"/>
              <w:left w:val="nil"/>
              <w:bottom w:val="single" w:color="auto" w:sz="4" w:space="0"/>
              <w:right w:val="single" w:color="auto" w:sz="4" w:space="0"/>
            </w:tcBorders>
            <w:vAlign w:val="center"/>
          </w:tcPr>
          <w:p>
            <w:pPr>
              <w:widowControl/>
              <w:jc w:val="right"/>
              <w:rPr>
                <w:rFonts w:ascii="宋体" w:hAnsi="宋体" w:cs="宋体"/>
                <w:b/>
                <w:bCs/>
                <w:kern w:val="0"/>
                <w:sz w:val="24"/>
                <w:szCs w:val="24"/>
              </w:rPr>
            </w:pPr>
            <w:r>
              <w:rPr>
                <w:rFonts w:hint="eastAsia" w:ascii="宋体" w:hAnsi="宋体"/>
                <w:b/>
                <w:bCs/>
                <w:kern w:val="0"/>
                <w:sz w:val="24"/>
                <w:szCs w:val="24"/>
              </w:rPr>
              <w:t>其他资金</w:t>
            </w:r>
          </w:p>
        </w:tc>
        <w:tc>
          <w:tcPr>
            <w:tcW w:w="2892" w:type="pct"/>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62" w:hRule="atLeast"/>
        </w:trPr>
        <w:tc>
          <w:tcPr>
            <w:tcW w:w="474"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项目概况及总体目标</w:t>
            </w:r>
          </w:p>
        </w:tc>
        <w:tc>
          <w:tcPr>
            <w:tcW w:w="298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年度目标</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年度总体目标计划完成情况</w:t>
            </w:r>
          </w:p>
        </w:tc>
      </w:tr>
      <w:tr>
        <w:tblPrEx>
          <w:tblCellMar>
            <w:top w:w="0" w:type="dxa"/>
            <w:left w:w="108" w:type="dxa"/>
            <w:bottom w:w="0" w:type="dxa"/>
            <w:right w:w="108" w:type="dxa"/>
          </w:tblCellMar>
        </w:tblPrEx>
        <w:trPr>
          <w:trHeight w:val="816"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2986" w:type="pct"/>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据乐亭县县级储备粮管理办法规定，落实粮食购销政策，确保粮食流通规范有序，确保县级储备粮安全、有效发挥储备粮在宏观调控中的作用。</w:t>
            </w:r>
          </w:p>
        </w:tc>
        <w:tc>
          <w:tcPr>
            <w:tcW w:w="154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确保粮食收的进、储的好、用的上。</w:t>
            </w:r>
          </w:p>
        </w:tc>
      </w:tr>
      <w:tr>
        <w:tblPrEx>
          <w:tblCellMar>
            <w:top w:w="0" w:type="dxa"/>
            <w:left w:w="108" w:type="dxa"/>
            <w:bottom w:w="0" w:type="dxa"/>
            <w:right w:w="108" w:type="dxa"/>
          </w:tblCellMar>
        </w:tblPrEx>
        <w:trPr>
          <w:trHeight w:val="402" w:hRule="atLeast"/>
        </w:trPr>
        <w:tc>
          <w:tcPr>
            <w:tcW w:w="474"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绩效指标</w:t>
            </w:r>
          </w:p>
        </w:tc>
        <w:tc>
          <w:tcPr>
            <w:tcW w:w="599"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一级指标</w:t>
            </w:r>
          </w:p>
        </w:tc>
        <w:tc>
          <w:tcPr>
            <w:tcW w:w="1035"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二级指标</w:t>
            </w:r>
          </w:p>
        </w:tc>
        <w:tc>
          <w:tcPr>
            <w:tcW w:w="1351"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三级指标</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指标值</w:t>
            </w:r>
          </w:p>
        </w:tc>
      </w:tr>
      <w:tr>
        <w:tblPrEx>
          <w:tblCellMar>
            <w:top w:w="0" w:type="dxa"/>
            <w:left w:w="108" w:type="dxa"/>
            <w:bottom w:w="0" w:type="dxa"/>
            <w:right w:w="108" w:type="dxa"/>
          </w:tblCellMar>
        </w:tblPrEx>
        <w:trPr>
          <w:trHeight w:val="357"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vMerge w:val="restart"/>
            <w:tcBorders>
              <w:top w:val="nil"/>
              <w:left w:val="nil"/>
              <w:bottom w:val="single" w:color="000000"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产出指标</w:t>
            </w:r>
          </w:p>
        </w:tc>
        <w:tc>
          <w:tcPr>
            <w:tcW w:w="1035" w:type="pct"/>
            <w:vMerge w:val="restart"/>
            <w:tcBorders>
              <w:top w:val="nil"/>
              <w:left w:val="nil"/>
              <w:bottom w:val="single" w:color="000000"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数量指标</w:t>
            </w: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玉米储备数量（吨）</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8000</w:t>
            </w:r>
          </w:p>
        </w:tc>
      </w:tr>
      <w:tr>
        <w:tblPrEx>
          <w:tblCellMar>
            <w:top w:w="0" w:type="dxa"/>
            <w:left w:w="108" w:type="dxa"/>
            <w:bottom w:w="0" w:type="dxa"/>
            <w:right w:w="108" w:type="dxa"/>
          </w:tblCellMar>
        </w:tblPrEx>
        <w:trPr>
          <w:trHeight w:val="393"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35"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小麦储备数量（吨）</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4527</w:t>
            </w:r>
          </w:p>
        </w:tc>
      </w:tr>
      <w:tr>
        <w:tblPrEx>
          <w:tblCellMar>
            <w:top w:w="0" w:type="dxa"/>
            <w:left w:w="108" w:type="dxa"/>
            <w:bottom w:w="0" w:type="dxa"/>
            <w:right w:w="108" w:type="dxa"/>
          </w:tblCellMar>
        </w:tblPrEx>
        <w:trPr>
          <w:trHeight w:val="357"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35"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质量指标</w:t>
            </w: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储备粮质量</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符合国家标准</w:t>
            </w:r>
          </w:p>
        </w:tc>
      </w:tr>
      <w:tr>
        <w:tblPrEx>
          <w:tblCellMar>
            <w:top w:w="0" w:type="dxa"/>
            <w:left w:w="108" w:type="dxa"/>
            <w:bottom w:w="0" w:type="dxa"/>
            <w:right w:w="108" w:type="dxa"/>
          </w:tblCellMar>
        </w:tblPrEx>
        <w:trPr>
          <w:trHeight w:val="90"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35" w:type="pct"/>
            <w:vMerge w:val="restart"/>
            <w:tcBorders>
              <w:top w:val="nil"/>
              <w:left w:val="nil"/>
              <w:bottom w:val="single" w:color="000000"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成本指标</w:t>
            </w: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每吨轮换费用（元）</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 xml:space="preserve">120.00 </w:t>
            </w:r>
          </w:p>
        </w:tc>
      </w:tr>
      <w:tr>
        <w:tblPrEx>
          <w:tblCellMar>
            <w:top w:w="0" w:type="dxa"/>
            <w:left w:w="108" w:type="dxa"/>
            <w:bottom w:w="0" w:type="dxa"/>
            <w:right w:w="108" w:type="dxa"/>
          </w:tblCellMar>
        </w:tblPrEx>
        <w:trPr>
          <w:trHeight w:val="357"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35"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每吨储存费用（元）</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 xml:space="preserve">86.00 </w:t>
            </w:r>
          </w:p>
        </w:tc>
      </w:tr>
      <w:tr>
        <w:tblPrEx>
          <w:tblCellMar>
            <w:top w:w="0" w:type="dxa"/>
            <w:left w:w="108" w:type="dxa"/>
            <w:bottom w:w="0" w:type="dxa"/>
            <w:right w:w="108" w:type="dxa"/>
          </w:tblCellMar>
        </w:tblPrEx>
        <w:trPr>
          <w:trHeight w:val="117"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35"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贷款利息费用（万元）</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 xml:space="preserve">150.00 </w:t>
            </w:r>
          </w:p>
        </w:tc>
      </w:tr>
      <w:tr>
        <w:tblPrEx>
          <w:tblCellMar>
            <w:top w:w="0" w:type="dxa"/>
            <w:left w:w="108" w:type="dxa"/>
            <w:bottom w:w="0" w:type="dxa"/>
            <w:right w:w="108" w:type="dxa"/>
          </w:tblCellMar>
        </w:tblPrEx>
        <w:trPr>
          <w:trHeight w:val="405"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35"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时效指标</w:t>
            </w: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olor w:val="000000"/>
                <w:kern w:val="0"/>
                <w:sz w:val="24"/>
                <w:szCs w:val="24"/>
              </w:rPr>
              <w:t>项目完成时限</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2021年12月底　</w:t>
            </w:r>
          </w:p>
        </w:tc>
      </w:tr>
      <w:tr>
        <w:tblPrEx>
          <w:tblCellMar>
            <w:top w:w="0" w:type="dxa"/>
            <w:left w:w="108" w:type="dxa"/>
            <w:bottom w:w="0" w:type="dxa"/>
            <w:right w:w="108" w:type="dxa"/>
          </w:tblCellMar>
        </w:tblPrEx>
        <w:trPr>
          <w:trHeight w:val="333"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35"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社会效益指标</w:t>
            </w: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保障储备粮安全及供应</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100%</w:t>
            </w:r>
          </w:p>
        </w:tc>
      </w:tr>
      <w:tr>
        <w:tblPrEx>
          <w:tblCellMar>
            <w:top w:w="0" w:type="dxa"/>
            <w:left w:w="108" w:type="dxa"/>
            <w:bottom w:w="0" w:type="dxa"/>
            <w:right w:w="108" w:type="dxa"/>
          </w:tblCellMar>
        </w:tblPrEx>
        <w:trPr>
          <w:trHeight w:val="416"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满意度指标</w:t>
            </w:r>
          </w:p>
        </w:tc>
        <w:tc>
          <w:tcPr>
            <w:tcW w:w="1035"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服务对象满意度指标</w:t>
            </w: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企业满意度</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≥99%</w:t>
            </w:r>
          </w:p>
        </w:tc>
      </w:tr>
    </w:tbl>
    <w:p>
      <w:pPr>
        <w:widowControl/>
        <w:spacing w:line="360" w:lineRule="auto"/>
        <w:ind w:firstLine="640"/>
        <w:rPr>
          <w:rFonts w:hint="eastAsia" w:ascii="宋体" w:hAnsi="宋体"/>
          <w:b/>
          <w:color w:val="333333"/>
          <w:kern w:val="0"/>
          <w:sz w:val="32"/>
          <w:szCs w:val="32"/>
        </w:rPr>
      </w:pPr>
      <w:r>
        <w:rPr>
          <w:rFonts w:hint="eastAsia" w:ascii="宋体" w:hAnsi="宋体"/>
          <w:b/>
          <w:color w:val="333333"/>
          <w:kern w:val="0"/>
          <w:sz w:val="32"/>
          <w:szCs w:val="32"/>
        </w:rPr>
        <w:t>十、其他需要说明的情况</w:t>
      </w:r>
    </w:p>
    <w:p>
      <w:pPr>
        <w:adjustRightInd w:val="0"/>
        <w:snapToGrid w:val="0"/>
        <w:spacing w:line="560" w:lineRule="exact"/>
        <w:ind w:firstLine="640" w:firstLineChars="200"/>
        <w:rPr>
          <w:rFonts w:hint="eastAsia" w:ascii="宋体" w:hAnsi="宋体"/>
          <w:sz w:val="32"/>
          <w:szCs w:val="32"/>
        </w:rPr>
      </w:pPr>
      <w:r>
        <w:rPr>
          <w:rFonts w:hint="eastAsia" w:ascii="宋体" w:hAnsi="宋体"/>
          <w:sz w:val="32"/>
          <w:szCs w:val="32"/>
        </w:rPr>
        <w:t>1、乐亭县发展和改革局2021年</w:t>
      </w:r>
      <w:r>
        <w:rPr>
          <w:rFonts w:hint="eastAsia" w:ascii="宋体" w:hAnsi="宋体"/>
          <w:sz w:val="32"/>
          <w:szCs w:val="32"/>
          <w:lang w:eastAsia="zh-CN"/>
        </w:rPr>
        <w:t>部门</w:t>
      </w:r>
      <w:r>
        <w:rPr>
          <w:rFonts w:hint="eastAsia" w:ascii="宋体" w:hAnsi="宋体"/>
          <w:sz w:val="32"/>
          <w:szCs w:val="32"/>
        </w:rPr>
        <w:t>预算中未安排政府性基金预算，故政府性基金预算支出表为空。</w:t>
      </w:r>
    </w:p>
    <w:p>
      <w:pPr>
        <w:adjustRightInd w:val="0"/>
        <w:snapToGrid w:val="0"/>
        <w:spacing w:line="560" w:lineRule="exact"/>
        <w:ind w:firstLine="640" w:firstLineChars="200"/>
        <w:rPr>
          <w:rFonts w:hint="eastAsia" w:ascii="方正仿宋简体" w:hAnsi="宋体" w:cs="Arial"/>
          <w:color w:val="333333"/>
          <w:kern w:val="0"/>
          <w:sz w:val="32"/>
          <w:szCs w:val="32"/>
        </w:rPr>
      </w:pPr>
      <w:r>
        <w:rPr>
          <w:rFonts w:hint="eastAsia" w:ascii="宋体" w:hAnsi="宋体"/>
          <w:sz w:val="32"/>
          <w:szCs w:val="32"/>
        </w:rPr>
        <w:t>2、乐亭县发展和改革局2021年</w:t>
      </w:r>
      <w:r>
        <w:rPr>
          <w:rFonts w:hint="eastAsia" w:ascii="宋体" w:hAnsi="宋体"/>
          <w:sz w:val="32"/>
          <w:szCs w:val="32"/>
          <w:lang w:eastAsia="zh-CN"/>
        </w:rPr>
        <w:t>部门</w:t>
      </w:r>
      <w:r>
        <w:rPr>
          <w:rFonts w:hint="eastAsia" w:ascii="宋体" w:hAnsi="宋体"/>
          <w:sz w:val="32"/>
          <w:szCs w:val="32"/>
        </w:rPr>
        <w:t>预算中未安排国有资本经营预算，故国有资本经营预算支出表为空。</w:t>
      </w:r>
      <w:r>
        <w:rPr>
          <w:rFonts w:ascii="方正仿宋简体" w:hAnsi="宋体" w:cs="Arial"/>
          <w:color w:val="333333"/>
          <w:kern w:val="0"/>
          <w:sz w:val="32"/>
          <w:szCs w:val="32"/>
        </w:rPr>
        <w:t xml:space="preserve"> </w:t>
      </w:r>
    </w:p>
    <w:p/>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宋体-方正超大字符集">
    <w:altName w:val="Times New Roman"/>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小标宋简体">
    <w:altName w:val="Times New Roman"/>
    <w:panose1 w:val="00000000000000000000"/>
    <w:charset w:val="00"/>
    <w:family w:val="auto"/>
    <w:pitch w:val="default"/>
    <w:sig w:usb0="00000000" w:usb1="00000000" w:usb2="00000000" w:usb3="00000000" w:csb0="00000000" w:csb1="00000000"/>
  </w:font>
  <w:font w:name="方正仿宋简体">
    <w:altName w:val="Times New Roman"/>
    <w:panose1 w:val="00000000000000000000"/>
    <w:charset w:val="00"/>
    <w:family w:val="auto"/>
    <w:pitch w:val="default"/>
    <w:sig w:usb0="00000000" w:usb1="00000000" w:usb2="00000000" w:usb3="00000000" w:csb0="00000000" w:csb1="00000000"/>
  </w:font>
  <w:font w:name="方正黑体简体">
    <w:altName w:val="Times New Roman"/>
    <w:panose1 w:val="00000000000000000000"/>
    <w:charset w:val="00"/>
    <w:family w:val="auto"/>
    <w:pitch w:val="default"/>
    <w:sig w:usb0="00000000" w:usb1="00000000" w:usb2="00000000" w:usb3="00000000" w:csb0="00000000" w:csb1="00000000"/>
  </w:font>
  <w:font w:name="方正楷体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4805A9"/>
    <w:multiLevelType w:val="multilevel"/>
    <w:tmpl w:val="424805A9"/>
    <w:lvl w:ilvl="0" w:tentative="0">
      <w:start w:val="2"/>
      <w:numFmt w:val="japaneseCounting"/>
      <w:lvlText w:val="（%1）"/>
      <w:lvlJc w:val="left"/>
      <w:pPr>
        <w:ind w:left="1709" w:hanging="1080"/>
      </w:pPr>
      <w:rPr>
        <w:rFonts w:hint="default" w:ascii="Times New Roman" w:hAnsi="Times New Roman" w:cs="Times New Roman"/>
      </w:rPr>
    </w:lvl>
    <w:lvl w:ilvl="1" w:tentative="0">
      <w:start w:val="1"/>
      <w:numFmt w:val="lowerLetter"/>
      <w:lvlText w:val="%2)"/>
      <w:lvlJc w:val="left"/>
      <w:pPr>
        <w:ind w:left="1469" w:hanging="420"/>
      </w:pPr>
      <w:rPr>
        <w:rFonts w:hint="default" w:ascii="Times New Roman" w:hAnsi="Times New Roman" w:cs="Times New Roman"/>
      </w:rPr>
    </w:lvl>
    <w:lvl w:ilvl="2" w:tentative="0">
      <w:start w:val="1"/>
      <w:numFmt w:val="lowerRoman"/>
      <w:lvlText w:val="%3."/>
      <w:lvlJc w:val="right"/>
      <w:pPr>
        <w:ind w:left="1889" w:hanging="420"/>
      </w:pPr>
      <w:rPr>
        <w:rFonts w:hint="default" w:ascii="Times New Roman" w:hAnsi="Times New Roman" w:cs="Times New Roman"/>
      </w:rPr>
    </w:lvl>
    <w:lvl w:ilvl="3" w:tentative="0">
      <w:start w:val="1"/>
      <w:numFmt w:val="decimal"/>
      <w:lvlText w:val="%4."/>
      <w:lvlJc w:val="left"/>
      <w:pPr>
        <w:ind w:left="2309" w:hanging="420"/>
      </w:pPr>
      <w:rPr>
        <w:rFonts w:hint="default" w:ascii="Times New Roman" w:hAnsi="Times New Roman" w:cs="Times New Roman"/>
      </w:rPr>
    </w:lvl>
    <w:lvl w:ilvl="4" w:tentative="0">
      <w:start w:val="1"/>
      <w:numFmt w:val="lowerLetter"/>
      <w:lvlText w:val="%5)"/>
      <w:lvlJc w:val="left"/>
      <w:pPr>
        <w:ind w:left="2729" w:hanging="420"/>
      </w:pPr>
      <w:rPr>
        <w:rFonts w:hint="default" w:ascii="Times New Roman" w:hAnsi="Times New Roman" w:cs="Times New Roman"/>
      </w:rPr>
    </w:lvl>
    <w:lvl w:ilvl="5" w:tentative="0">
      <w:start w:val="1"/>
      <w:numFmt w:val="lowerRoman"/>
      <w:lvlText w:val="%6."/>
      <w:lvlJc w:val="right"/>
      <w:pPr>
        <w:ind w:left="3149" w:hanging="420"/>
      </w:pPr>
      <w:rPr>
        <w:rFonts w:hint="default" w:ascii="Times New Roman" w:hAnsi="Times New Roman" w:cs="Times New Roman"/>
      </w:rPr>
    </w:lvl>
    <w:lvl w:ilvl="6" w:tentative="0">
      <w:start w:val="1"/>
      <w:numFmt w:val="decimal"/>
      <w:lvlText w:val="%7."/>
      <w:lvlJc w:val="left"/>
      <w:pPr>
        <w:ind w:left="3569" w:hanging="420"/>
      </w:pPr>
      <w:rPr>
        <w:rFonts w:hint="default" w:ascii="Times New Roman" w:hAnsi="Times New Roman" w:cs="Times New Roman"/>
      </w:rPr>
    </w:lvl>
    <w:lvl w:ilvl="7" w:tentative="0">
      <w:start w:val="1"/>
      <w:numFmt w:val="lowerLetter"/>
      <w:lvlText w:val="%8)"/>
      <w:lvlJc w:val="left"/>
      <w:pPr>
        <w:ind w:left="3989" w:hanging="420"/>
      </w:pPr>
      <w:rPr>
        <w:rFonts w:hint="default" w:ascii="Times New Roman" w:hAnsi="Times New Roman" w:cs="Times New Roman"/>
      </w:rPr>
    </w:lvl>
    <w:lvl w:ilvl="8" w:tentative="0">
      <w:start w:val="1"/>
      <w:numFmt w:val="lowerRoman"/>
      <w:lvlText w:val="%9."/>
      <w:lvlJc w:val="right"/>
      <w:pPr>
        <w:ind w:left="4409" w:hanging="420"/>
      </w:pPr>
      <w:rPr>
        <w:rFonts w:hint="default" w:ascii="Times New Roman" w:hAnsi="Times New Roman"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5YmY5ZjNkM2YxMmM3ZDdhYjE3NjJmMTAxYTA0MzgifQ=="/>
  </w:docVars>
  <w:rsids>
    <w:rsidRoot w:val="005879D9"/>
    <w:rsid w:val="002761F6"/>
    <w:rsid w:val="005879D9"/>
    <w:rsid w:val="00694536"/>
    <w:rsid w:val="00A4683D"/>
    <w:rsid w:val="032B4987"/>
    <w:rsid w:val="08927991"/>
    <w:rsid w:val="0DC16EB3"/>
    <w:rsid w:val="1C783BAD"/>
    <w:rsid w:val="1EA16E61"/>
    <w:rsid w:val="432E715D"/>
    <w:rsid w:val="4CC26D86"/>
    <w:rsid w:val="6EE364B1"/>
    <w:rsid w:val="76333A0E"/>
    <w:rsid w:val="76E13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toc 3"/>
    <w:basedOn w:val="1"/>
    <w:next w:val="1"/>
    <w:unhideWhenUsed/>
    <w:qFormat/>
    <w:uiPriority w:val="39"/>
    <w:pPr>
      <w:ind w:left="840" w:leftChars="4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autoRedefine/>
    <w:unhideWhenUsed/>
    <w:qFormat/>
    <w:uiPriority w:val="39"/>
    <w:pPr>
      <w:ind w:left="420" w:leftChars="200"/>
    </w:pPr>
  </w:style>
  <w:style w:type="paragraph" w:styleId="7">
    <w:name w:val="Normal (Web)"/>
    <w:basedOn w:val="1"/>
    <w:autoRedefine/>
    <w:semiHidden/>
    <w:unhideWhenUsed/>
    <w:qFormat/>
    <w:uiPriority w:val="99"/>
    <w:pPr>
      <w:spacing w:before="100" w:beforeAutospacing="1" w:after="100" w:afterAutospacing="1"/>
      <w:jc w:val="left"/>
    </w:pPr>
    <w:rPr>
      <w:rFonts w:ascii="方正黑体_GBK" w:hAnsi="方正黑体_GBK" w:cs="宋体"/>
      <w:kern w:val="0"/>
      <w:sz w:val="24"/>
      <w:szCs w:val="24"/>
    </w:rPr>
  </w:style>
  <w:style w:type="paragraph" w:styleId="8">
    <w:name w:val="Title"/>
    <w:basedOn w:val="1"/>
    <w:next w:val="1"/>
    <w:link w:val="14"/>
    <w:autoRedefine/>
    <w:qFormat/>
    <w:uiPriority w:val="99"/>
    <w:pPr>
      <w:spacing w:before="240" w:after="60"/>
      <w:jc w:val="center"/>
      <w:outlineLvl w:val="0"/>
    </w:pPr>
    <w:rPr>
      <w:rFonts w:ascii="Cambria" w:hAnsi="Cambria" w:cs="宋体"/>
      <w:b/>
      <w:bCs/>
      <w:sz w:val="32"/>
      <w:szCs w:val="32"/>
    </w:rPr>
  </w:style>
  <w:style w:type="character" w:styleId="11">
    <w:name w:val="Hyperlink"/>
    <w:basedOn w:val="10"/>
    <w:unhideWhenUsed/>
    <w:qFormat/>
    <w:uiPriority w:val="99"/>
    <w:rPr>
      <w:color w:val="0000FF"/>
      <w:u w:val="single"/>
    </w:rPr>
  </w:style>
  <w:style w:type="paragraph" w:customStyle="1" w:styleId="12">
    <w:name w:val="List Paragraph"/>
    <w:basedOn w:val="1"/>
    <w:qFormat/>
    <w:uiPriority w:val="0"/>
    <w:pPr>
      <w:ind w:firstLine="420" w:firstLineChars="200"/>
    </w:pPr>
    <w:rPr>
      <w:rFonts w:ascii="Calibri" w:hAnsi="Calibri" w:cs="宋体"/>
    </w:rPr>
  </w:style>
  <w:style w:type="paragraph" w:customStyle="1" w:styleId="13">
    <w:name w:val="List Paragraph1"/>
    <w:basedOn w:val="1"/>
    <w:qFormat/>
    <w:uiPriority w:val="0"/>
    <w:pPr>
      <w:ind w:firstLine="420" w:firstLineChars="200"/>
    </w:pPr>
    <w:rPr>
      <w:rFonts w:ascii="方正黑体_GBK" w:hAnsi="方正黑体_GBK" w:cs="宋体"/>
    </w:rPr>
  </w:style>
  <w:style w:type="character" w:customStyle="1" w:styleId="14">
    <w:name w:val="标题 Char"/>
    <w:basedOn w:val="10"/>
    <w:link w:val="8"/>
    <w:qFormat/>
    <w:uiPriority w:val="99"/>
    <w:rPr>
      <w:rFonts w:ascii="Cambria" w:hAnsi="Cambria" w:eastAsia="宋体" w:cs="宋体"/>
      <w:b/>
      <w:bCs/>
      <w:sz w:val="32"/>
      <w:szCs w:val="32"/>
    </w:rPr>
  </w:style>
  <w:style w:type="character" w:customStyle="1" w:styleId="15">
    <w:name w:val="10"/>
    <w:basedOn w:val="10"/>
    <w:qFormat/>
    <w:uiPriority w:val="0"/>
    <w:rPr>
      <w:rFonts w:hint="default" w:ascii="Calibri" w:hAnsi="Calibri"/>
    </w:rPr>
  </w:style>
  <w:style w:type="character" w:customStyle="1" w:styleId="16">
    <w:name w:val="15"/>
    <w:basedOn w:val="10"/>
    <w:qFormat/>
    <w:uiPriority w:val="0"/>
    <w:rPr>
      <w:rFonts w:hint="eastAsia" w:ascii="宋体" w:hAnsi="宋体" w:eastAsia="宋体"/>
      <w:b/>
      <w:bCs/>
      <w:color w:val="000000"/>
      <w:sz w:val="20"/>
      <w:szCs w:val="20"/>
    </w:rPr>
  </w:style>
  <w:style w:type="character" w:customStyle="1" w:styleId="17">
    <w:name w:val="16"/>
    <w:basedOn w:val="10"/>
    <w:qFormat/>
    <w:uiPriority w:val="0"/>
    <w:rPr>
      <w:rFonts w:hint="eastAsia" w:ascii="宋体" w:hAnsi="宋体" w:eastAsia="宋体"/>
      <w:b/>
      <w:bCs/>
      <w:color w:val="000000"/>
      <w:sz w:val="20"/>
      <w:szCs w:val="20"/>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13318</Words>
  <Characters>18520</Characters>
  <Lines>138</Lines>
  <Paragraphs>38</Paragraphs>
  <TotalTime>14</TotalTime>
  <ScaleCrop>false</ScaleCrop>
  <LinksUpToDate>false</LinksUpToDate>
  <CharactersWithSpaces>18791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2022-09-16T02:46:00Z</dcterms:created>
  <dc:creator>Administrator</dc:creator>
  <cp:lastModifiedBy>WPS_1607043127</cp:lastModifiedBy>
  <dcterms:modified xsi:type="dcterms:W3CDTF">2024-01-15T01:54:47Z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BA1128A0000A48738E6D9A6162AA9549</vt:lpwstr>
  </property>
</Properties>
</file>