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72"/>
        </w:rPr>
        <w:t>滦河口发展服务中心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72"/>
        </w:rPr>
        <w:t>2022年部门预算绩效文本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bookmarkStart w:id="5" w:name="_GoBack"/>
      <w:bookmarkEnd w:id="5"/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ascii="方正楷体_GBK" w:hAnsi="方正楷体_GBK" w:eastAsia="方正楷体_GBK" w:cs="方正楷体_GBK"/>
          <w:b/>
          <w:i w:val="0"/>
          <w:caps w:val="0"/>
          <w:color w:val="000000"/>
          <w:spacing w:val="0"/>
          <w:w w:val="100"/>
          <w:sz w:val="32"/>
        </w:rPr>
        <w:t>滦河口发展服务中心编制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i w:val="0"/>
          <w:caps w:val="0"/>
          <w:color w:val="000000"/>
          <w:spacing w:val="0"/>
          <w:w w:val="100"/>
          <w:sz w:val="32"/>
          <w:lang w:eastAsia="zh-CN"/>
        </w:rPr>
        <w:t>乐亭县</w:t>
      </w:r>
      <w:r>
        <w:rPr>
          <w:rFonts w:ascii="方正楷体_GBK" w:hAnsi="方正楷体_GBK" w:eastAsia="方正楷体_GBK" w:cs="方正楷体_GBK"/>
          <w:b/>
          <w:i w:val="0"/>
          <w:caps w:val="0"/>
          <w:color w:val="000000"/>
          <w:spacing w:val="0"/>
          <w:w w:val="100"/>
          <w:sz w:val="32"/>
        </w:rPr>
        <w:t>财政局审核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36"/>
        </w:rPr>
        <w:t>目    录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30"/>
        </w:rPr>
        <w:t>第一部分 部门整体绩效目标</w:t>
      </w:r>
    </w:p>
    <w:p>
      <w:pPr>
        <w:pStyle w:val="17"/>
        <w:tabs>
          <w:tab w:val="right" w:leader="dot" w:pos="9282"/>
        </w:tabs>
        <w:snapToGrid w:val="0"/>
        <w:spacing w:before="120" w:beforeAutospacing="0" w:after="0" w:afterAutospacing="0" w:line="240" w:lineRule="auto"/>
        <w:textAlignment w:val="baseline"/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HYPERLINK  \l "_Toc_2_2_0000000001" </w:instrText>
      </w:r>
      <w:r>
        <w:fldChar w:fldCharType="separate"/>
      </w:r>
      <w:r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  <w:t>一、总体绩效目标</w:t>
      </w:r>
      <w:r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  <w:snapToGrid w:val="0"/>
        <w:spacing w:before="120" w:beforeAutospacing="0" w:after="0" w:afterAutospacing="0" w:line="240" w:lineRule="auto"/>
        <w:textAlignment w:val="baseline"/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</w:pPr>
      <w:r>
        <w:fldChar w:fldCharType="begin"/>
      </w:r>
      <w:r>
        <w:instrText xml:space="preserve">HYPERLINK  \l "_Toc_2_2_0000000002" </w:instrText>
      </w:r>
      <w:r>
        <w:fldChar w:fldCharType="separate"/>
      </w:r>
      <w:r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  <w:t>二、分项绩效目标</w:t>
      </w:r>
      <w:r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  <w:snapToGrid w:val="0"/>
        <w:spacing w:before="120" w:beforeAutospacing="0" w:after="0" w:afterAutospacing="0" w:line="240" w:lineRule="auto"/>
        <w:textAlignment w:val="baseline"/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</w:pPr>
      <w:r>
        <w:fldChar w:fldCharType="begin"/>
      </w:r>
      <w:r>
        <w:instrText xml:space="preserve">HYPERLINK  \l "_Toc_2_2_0000000003" </w:instrText>
      </w:r>
      <w:r>
        <w:fldChar w:fldCharType="separate"/>
      </w:r>
      <w:r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  <w:t>三、工作保障措施</w:t>
      </w:r>
      <w:r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  <w:t>2</w:t>
      </w:r>
      <w:r>
        <w:fldChar w:fldCharType="end"/>
      </w:r>
      <w:r>
        <w:fldChar w:fldCharType="end"/>
      </w:r>
    </w:p>
    <w:p>
      <w:pPr>
        <w:snapToGrid w:val="0"/>
        <w:spacing w:before="0" w:beforeAutospacing="0" w:after="0" w:afterAutospacing="0" w:line="240" w:lineRule="auto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fldChar w:fldCharType="end"/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30"/>
        </w:rPr>
        <w:t>第二部分 预算项目绩效目标</w:t>
      </w:r>
    </w:p>
    <w:p>
      <w:pPr>
        <w:pStyle w:val="17"/>
        <w:tabs>
          <w:tab w:val="right" w:leader="dot" w:pos="9282"/>
        </w:tabs>
        <w:snapToGrid w:val="0"/>
        <w:spacing w:before="120" w:beforeAutospacing="0" w:after="0" w:afterAutospacing="0" w:line="240" w:lineRule="auto"/>
        <w:textAlignment w:val="baseline"/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HYPERLINK  \l "_Toc_4_4_0000000004" </w:instrText>
      </w:r>
      <w:r>
        <w:fldChar w:fldCharType="separate"/>
      </w:r>
      <w:r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  <w:t>1.姜各庄林场森林生态效益补偿绩效目标表</w:t>
      </w:r>
      <w:r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  <w:snapToGrid w:val="0"/>
        <w:spacing w:before="120" w:beforeAutospacing="0" w:after="0" w:afterAutospacing="0" w:line="240" w:lineRule="auto"/>
        <w:textAlignment w:val="baseline"/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</w:pPr>
      <w:r>
        <w:fldChar w:fldCharType="begin"/>
      </w:r>
      <w:r>
        <w:instrText xml:space="preserve">HYPERLINK  \l "_Toc_4_4_0000000005" </w:instrText>
      </w:r>
      <w:r>
        <w:fldChar w:fldCharType="separate"/>
      </w:r>
      <w:r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  <w:t>2.森林草原防灾减灾绩效目标表</w:t>
      </w:r>
      <w:r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rPr>
          <w:rFonts w:eastAsia="方正仿宋_GBK"/>
          <w:b w:val="0"/>
          <w:i w:val="0"/>
          <w:caps w:val="0"/>
          <w:color w:val="000000"/>
          <w:spacing w:val="0"/>
          <w:w w:val="100"/>
          <w:sz w:val="28"/>
        </w:rPr>
        <w:t>5</w:t>
      </w:r>
      <w:r>
        <w:fldChar w:fldCharType="end"/>
      </w:r>
      <w:r>
        <w:fldChar w:fldCharType="end"/>
      </w:r>
    </w:p>
    <w:p>
      <w:pPr>
        <w:snapToGrid w:val="0"/>
        <w:spacing w:before="0" w:beforeAutospacing="0" w:after="0" w:afterAutospacing="0" w:line="240" w:lineRule="auto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fldChar w:fldCharType="end"/>
      </w:r>
    </w:p>
    <w:p>
      <w:pPr>
        <w:snapToGrid w:val="0"/>
        <w:spacing w:before="0" w:beforeAutospacing="0" w:after="0" w:afterAutospacing="0" w:line="240" w:lineRule="auto"/>
        <w:textAlignment w:val="baseline"/>
        <w:rPr>
          <w:b w:val="0"/>
          <w:i w:val="0"/>
          <w:caps w:val="0"/>
          <w:spacing w:val="0"/>
          <w:w w:val="100"/>
          <w:sz w:val="20"/>
        </w:rPr>
        <w:sectPr>
          <w:footerReference r:id="rId10" w:type="default"/>
          <w:footerReference r:id="rId11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Times New Roman"/>
          <w:b w:val="0"/>
          <w:i w:val="0"/>
          <w:caps w:val="0"/>
          <w:spacing w:val="0"/>
          <w:w w:val="100"/>
          <w:sz w:val="24"/>
        </w:rPr>
        <w:br w:type="page"/>
      </w:r>
    </w:p>
    <w:p>
      <w:pPr>
        <w:snapToGrid w:val="0"/>
        <w:spacing w:before="0" w:beforeAutospacing="0" w:after="0" w:afterAutospacing="0" w:line="240" w:lineRule="auto"/>
        <w:textAlignment w:val="baseline"/>
        <w:rPr>
          <w:b w:val="0"/>
          <w:i w:val="0"/>
          <w:caps w:val="0"/>
          <w:spacing w:val="0"/>
          <w:w w:val="100"/>
          <w:sz w:val="20"/>
        </w:rPr>
        <w:sectPr>
          <w:footerReference r:id="rId12" w:type="default"/>
          <w:footerReference r:id="rId13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Times New Roman"/>
          <w:b w:val="0"/>
          <w:i w:val="0"/>
          <w:caps w:val="0"/>
          <w:spacing w:val="0"/>
          <w:w w:val="100"/>
          <w:sz w:val="24"/>
        </w:rPr>
        <w:br/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44"/>
        </w:rPr>
        <w:t>第一部分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44"/>
        </w:rPr>
        <w:t>部门整体绩效目标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10" w:beforeAutospacing="0" w:after="10" w:afterAutospacing="0" w:line="240" w:lineRule="auto"/>
        <w:ind w:firstLine="560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bookmarkStart w:id="0" w:name="_Toc_2_2_0000000001"/>
      <w:r>
        <w:rPr>
          <w:rFonts w:ascii="方正黑体_GBK" w:hAnsi="方正黑体_GBK" w:eastAsia="方正黑体_GBK" w:cs="方正黑体_GBK"/>
          <w:b w:val="0"/>
          <w:i w:val="0"/>
          <w:caps w:val="0"/>
          <w:color w:val="000000"/>
          <w:spacing w:val="0"/>
          <w:w w:val="100"/>
          <w:sz w:val="28"/>
        </w:rPr>
        <w:t>一、总体绩效目标</w:t>
      </w:r>
      <w:bookmarkEnd w:id="0"/>
    </w:p>
    <w:p>
      <w:pPr>
        <w:pStyle w:val="7"/>
        <w:snapToGrid w:val="0"/>
        <w:spacing w:before="0" w:beforeAutospacing="0" w:after="0" w:afterAutospacing="0" w:line="500" w:lineRule="exact"/>
        <w:ind w:firstLine="560"/>
        <w:textAlignment w:val="baseline"/>
        <w:rPr>
          <w:rFonts w:eastAsia="方正仿宋_GBK"/>
          <w:b w:val="0"/>
          <w:i w:val="0"/>
          <w:caps w:val="0"/>
          <w:spacing w:val="0"/>
          <w:w w:val="100"/>
          <w:sz w:val="28"/>
        </w:rPr>
      </w:pPr>
      <w:r>
        <w:rPr>
          <w:rFonts w:eastAsia="方正仿宋_GBK"/>
          <w:b w:val="0"/>
          <w:i w:val="0"/>
          <w:caps w:val="0"/>
          <w:spacing w:val="0"/>
          <w:w w:val="100"/>
          <w:sz w:val="28"/>
        </w:rPr>
        <w:t>以习近平新时代中国特色社会主义思想为指导，坚决贯彻党的基本理论、基本路线、基本方略，紧扣全面建成小康社会目标任务，坚持稳中求进工作总基调，坚持新发展理念，坚持以供给侧结构性改革为主线，以县重点工作为统领，推动高质量发展，全面做好“六稳”工作，统筹推进稳增长、促改革、调结构、惠民生、防风险、保稳定，确保人民生活水平持续提升和社会大局安全稳定，扎实推动建成全国百强美丽乐亭取得新成效。</w:t>
      </w:r>
    </w:p>
    <w:p>
      <w:pPr>
        <w:pStyle w:val="7"/>
        <w:snapToGrid w:val="0"/>
        <w:spacing w:before="0" w:beforeAutospacing="0" w:after="0" w:afterAutospacing="0" w:line="500" w:lineRule="exact"/>
        <w:ind w:firstLine="560"/>
        <w:textAlignment w:val="baseline"/>
        <w:rPr>
          <w:rFonts w:eastAsia="方正仿宋_GBK"/>
          <w:b w:val="0"/>
          <w:i w:val="0"/>
          <w:caps w:val="0"/>
          <w:spacing w:val="0"/>
          <w:w w:val="100"/>
          <w:sz w:val="28"/>
        </w:rPr>
      </w:pPr>
      <w:r>
        <w:rPr>
          <w:rFonts w:eastAsia="方正仿宋_GBK"/>
          <w:b w:val="0"/>
          <w:i w:val="0"/>
          <w:caps w:val="0"/>
          <w:spacing w:val="0"/>
          <w:w w:val="100"/>
          <w:sz w:val="28"/>
        </w:rPr>
        <w:t>滦河口生态旅游区发展服务中心突出生态、健康两大特色，重点发展生态旅游、康养旅游、医疗旅游、休闲旅游、度假旅游，组织招商宣传、项目协调工作；促进森林资源保护与管理，增加森林面积，提高森林质量，加强湿地、自然保护区沙化土地封禁保护能力，降低林业病虫害发生率，推进国有林场改革；森林防火工作是防灾减灾工作重要组成部分，是社会稳定和人民安居乐业的重要保障，事关资源环境保护和生态安全，因此要加强林区防火工作，坚持预防为主，扎实做好修建防火道、防火巡护，提高防火意识</w:t>
      </w:r>
    </w:p>
    <w:p>
      <w:pPr>
        <w:snapToGrid w:val="0"/>
        <w:spacing w:before="10" w:beforeAutospacing="0" w:after="10" w:afterAutospacing="0" w:line="240" w:lineRule="auto"/>
        <w:ind w:firstLine="560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bookmarkStart w:id="1" w:name="_Toc_2_2_0000000002"/>
      <w:r>
        <w:rPr>
          <w:rFonts w:ascii="方正黑体_GBK" w:hAnsi="方正黑体_GBK" w:eastAsia="方正黑体_GBK" w:cs="方正黑体_GBK"/>
          <w:b w:val="0"/>
          <w:i w:val="0"/>
          <w:caps w:val="0"/>
          <w:color w:val="000000"/>
          <w:spacing w:val="0"/>
          <w:w w:val="100"/>
          <w:sz w:val="28"/>
        </w:rPr>
        <w:t>二、分项绩效目标</w:t>
      </w:r>
      <w:bookmarkEnd w:id="1"/>
    </w:p>
    <w:p>
      <w:pPr>
        <w:pStyle w:val="8"/>
        <w:snapToGrid w:val="0"/>
        <w:spacing w:before="0" w:beforeAutospacing="0" w:after="0" w:afterAutospacing="0" w:line="500" w:lineRule="exact"/>
        <w:ind w:firstLine="560"/>
        <w:textAlignment w:val="baseline"/>
        <w:rPr>
          <w:rFonts w:eastAsia="方正仿宋_GBK"/>
          <w:b w:val="0"/>
          <w:i w:val="0"/>
          <w:caps w:val="0"/>
          <w:spacing w:val="0"/>
          <w:w w:val="100"/>
          <w:sz w:val="28"/>
        </w:rPr>
      </w:pPr>
      <w:r>
        <w:rPr>
          <w:rFonts w:eastAsia="方正仿宋_GBK"/>
          <w:b w:val="0"/>
          <w:i w:val="0"/>
          <w:caps w:val="0"/>
          <w:spacing w:val="0"/>
          <w:w w:val="100"/>
          <w:sz w:val="28"/>
        </w:rPr>
        <w:t>1、森林生态效益补偿</w:t>
      </w:r>
    </w:p>
    <w:p>
      <w:pPr>
        <w:pStyle w:val="8"/>
        <w:snapToGrid w:val="0"/>
        <w:spacing w:before="0" w:beforeAutospacing="0" w:after="0" w:afterAutospacing="0" w:line="500" w:lineRule="exact"/>
        <w:ind w:firstLine="560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lang w:eastAsia="zh-CN"/>
        </w:rPr>
      </w:pPr>
      <w:r>
        <w:rPr>
          <w:rFonts w:eastAsia="方正仿宋_GBK"/>
          <w:b w:val="0"/>
          <w:i w:val="0"/>
          <w:caps w:val="0"/>
          <w:spacing w:val="0"/>
          <w:w w:val="100"/>
          <w:sz w:val="28"/>
        </w:rPr>
        <w:t>促进森林资源保护与管理，增加森林面积，2022年实施造林面积500亩，加强中幼林抚育，实施森林抚育1000亩。提高森林质量，降低林业病虫害发生率，计划实施防治美国白蛾飞机喷洒药物2次，涉及有林面积9000亩。</w:t>
      </w:r>
    </w:p>
    <w:p>
      <w:pPr>
        <w:pStyle w:val="8"/>
        <w:snapToGrid w:val="0"/>
        <w:spacing w:before="0" w:beforeAutospacing="0" w:after="0" w:afterAutospacing="0" w:line="500" w:lineRule="exact"/>
        <w:ind w:firstLine="560"/>
        <w:textAlignment w:val="baseline"/>
        <w:rPr>
          <w:rFonts w:eastAsia="方正仿宋_GBK"/>
          <w:b w:val="0"/>
          <w:i w:val="0"/>
          <w:caps w:val="0"/>
          <w:spacing w:val="0"/>
          <w:w w:val="100"/>
          <w:sz w:val="28"/>
        </w:rPr>
      </w:pPr>
      <w:r>
        <w:rPr>
          <w:rFonts w:eastAsia="方正仿宋_GBK"/>
          <w:b w:val="0"/>
          <w:i w:val="0"/>
          <w:caps w:val="0"/>
          <w:spacing w:val="0"/>
          <w:w w:val="100"/>
          <w:sz w:val="28"/>
        </w:rPr>
        <w:t>2、森林草原防灾减灾</w:t>
      </w:r>
    </w:p>
    <w:p>
      <w:pPr>
        <w:pStyle w:val="8"/>
        <w:snapToGrid w:val="0"/>
        <w:spacing w:before="0" w:beforeAutospacing="0" w:after="0" w:afterAutospacing="0" w:line="500" w:lineRule="exact"/>
        <w:ind w:firstLine="560"/>
        <w:textAlignment w:val="baseline"/>
        <w:rPr>
          <w:rFonts w:eastAsia="方正仿宋_GBK"/>
          <w:b w:val="0"/>
          <w:i w:val="0"/>
          <w:caps w:val="0"/>
          <w:spacing w:val="0"/>
          <w:w w:val="100"/>
          <w:sz w:val="28"/>
        </w:rPr>
      </w:pPr>
      <w:r>
        <w:rPr>
          <w:rFonts w:eastAsia="方正仿宋_GBK"/>
          <w:b w:val="0"/>
          <w:i w:val="0"/>
          <w:caps w:val="0"/>
          <w:spacing w:val="0"/>
          <w:w w:val="100"/>
          <w:sz w:val="28"/>
        </w:rPr>
        <w:t>森林防火工作事关环境保护和生态安全，加强林区防火工作，坚持以预防为主的方针，扎实做好修建防火道、防火巡护工作，计划修建防火隔离带50千米，加大防火宣传力度，利用小喇叭宣传防火知识，发放宣传手册，在易发地段张贴防火标语和警示牌，并组成巡逻队，在防火期不间断巡查。</w:t>
      </w:r>
    </w:p>
    <w:p>
      <w:pPr>
        <w:snapToGrid w:val="0"/>
        <w:spacing w:before="10" w:beforeAutospacing="0" w:after="10" w:afterAutospacing="0" w:line="240" w:lineRule="auto"/>
        <w:ind w:firstLine="560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bookmarkStart w:id="2" w:name="_Toc_2_2_0000000003"/>
      <w:r>
        <w:rPr>
          <w:rFonts w:ascii="方正黑体_GBK" w:hAnsi="方正黑体_GBK" w:eastAsia="方正黑体_GBK" w:cs="方正黑体_GBK"/>
          <w:b w:val="0"/>
          <w:i w:val="0"/>
          <w:caps w:val="0"/>
          <w:color w:val="000000"/>
          <w:spacing w:val="0"/>
          <w:w w:val="100"/>
          <w:sz w:val="28"/>
        </w:rPr>
        <w:t>三、工作保障措施</w:t>
      </w:r>
      <w:bookmarkEnd w:id="2"/>
    </w:p>
    <w:p>
      <w:pPr>
        <w:pStyle w:val="9"/>
        <w:snapToGrid w:val="0"/>
        <w:spacing w:before="0" w:beforeAutospacing="0" w:after="0" w:afterAutospacing="0" w:line="500" w:lineRule="exact"/>
        <w:ind w:firstLine="560"/>
        <w:textAlignment w:val="baseline"/>
        <w:rPr>
          <w:rFonts w:eastAsia="方正仿宋_GBK"/>
          <w:b w:val="0"/>
          <w:i w:val="0"/>
          <w:caps w:val="0"/>
          <w:spacing w:val="0"/>
          <w:w w:val="100"/>
          <w:sz w:val="28"/>
        </w:rPr>
      </w:pPr>
      <w:r>
        <w:rPr>
          <w:rFonts w:eastAsia="方正仿宋_GBK"/>
          <w:b w:val="0"/>
          <w:i w:val="0"/>
          <w:caps w:val="0"/>
          <w:spacing w:val="0"/>
          <w:w w:val="100"/>
          <w:sz w:val="28"/>
        </w:rPr>
        <w:t>1、完善制度建设：认真贯彻国家和省有关财经方针、政策，根据预算绩效管理相关要求，制定完善预算绩效管理制度、资金管理办法、工作保障制度等，为全年预算绩效目标的实现奠定制度基础。</w:t>
      </w:r>
    </w:p>
    <w:p>
      <w:pPr>
        <w:pStyle w:val="9"/>
        <w:snapToGrid w:val="0"/>
        <w:spacing w:before="0" w:beforeAutospacing="0" w:after="0" w:afterAutospacing="0" w:line="500" w:lineRule="exact"/>
        <w:ind w:firstLine="560"/>
        <w:textAlignment w:val="baseline"/>
        <w:rPr>
          <w:rFonts w:eastAsia="方正仿宋_GBK"/>
          <w:b w:val="0"/>
          <w:i w:val="0"/>
          <w:caps w:val="0"/>
          <w:spacing w:val="0"/>
          <w:w w:val="100"/>
          <w:sz w:val="28"/>
        </w:rPr>
      </w:pPr>
      <w:r>
        <w:rPr>
          <w:rFonts w:eastAsia="方正仿宋_GBK"/>
          <w:b w:val="0"/>
          <w:i w:val="0"/>
          <w:caps w:val="0"/>
          <w:spacing w:val="0"/>
          <w:w w:val="100"/>
          <w:sz w:val="28"/>
        </w:rPr>
        <w:t>2、加强支出管理:通过优化支出结构、编细编实预算、加快履行政府采购手续、尽快启动项目、及时支付资金。</w:t>
      </w:r>
    </w:p>
    <w:p>
      <w:pPr>
        <w:pStyle w:val="9"/>
        <w:snapToGrid w:val="0"/>
        <w:spacing w:before="0" w:beforeAutospacing="0" w:after="0" w:afterAutospacing="0" w:line="500" w:lineRule="exact"/>
        <w:ind w:firstLine="560"/>
        <w:textAlignment w:val="baseline"/>
        <w:rPr>
          <w:rFonts w:eastAsia="方正仿宋_GBK"/>
          <w:b w:val="0"/>
          <w:i w:val="0"/>
          <w:caps w:val="0"/>
          <w:spacing w:val="0"/>
          <w:w w:val="100"/>
          <w:sz w:val="28"/>
        </w:rPr>
      </w:pPr>
      <w:r>
        <w:rPr>
          <w:rFonts w:eastAsia="方正仿宋_GBK"/>
          <w:b w:val="0"/>
          <w:i w:val="0"/>
          <w:caps w:val="0"/>
          <w:spacing w:val="0"/>
          <w:w w:val="100"/>
          <w:sz w:val="28"/>
        </w:rPr>
        <w:t>3、加强绩效运行监控。按要求开展绩效运行监控，发现问题及时采取措施，确保绩效目标如期保质实现。</w:t>
      </w:r>
    </w:p>
    <w:p>
      <w:pPr>
        <w:pStyle w:val="9"/>
        <w:snapToGrid w:val="0"/>
        <w:spacing w:before="0" w:beforeAutospacing="0" w:after="0" w:afterAutospacing="0" w:line="500" w:lineRule="exact"/>
        <w:ind w:firstLine="560"/>
        <w:textAlignment w:val="baseline"/>
        <w:rPr>
          <w:rFonts w:eastAsia="方正仿宋_GBK"/>
          <w:b w:val="0"/>
          <w:i w:val="0"/>
          <w:caps w:val="0"/>
          <w:spacing w:val="0"/>
          <w:w w:val="100"/>
          <w:sz w:val="28"/>
        </w:rPr>
      </w:pPr>
      <w:r>
        <w:rPr>
          <w:rFonts w:eastAsia="方正仿宋_GBK"/>
          <w:b w:val="0"/>
          <w:i w:val="0"/>
          <w:caps w:val="0"/>
          <w:spacing w:val="0"/>
          <w:w w:val="100"/>
          <w:sz w:val="28"/>
        </w:rPr>
        <w:t>4、做好绩效自评。按要求开展上年度部门预算绩效自评和重点评价工作，对评价中发现的问题及时整改，调整优化支出结构，提高财政资金使用效益。</w:t>
      </w:r>
    </w:p>
    <w:p>
      <w:pPr>
        <w:pStyle w:val="9"/>
        <w:snapToGrid w:val="0"/>
        <w:spacing w:before="0" w:beforeAutospacing="0" w:after="0" w:afterAutospacing="0" w:line="500" w:lineRule="exact"/>
        <w:ind w:firstLine="560"/>
        <w:textAlignment w:val="baseline"/>
        <w:rPr>
          <w:rFonts w:eastAsia="方正仿宋_GBK"/>
          <w:b w:val="0"/>
          <w:i w:val="0"/>
          <w:caps w:val="0"/>
          <w:spacing w:val="0"/>
          <w:w w:val="100"/>
          <w:sz w:val="28"/>
        </w:rPr>
      </w:pPr>
      <w:r>
        <w:rPr>
          <w:rFonts w:eastAsia="方正仿宋_GBK"/>
          <w:b w:val="0"/>
          <w:i w:val="0"/>
          <w:caps w:val="0"/>
          <w:spacing w:val="0"/>
          <w:w w:val="100"/>
          <w:sz w:val="28"/>
        </w:rPr>
        <w:t>5、规范财务资产管理。完善财务管理制度，严格审批程序，加强固定资产登记、使用和报废处置管理，做到支出合理，物尽其用。</w:t>
      </w:r>
    </w:p>
    <w:p>
      <w:pPr>
        <w:pStyle w:val="9"/>
        <w:snapToGrid w:val="0"/>
        <w:spacing w:before="0" w:beforeAutospacing="0" w:after="0" w:afterAutospacing="0" w:line="500" w:lineRule="exact"/>
        <w:ind w:firstLine="560"/>
        <w:textAlignment w:val="baseline"/>
        <w:rPr>
          <w:rFonts w:eastAsia="方正仿宋_GBK"/>
          <w:b w:val="0"/>
          <w:i w:val="0"/>
          <w:caps w:val="0"/>
          <w:spacing w:val="0"/>
          <w:w w:val="100"/>
          <w:sz w:val="28"/>
        </w:rPr>
      </w:pPr>
      <w:r>
        <w:rPr>
          <w:rFonts w:eastAsia="方正仿宋_GBK"/>
          <w:b w:val="0"/>
          <w:i w:val="0"/>
          <w:caps w:val="0"/>
          <w:spacing w:val="0"/>
          <w:w w:val="100"/>
          <w:sz w:val="28"/>
        </w:rPr>
        <w:t>6、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9"/>
        <w:snapToGrid w:val="0"/>
        <w:spacing w:before="0" w:beforeAutospacing="0" w:after="0" w:afterAutospacing="0" w:line="500" w:lineRule="exact"/>
        <w:ind w:firstLine="560"/>
        <w:textAlignment w:val="baseline"/>
        <w:rPr>
          <w:rFonts w:eastAsia="方正仿宋_GBK"/>
          <w:b w:val="0"/>
          <w:i w:val="0"/>
          <w:caps w:val="0"/>
          <w:spacing w:val="0"/>
          <w:w w:val="100"/>
          <w:sz w:val="28"/>
        </w:rPr>
      </w:pPr>
      <w:r>
        <w:rPr>
          <w:rFonts w:eastAsia="方正仿宋_GBK"/>
          <w:b w:val="0"/>
          <w:i w:val="0"/>
          <w:caps w:val="0"/>
          <w:spacing w:val="0"/>
          <w:w w:val="100"/>
          <w:sz w:val="28"/>
        </w:rPr>
        <w:t>7、加强宣传培训调研等。加强人员培训，提高本部门职工业务素质；加强调研，提出优化财政资金配置、提高资金使用效益的意见；加大宣传力度，强化预算绩效管理意识，促进预算绩效管理水平进一步提升。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44"/>
        </w:rPr>
        <w:t>第二部分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44"/>
        </w:rPr>
        <w:t>预算项目绩效目标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ind w:firstLine="560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bookmarkStart w:id="3" w:name="_Toc_4_4_0000000004"/>
      <w:r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28"/>
        </w:rPr>
        <w:t>1.姜各庄林场森林生态效益补偿绩效目标表</w:t>
      </w:r>
      <w:bookmarkEnd w:id="3"/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484002乐亭县滦河口生态旅游区发展服务中心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13022522P00L4L8100029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姜各庄林场森林生态效益补偿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199.00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199.00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用于姜各庄林场人员工资保险支出，日常维护支出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color w:val="FF000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white"/>
              </w:rPr>
              <w:t>保护林业资源，实施造林面积500亩。</w:t>
            </w:r>
          </w:p>
        </w:tc>
      </w:tr>
    </w:tbl>
    <w:p>
      <w:pPr>
        <w:snapToGrid w:val="0"/>
        <w:spacing w:before="0" w:beforeAutospacing="0" w:after="0" w:afterAutospacing="0" w:line="2" w:lineRule="exact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color w:val="FF000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white"/>
              </w:rPr>
              <w:t>造林面积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color w:val="FF000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white"/>
              </w:rPr>
              <w:t>当年完成的造林面积数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500亩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2022年度工作安排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color w:val="FF000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white"/>
              </w:rPr>
              <w:t>森林抚育面积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color w:val="FF000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white"/>
              </w:rPr>
              <w:t>当年完成的森林抚育面积数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1000亩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2022年度工作安排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造林投入成本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造林所需成本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199万元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2022年度工作安排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按工作时效完成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当年完成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2022年度工作安排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涵养水土、防风固沙、净化空气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森林储蓄量增加、保护水土、改善空气质量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逐年提升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2022年度工作安排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林业有害生物成灾率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林业有害生物成灾面积与森林面积比率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逐年降低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2022年度工作安排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林区树木可持续生长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树木持续增长对生态环境的影响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逐年提升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2022年度工作安排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95%以上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2022年度工作安排</w:t>
            </w:r>
          </w:p>
        </w:tc>
      </w:tr>
    </w:tbl>
    <w:p>
      <w:pPr>
        <w:snapToGrid w:val="0"/>
        <w:spacing w:before="0" w:beforeAutospacing="0" w:after="0" w:afterAutospacing="0" w:line="240" w:lineRule="auto"/>
        <w:textAlignment w:val="baseline"/>
        <w:rPr>
          <w:b w:val="0"/>
          <w:i w:val="0"/>
          <w:caps w:val="0"/>
          <w:spacing w:val="0"/>
          <w:w w:val="100"/>
          <w:sz w:val="20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ind w:firstLine="560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bookmarkStart w:id="4" w:name="_Toc_4_4_0000000005"/>
      <w:r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28"/>
        </w:rPr>
        <w:t>2.森林草原防灾减灾绩效目标表</w:t>
      </w:r>
      <w:bookmarkEnd w:id="4"/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484002乐亭县滦河口生态旅游区发展服务中心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130225216EU1I0PT0GNDB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森林草原防灾减灾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森林防火，修建防火道，防火宣传。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1.修防火道50千米</w:t>
            </w:r>
          </w:p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2.防火宣传</w:t>
            </w:r>
          </w:p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3.森林防火巡查</w:t>
            </w:r>
          </w:p>
        </w:tc>
      </w:tr>
    </w:tbl>
    <w:p>
      <w:pPr>
        <w:snapToGrid w:val="0"/>
        <w:spacing w:before="0" w:beforeAutospacing="0" w:after="0" w:afterAutospacing="0" w:line="2" w:lineRule="exact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938"/>
        <w:gridCol w:w="1229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三级指标</w:t>
            </w:r>
          </w:p>
        </w:tc>
        <w:tc>
          <w:tcPr>
            <w:tcW w:w="2938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绩效指标描述</w:t>
            </w:r>
          </w:p>
        </w:tc>
        <w:tc>
          <w:tcPr>
            <w:tcW w:w="1229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/>
                <w:i w:val="0"/>
                <w:caps w:val="0"/>
                <w:spacing w:val="0"/>
                <w:w w:val="100"/>
                <w:sz w:val="21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修防火隔离带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长度</w:t>
            </w:r>
          </w:p>
        </w:tc>
        <w:tc>
          <w:tcPr>
            <w:tcW w:w="2938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修防火隔离带</w:t>
            </w:r>
          </w:p>
        </w:tc>
        <w:tc>
          <w:tcPr>
            <w:tcW w:w="1229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≥50千米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2022年度工作安排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防火道验收合格率</w:t>
            </w:r>
          </w:p>
        </w:tc>
        <w:tc>
          <w:tcPr>
            <w:tcW w:w="2938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防火道验收合格率</w:t>
            </w:r>
          </w:p>
        </w:tc>
        <w:tc>
          <w:tcPr>
            <w:tcW w:w="1229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≥95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2022年度工作安排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防火道完成时间</w:t>
            </w:r>
          </w:p>
        </w:tc>
        <w:tc>
          <w:tcPr>
            <w:tcW w:w="2938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防火道完成时间</w:t>
            </w:r>
          </w:p>
        </w:tc>
        <w:tc>
          <w:tcPr>
            <w:tcW w:w="1229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10月底完成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2022年度工作安排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维护社会稳定</w:t>
            </w:r>
          </w:p>
        </w:tc>
        <w:tc>
          <w:tcPr>
            <w:tcW w:w="2938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维护社会稳定</w:t>
            </w:r>
          </w:p>
        </w:tc>
        <w:tc>
          <w:tcPr>
            <w:tcW w:w="1229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2022年度工作安排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 xml:space="preserve">保护湿地，促进生态建设 </w:t>
            </w:r>
          </w:p>
        </w:tc>
        <w:tc>
          <w:tcPr>
            <w:tcW w:w="2938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 xml:space="preserve">保护湿地，促进生态建设 </w:t>
            </w:r>
          </w:p>
        </w:tc>
        <w:tc>
          <w:tcPr>
            <w:tcW w:w="1229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促进生态建设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2022年度工作安排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保护人民财产安全</w:t>
            </w:r>
          </w:p>
        </w:tc>
        <w:tc>
          <w:tcPr>
            <w:tcW w:w="2938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保护人民财产安全</w:t>
            </w:r>
          </w:p>
        </w:tc>
        <w:tc>
          <w:tcPr>
            <w:tcW w:w="1229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保护人民财产安全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2022年度工作安排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服务对象满意度</w:t>
            </w:r>
          </w:p>
        </w:tc>
        <w:tc>
          <w:tcPr>
            <w:tcW w:w="2938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服务对象满意度</w:t>
            </w:r>
          </w:p>
        </w:tc>
        <w:tc>
          <w:tcPr>
            <w:tcW w:w="1229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95%以上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方正书宋_GBK" w:hAnsi="方正书宋_GBK" w:eastAsia="方正书宋_GBK" w:cs="方正书宋_GBK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2022年度工作安排</w:t>
            </w:r>
          </w:p>
        </w:tc>
      </w:tr>
    </w:tbl>
    <w:p>
      <w:pPr>
        <w:snapToGrid w:val="0"/>
        <w:spacing w:before="0" w:beforeAutospacing="0" w:after="0" w:afterAutospacing="0" w:line="240" w:lineRule="auto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楷体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黑体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E3879"/>
    <w:rsid w:val="002D6460"/>
    <w:rsid w:val="002E1B90"/>
    <w:rsid w:val="00803F89"/>
    <w:rsid w:val="00A10989"/>
    <w:rsid w:val="00AE3879"/>
    <w:rsid w:val="00CB0A6F"/>
    <w:rsid w:val="00E06A2A"/>
    <w:rsid w:val="26BD6DFE"/>
    <w:rsid w:val="6E1E609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4"/>
    <w:link w:val="3"/>
    <w:semiHidden/>
    <w:uiPriority w:val="99"/>
    <w:rPr>
      <w:rFonts w:eastAsia="Times New Roman"/>
      <w:sz w:val="18"/>
      <w:szCs w:val="18"/>
    </w:rPr>
  </w:style>
  <w:style w:type="character" w:customStyle="1" w:styleId="19">
    <w:name w:val="页脚 Char"/>
    <w:basedOn w:val="4"/>
    <w:link w:val="2"/>
    <w:semiHidden/>
    <w:uiPriority w:val="99"/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461</Words>
  <Characters>2628</Characters>
  <Lines>21</Lines>
  <Paragraphs>6</Paragraphs>
  <ScaleCrop>false</ScaleCrop>
  <LinksUpToDate>false</LinksUpToDate>
  <CharactersWithSpaces>0</CharactersWithSpaces>
  <Application>WPS Office 个人版_9.1.0.4863_{F1E327BC-269C-435d-A152-05C5408002CA}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2022-04-08T01:46:00Z</dcterms:created>
  <dc:creator>Administrator</dc:creator>
  <cp:lastModifiedBy>Administrator</cp:lastModifiedBy>
  <dcterms:modified xsi:type="dcterms:W3CDTF">2024-01-15T01:59:57Z</dcterms:modified>
  <dc:title>滦河口发展服务中心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2052-9.1.0.4863</vt:lpwstr>
  </property>
</Properties>
</file>