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乐亭县工业聚集区</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乐亭县工业聚集区编制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1.园区基础设施维护及企业服务费绩效目标表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2.招商经费绩效目标表</w:t>
      </w:r>
      <w:r>
        <w:tab/>
      </w:r>
      <w:r>
        <w:fldChar w:fldCharType="begin"/>
      </w:r>
      <w:r>
        <w:instrText xml:space="preserve">PAGEREF _Toc_4_4_0000000005 \h</w:instrText>
      </w:r>
      <w:r>
        <w:fldChar w:fldCharType="separate"/>
      </w:r>
      <w:r>
        <w:t>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1、招商经费</w:t>
      </w:r>
    </w:p>
    <w:p>
      <w:pPr>
        <w:pStyle w:val="9"/>
      </w:pPr>
      <w: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pPr>
        <w:pStyle w:val="9"/>
      </w:pPr>
      <w:r>
        <w:t>绩效指标：签订协议数量，洽谈储备项目数量 招商活动的成效</w:t>
      </w:r>
    </w:p>
    <w:p>
      <w:pPr>
        <w:pStyle w:val="9"/>
      </w:pPr>
      <w:r>
        <w:t>2、企业服务及基础设施维护费</w:t>
      </w:r>
    </w:p>
    <w:p>
      <w:pPr>
        <w:pStyle w:val="9"/>
      </w:pPr>
      <w:r>
        <w:t>绩效目标：指导企业加强制度和管理创新，促进企业提高经营管理水平；负责辖区内经济统计数据的手机、整理、上报和项目档案管理工作，定期开展安</w:t>
      </w:r>
      <w:r>
        <w:rPr>
          <w:rFonts w:hint="eastAsia"/>
          <w:lang w:val="en-US" w:eastAsia="zh-CN"/>
        </w:rPr>
        <w:t>全</w:t>
      </w:r>
      <w:r>
        <w:t>生产巡查，消除事故隐患，对重大危险源登记建档，建立健全应急预案机制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w:t>
      </w:r>
    </w:p>
    <w:p>
      <w:pPr>
        <w:pStyle w:val="9"/>
      </w:pPr>
      <w:r>
        <w:t>绩效指标：环境检查、安全生产情况、企业满意度要达到90%以上。</w:t>
      </w: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 xml:space="preserve">1、招商工作力求精准化，项目建设力求精细化。开展以商招商、产业链招商，打造产业集群，努力增强现有产品市场占有量、话语权，提升企业生存力和竞争力。 </w:t>
      </w:r>
    </w:p>
    <w:p>
      <w:pPr>
        <w:pStyle w:val="10"/>
      </w:pPr>
      <w:r>
        <w:t>按照“四个一批”的要求以科技环保、创新高端理念推动园区结构调整、产业转型、园区发展，推进问题企业“腾笼换鸟”，盘活现有资源，通过嫁接、转产、技改提升等形式，实现闲置资源再利用。</w:t>
      </w:r>
    </w:p>
    <w:p>
      <w:pPr>
        <w:pStyle w:val="10"/>
      </w:pPr>
      <w:r>
        <w:t>2、完善制度建设：认真贯彻国家和省有关财经方针、政策，根据预算绩效管理相关要求，制定完善预算绩效管理制度、资金管理办法、工作保障制度等，为全年预算绩效目标的实现奠定制度基础。</w:t>
      </w:r>
    </w:p>
    <w:p>
      <w:pPr>
        <w:pStyle w:val="10"/>
      </w:pPr>
      <w:r>
        <w:t>3、加强支出管理：通过优化支出结构、编细编实预算、加快履行政府采购手续、尽快启动项目、及时支付资金、按规定及时下达资金等多种措施，确保支出进度达标。</w:t>
      </w:r>
    </w:p>
    <w:p>
      <w:pPr>
        <w:pStyle w:val="10"/>
      </w:pPr>
      <w:r>
        <w:t>4、加强绩效运行监控:按要求开展绩效运行监控，发现问题及时采取措施，确保绩效目标如期保质实现。</w:t>
      </w:r>
    </w:p>
    <w:p>
      <w:pPr>
        <w:pStyle w:val="10"/>
      </w:pPr>
      <w:r>
        <w:t>5、做好绩效自评:按要求开展上年度部门预算绩效自评和重点评价工作，对评价中发现的问题及时整改，调整优化支出结构，提高财政资金使用效益。</w:t>
      </w:r>
    </w:p>
    <w:p>
      <w:pPr>
        <w:pStyle w:val="10"/>
      </w:pPr>
      <w:r>
        <w:t>6、规范财务资产管理:完善财务管理制度，严格审批程序，加强固定资产登记、使用和报废处置管理，做到支出合理，物尽其用。</w:t>
      </w:r>
    </w:p>
    <w:p>
      <w:pPr>
        <w:pStyle w:val="10"/>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8、加强宣传培训调研:加强人员培训，提高本部门职工业务素质；加强调研，提出优化财政资金配置、提高资金使用效益的</w:t>
      </w:r>
      <w:bookmarkStart w:id="5" w:name="_GoBack"/>
      <w:bookmarkEnd w:id="5"/>
      <w:r>
        <w:t>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1.园区基础设施维护及企业服务费绩效目标表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13022523P004089100032</w:t>
            </w:r>
          </w:p>
        </w:tc>
        <w:tc>
          <w:tcPr>
            <w:tcW w:w="1587" w:type="dxa"/>
            <w:vAlign w:val="center"/>
          </w:tcPr>
          <w:p>
            <w:pPr>
              <w:pStyle w:val="14"/>
            </w:pPr>
            <w:r>
              <w:t>项目名称</w:t>
            </w:r>
          </w:p>
        </w:tc>
        <w:tc>
          <w:tcPr>
            <w:tcW w:w="4422" w:type="dxa"/>
            <w:gridSpan w:val="3"/>
            <w:vAlign w:val="center"/>
          </w:tcPr>
          <w:p>
            <w:pPr>
              <w:pStyle w:val="13"/>
            </w:pPr>
            <w:r>
              <w:t>园区基础设施维护及企业服务费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环境检查、安全生产情况；负责聚集区基础设施和公用设施的建设和管理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w:t>
            </w:r>
          </w:p>
        </w:tc>
        <w:tc>
          <w:tcPr>
            <w:tcW w:w="1587" w:type="dxa"/>
            <w:vAlign w:val="center"/>
          </w:tcPr>
          <w:p>
            <w:pPr>
              <w:pStyle w:val="15"/>
            </w:pPr>
            <w:r>
              <w:t>25.00</w:t>
            </w:r>
          </w:p>
        </w:tc>
        <w:tc>
          <w:tcPr>
            <w:tcW w:w="1304" w:type="dxa"/>
            <w:vAlign w:val="center"/>
          </w:tcPr>
          <w:p>
            <w:pPr>
              <w:pStyle w:val="15"/>
            </w:pPr>
            <w:r>
              <w:t>30.00</w:t>
            </w:r>
          </w:p>
        </w:tc>
        <w:tc>
          <w:tcPr>
            <w:tcW w:w="3118"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1.指导企业加强制度和管理创新，促进企业提高经营管理水平；定期开展安</w:t>
            </w:r>
            <w:r>
              <w:rPr>
                <w:rFonts w:hint="eastAsia"/>
                <w:lang w:val="en-US" w:eastAsia="zh-CN"/>
              </w:rPr>
              <w:t>全</w:t>
            </w:r>
            <w:r>
              <w:t>生产巡查，消除事故隐患，对重大危险源登记建档，建立健全应急预案机制，负责聚集区基础设施和公用设施的建设和管理。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修缮工程量</w:t>
            </w:r>
          </w:p>
        </w:tc>
        <w:tc>
          <w:tcPr>
            <w:tcW w:w="2891" w:type="dxa"/>
            <w:vAlign w:val="center"/>
          </w:tcPr>
          <w:p>
            <w:pPr>
              <w:pStyle w:val="13"/>
            </w:pPr>
            <w:r>
              <w:t>修缮工程量</w:t>
            </w:r>
          </w:p>
        </w:tc>
        <w:tc>
          <w:tcPr>
            <w:tcW w:w="1276" w:type="dxa"/>
            <w:vAlign w:val="center"/>
          </w:tcPr>
          <w:p>
            <w:pPr>
              <w:pStyle w:val="13"/>
            </w:pPr>
            <w:r>
              <w:t>≥1000米</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基础设施验收通过率（%）</w:t>
            </w:r>
          </w:p>
        </w:tc>
        <w:tc>
          <w:tcPr>
            <w:tcW w:w="2891" w:type="dxa"/>
            <w:vAlign w:val="center"/>
          </w:tcPr>
          <w:p>
            <w:pPr>
              <w:pStyle w:val="13"/>
            </w:pPr>
            <w:r>
              <w:t>基础设施验收通过率（%）</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实施进度</w:t>
            </w:r>
          </w:p>
        </w:tc>
        <w:tc>
          <w:tcPr>
            <w:tcW w:w="2891" w:type="dxa"/>
            <w:vAlign w:val="center"/>
          </w:tcPr>
          <w:p>
            <w:pPr>
              <w:pStyle w:val="13"/>
            </w:pPr>
            <w:r>
              <w:t>实施进度</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完成项目的成本控制在预算水平</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项目对生态效益提升比</w:t>
            </w:r>
          </w:p>
        </w:tc>
        <w:tc>
          <w:tcPr>
            <w:tcW w:w="2891" w:type="dxa"/>
            <w:vAlign w:val="center"/>
          </w:tcPr>
          <w:p>
            <w:pPr>
              <w:pStyle w:val="13"/>
            </w:pPr>
            <w:r>
              <w:t>项目对生态效益提升比值</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提升企业环境治理水平</w:t>
            </w:r>
          </w:p>
        </w:tc>
        <w:tc>
          <w:tcPr>
            <w:tcW w:w="2891" w:type="dxa"/>
            <w:vAlign w:val="center"/>
          </w:tcPr>
          <w:p>
            <w:pPr>
              <w:pStyle w:val="13"/>
            </w:pPr>
            <w:r>
              <w:t>提升企业环境治理水平</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≥90百分比</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2.招商经费绩效目标表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13022523P00CXF810004P</w:t>
            </w:r>
          </w:p>
        </w:tc>
        <w:tc>
          <w:tcPr>
            <w:tcW w:w="1587" w:type="dxa"/>
            <w:vAlign w:val="center"/>
          </w:tcPr>
          <w:p>
            <w:pPr>
              <w:pStyle w:val="14"/>
            </w:pPr>
            <w:r>
              <w:t>项目名称</w:t>
            </w:r>
          </w:p>
        </w:tc>
        <w:tc>
          <w:tcPr>
            <w:tcW w:w="4422" w:type="dxa"/>
            <w:gridSpan w:val="3"/>
            <w:vAlign w:val="center"/>
          </w:tcPr>
          <w:p>
            <w:pPr>
              <w:pStyle w:val="13"/>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负责聚集区招商引资、进出口贸易和国内外经济技术合作工作；协调、调度入区重点项目前期工作，负责区内建设工程选址、建设用地意见并腐恶相关许可证的初审上报工作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8.00</w:t>
            </w:r>
          </w:p>
        </w:tc>
        <w:tc>
          <w:tcPr>
            <w:tcW w:w="1587" w:type="dxa"/>
            <w:vAlign w:val="center"/>
          </w:tcPr>
          <w:p>
            <w:pPr>
              <w:pStyle w:val="15"/>
            </w:pPr>
            <w:r>
              <w:t>12.00</w:t>
            </w:r>
          </w:p>
        </w:tc>
        <w:tc>
          <w:tcPr>
            <w:tcW w:w="1304" w:type="dxa"/>
            <w:vAlign w:val="center"/>
          </w:tcPr>
          <w:p>
            <w:pPr>
              <w:pStyle w:val="15"/>
            </w:pPr>
            <w:r>
              <w:t>18.00</w:t>
            </w:r>
          </w:p>
        </w:tc>
        <w:tc>
          <w:tcPr>
            <w:tcW w:w="3118"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1.负责招商引资项目的前期考察、意向洽谈、协议签署等相关工作，保障园区招商引资工作开展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招商活动次数</w:t>
            </w:r>
          </w:p>
        </w:tc>
        <w:tc>
          <w:tcPr>
            <w:tcW w:w="2891" w:type="dxa"/>
            <w:vAlign w:val="center"/>
          </w:tcPr>
          <w:p>
            <w:pPr>
              <w:pStyle w:val="13"/>
            </w:pPr>
            <w:r>
              <w:t>招商活动次数</w:t>
            </w:r>
          </w:p>
        </w:tc>
        <w:tc>
          <w:tcPr>
            <w:tcW w:w="1276" w:type="dxa"/>
            <w:vAlign w:val="center"/>
          </w:tcPr>
          <w:p>
            <w:pPr>
              <w:pStyle w:val="13"/>
            </w:pPr>
            <w:r>
              <w:t>≥5次数</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完成工作需要的资金</w:t>
            </w:r>
          </w:p>
        </w:tc>
        <w:tc>
          <w:tcPr>
            <w:tcW w:w="2891" w:type="dxa"/>
            <w:vAlign w:val="center"/>
          </w:tcPr>
          <w:p>
            <w:pPr>
              <w:pStyle w:val="13"/>
            </w:pPr>
            <w:r>
              <w:t>完成工作需要的资金</w:t>
            </w:r>
          </w:p>
        </w:tc>
        <w:tc>
          <w:tcPr>
            <w:tcW w:w="1276" w:type="dxa"/>
            <w:vAlign w:val="center"/>
          </w:tcPr>
          <w:p>
            <w:pPr>
              <w:pStyle w:val="13"/>
            </w:pPr>
            <w:r>
              <w:t>≥95百分比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高科技项目占比</w:t>
            </w:r>
          </w:p>
        </w:tc>
        <w:tc>
          <w:tcPr>
            <w:tcW w:w="2891" w:type="dxa"/>
            <w:vAlign w:val="center"/>
          </w:tcPr>
          <w:p>
            <w:pPr>
              <w:pStyle w:val="13"/>
            </w:pPr>
            <w:r>
              <w:t>高科技项目比例</w:t>
            </w:r>
          </w:p>
        </w:tc>
        <w:tc>
          <w:tcPr>
            <w:tcW w:w="1276" w:type="dxa"/>
            <w:vAlign w:val="center"/>
          </w:tcPr>
          <w:p>
            <w:pPr>
              <w:pStyle w:val="13"/>
            </w:pPr>
            <w:r>
              <w:t>≥50百分比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≥95百分比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≥15百分比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建设项目环评执行率（%）</w:t>
            </w:r>
          </w:p>
        </w:tc>
        <w:tc>
          <w:tcPr>
            <w:tcW w:w="2891" w:type="dxa"/>
            <w:vAlign w:val="center"/>
          </w:tcPr>
          <w:p>
            <w:pPr>
              <w:pStyle w:val="13"/>
            </w:pPr>
            <w:r>
              <w:t>建设项目环评执行率（%）</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支撑行业科技创新发展</w:t>
            </w:r>
          </w:p>
        </w:tc>
        <w:tc>
          <w:tcPr>
            <w:tcW w:w="2891" w:type="dxa"/>
            <w:vAlign w:val="center"/>
          </w:tcPr>
          <w:p>
            <w:pPr>
              <w:pStyle w:val="13"/>
            </w:pPr>
            <w:r>
              <w:t>支撑行业科技创新发展</w:t>
            </w:r>
          </w:p>
        </w:tc>
        <w:tc>
          <w:tcPr>
            <w:tcW w:w="1276" w:type="dxa"/>
            <w:vAlign w:val="center"/>
          </w:tcPr>
          <w:p>
            <w:pPr>
              <w:pStyle w:val="13"/>
            </w:pPr>
            <w:r>
              <w:t>≥90百分比</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≥90百分比</w:t>
            </w:r>
          </w:p>
        </w:tc>
        <w:tc>
          <w:tcPr>
            <w:tcW w:w="1843" w:type="dxa"/>
            <w:vAlign w:val="center"/>
          </w:tcPr>
          <w:p>
            <w:pPr>
              <w:pStyle w:val="13"/>
            </w:pPr>
            <w:r>
              <w:t>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 w:name="KSO_WPS_MARK_KEY" w:val="f26616a9-73ed-435b-a01a-168648096a33"/>
  </w:docVars>
  <w:rsids>
    <w:rsidRoot w:val="00000000"/>
    <w:rsid w:val="06FA39EF"/>
    <w:rsid w:val="3D087295"/>
    <w:rsid w:val="68E86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2023-02-05T08:52:13Z</dcterms:created>
  <dcterms:modified xsi:type="dcterms:W3CDTF">2023-02-05T00:52:13Z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2023-02-05T08:52:13Z</dcterms:created>
  <dcterms:modified xsi:type="dcterms:W3CDTF">2023-02-05T00:52:13Z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2023-02-05T08:52:13Z</dcterms:created>
  <dcterms:modified xsi:type="dcterms:W3CDTF">2023-02-05T00:52:13Z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2023-02-05T08:52:13Z</dcterms:created>
  <dcterms:modified xsi:type="dcterms:W3CDTF">2023-02-05T00:52:13Z</dcterms:modified>
</cp:coreProperties>
</file>

<file path=customXml/itemProps1.xml><?xml version="1.0" encoding="utf-8"?>
<ds:datastoreItem xmlns:ds="http://schemas.openxmlformats.org/officeDocument/2006/customXml" ds:itemID="{94e3bc85-a9e7-4821-8865-286fba8212fb}">
  <ds:schemaRefs/>
</ds:datastoreItem>
</file>

<file path=customXml/itemProps2.xml><?xml version="1.0" encoding="utf-8"?>
<ds:datastoreItem xmlns:ds="http://schemas.openxmlformats.org/officeDocument/2006/customXml" ds:itemID="{71cc1b42-8f54-483a-bdc9-23a3365cf8e2}">
  <ds:schemaRefs/>
</ds:datastoreItem>
</file>

<file path=customXml/itemProps3.xml><?xml version="1.0" encoding="utf-8"?>
<ds:datastoreItem xmlns:ds="http://schemas.openxmlformats.org/officeDocument/2006/customXml" ds:itemID="{3759b9b4-e12f-48d1-abe4-ddc4f94c2594}">
  <ds:schemaRefs/>
</ds:datastoreItem>
</file>

<file path=customXml/itemProps4.xml><?xml version="1.0" encoding="utf-8"?>
<ds:datastoreItem xmlns:ds="http://schemas.openxmlformats.org/officeDocument/2006/customXml" ds:itemID="{6320731e-7c78-4c64-95d8-59985e231117}">
  <ds:schemaRefs/>
</ds:datastoreItem>
</file>

<file path=customXml/itemProps5.xml><?xml version="1.0" encoding="utf-8"?>
<ds:datastoreItem xmlns:ds="http://schemas.openxmlformats.org/officeDocument/2006/customXml" ds:itemID="{756bf09c-2fe6-4fd5-89c8-62ad9146e09e}">
  <ds:schemaRefs/>
</ds:datastoreItem>
</file>

<file path=customXml/itemProps6.xml><?xml version="1.0" encoding="utf-8"?>
<ds:datastoreItem xmlns:ds="http://schemas.openxmlformats.org/officeDocument/2006/customXml" ds:itemID="{183a8a69-9e18-4f22-ab30-d478e38ad0ee}">
  <ds:schemaRefs/>
</ds:datastoreItem>
</file>

<file path=customXml/itemProps7.xml><?xml version="1.0" encoding="utf-8"?>
<ds:datastoreItem xmlns:ds="http://schemas.openxmlformats.org/officeDocument/2006/customXml" ds:itemID="{ec330b42-5da8-473c-8744-454ffbbe30ff}">
  <ds:schemaRefs/>
</ds:datastoreItem>
</file>

<file path=customXml/itemProps8.xml><?xml version="1.0" encoding="utf-8"?>
<ds:datastoreItem xmlns:ds="http://schemas.openxmlformats.org/officeDocument/2006/customXml" ds:itemID="{99debec5-6c7d-4dc5-b639-7ab9ec6a96cb}">
  <ds:schemaRefs/>
</ds:datastoreItem>
</file>

<file path=docProps/app.xml><?xml version="1.0" encoding="utf-8"?>
<Properties xmlns="http://schemas.openxmlformats.org/officeDocument/2006/extended-properties" xmlns:vt="http://schemas.openxmlformats.org/officeDocument/2006/docPropsVTypes">
  <Pages>10</Pages>
  <Words>2645</Words>
  <Characters>2778</Characters>
  <TotalTime>1</TotalTime>
  <ScaleCrop>false</ScaleCrop>
  <LinksUpToDate>false</LinksUpToDate>
  <CharactersWithSpaces>2836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2023-02-05T08:52:00Z</dcterms:created>
  <dc:creator>Administrator</dc:creator>
  <cp:lastModifiedBy>Administrator</cp:lastModifiedBy>
  <dcterms:modified xsi:type="dcterms:W3CDTF">2024-01-15T01:12:23Z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62A472CD8FCC4CA495D7563A386835FC_13</vt:lpwstr>
  </property>
</Properties>
</file>