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sz w:val="44"/>
          <w:szCs w:val="44"/>
          <w:lang w:val="en-US" w:eastAsia="zh-CN"/>
        </w:rPr>
      </w:pPr>
      <w:bookmarkStart w:id="0" w:name="_GoBack"/>
      <w:bookmarkEnd w:id="0"/>
    </w:p>
    <w:p>
      <w:pPr>
        <w:jc w:val="center"/>
        <w:rPr>
          <w:rFonts w:ascii="Times New Roman" w:hAnsi="Times New Roman" w:cs="Times New Roman"/>
          <w:sz w:val="44"/>
          <w:szCs w:val="44"/>
        </w:rPr>
      </w:pPr>
      <w:r>
        <w:rPr>
          <w:rFonts w:hint="eastAsia" w:ascii="Times New Roman" w:hAnsi="Times New Roman" w:cs="Times New Roman"/>
          <w:sz w:val="44"/>
          <w:szCs w:val="44"/>
          <w:lang w:val="en-US" w:eastAsia="zh-CN"/>
        </w:rPr>
        <w:t>项目支出</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21</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pStyle w:val="4"/>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实施单位（公章）： </w:t>
      </w:r>
      <w:r>
        <w:rPr>
          <w:rFonts w:hint="eastAsia" w:ascii="黑体" w:hAnsi="黑体" w:eastAsia="黑体" w:cs="黑体"/>
          <w:sz w:val="32"/>
          <w:szCs w:val="32"/>
          <w:lang w:eastAsia="zh-CN"/>
        </w:rPr>
        <w:t>乐亭县</w:t>
      </w:r>
      <w:r>
        <w:rPr>
          <w:rFonts w:hint="eastAsia" w:ascii="黑体" w:hAnsi="黑体" w:eastAsia="黑体" w:cs="黑体"/>
          <w:sz w:val="32"/>
          <w:szCs w:val="32"/>
          <w:lang w:val="en-US" w:eastAsia="zh-CN"/>
        </w:rPr>
        <w:t>城区工业聚集区</w:t>
      </w:r>
      <w:r>
        <w:rPr>
          <w:rFonts w:hint="eastAsia" w:ascii="黑体" w:hAnsi="黑体" w:eastAsia="黑体" w:cs="黑体"/>
          <w:sz w:val="32"/>
          <w:szCs w:val="32"/>
          <w:lang w:eastAsia="zh-CN"/>
        </w:rPr>
        <w:t>管委会</w:t>
      </w:r>
    </w:p>
    <w:p>
      <w:pPr>
        <w:jc w:val="center"/>
        <w:rPr>
          <w:rFonts w:hint="eastAsia" w:ascii="黑体" w:hAnsi="黑体" w:eastAsia="黑体" w:cs="黑体"/>
          <w:kern w:val="0"/>
          <w:sz w:val="32"/>
          <w:szCs w:val="32"/>
        </w:rPr>
      </w:pPr>
    </w:p>
    <w:p>
      <w:pPr>
        <w:jc w:val="center"/>
        <w:rPr>
          <w:rFonts w:hint="eastAsia"/>
          <w:sz w:val="36"/>
          <w:szCs w:val="36"/>
        </w:rPr>
      </w:pPr>
      <w:r>
        <w:rPr>
          <w:rFonts w:hint="eastAsia" w:ascii="黑体" w:hAnsi="黑体" w:eastAsia="黑体" w:cs="黑体"/>
          <w:kern w:val="0"/>
          <w:sz w:val="32"/>
          <w:szCs w:val="32"/>
        </w:rPr>
        <w:t>填报时间：</w:t>
      </w:r>
      <w:r>
        <w:rPr>
          <w:rFonts w:hint="eastAsia" w:ascii="黑体" w:hAnsi="黑体" w:eastAsia="黑体" w:cs="黑体"/>
          <w:kern w:val="0"/>
          <w:sz w:val="32"/>
          <w:szCs w:val="32"/>
          <w:lang w:val="en-US" w:eastAsia="zh-CN"/>
        </w:rPr>
        <w:t>2022</w:t>
      </w:r>
      <w:r>
        <w:rPr>
          <w:rFonts w:hint="eastAsia" w:ascii="黑体" w:hAnsi="黑体" w:eastAsia="黑体" w:cs="黑体"/>
          <w:kern w:val="0"/>
          <w:sz w:val="32"/>
          <w:szCs w:val="32"/>
        </w:rPr>
        <w:t>年</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月</w:t>
      </w:r>
      <w:r>
        <w:rPr>
          <w:rFonts w:hint="eastAsia" w:ascii="黑体" w:hAnsi="黑体" w:eastAsia="黑体" w:cs="黑体"/>
          <w:kern w:val="0"/>
          <w:sz w:val="32"/>
          <w:szCs w:val="32"/>
          <w:lang w:val="en-US" w:eastAsia="zh-CN"/>
        </w:rPr>
        <w:t>11</w:t>
      </w:r>
      <w:r>
        <w:rPr>
          <w:rFonts w:hint="eastAsia" w:ascii="黑体" w:hAnsi="黑体" w:eastAsia="黑体" w:cs="黑体"/>
          <w:kern w:val="0"/>
          <w:sz w:val="32"/>
          <w:szCs w:val="32"/>
        </w:rPr>
        <w:t>日</w:t>
      </w:r>
    </w:p>
    <w:p>
      <w:pPr>
        <w:jc w:val="center"/>
        <w:rPr>
          <w:rFonts w:hint="eastAsia"/>
          <w:sz w:val="36"/>
          <w:szCs w:val="36"/>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eastAsiaTheme="minorEastAsia"/>
          <w:sz w:val="36"/>
          <w:szCs w:val="36"/>
          <w:lang w:val="en-US" w:eastAsia="zh-CN"/>
        </w:rPr>
      </w:pPr>
      <w:r>
        <w:rPr>
          <w:rFonts w:hint="eastAsia"/>
          <w:sz w:val="36"/>
          <w:szCs w:val="36"/>
          <w:lang w:val="en-US" w:eastAsia="zh-CN"/>
        </w:rPr>
        <w:t>乐亭县城区工业聚集区管理委员会</w:t>
      </w:r>
    </w:p>
    <w:p>
      <w:pPr>
        <w:jc w:val="center"/>
        <w:rPr>
          <w:rFonts w:hint="eastAsia"/>
          <w:sz w:val="36"/>
          <w:szCs w:val="36"/>
        </w:rPr>
      </w:pPr>
      <w:r>
        <w:rPr>
          <w:rFonts w:hint="eastAsia"/>
          <w:sz w:val="36"/>
          <w:szCs w:val="36"/>
        </w:rPr>
        <w:t>20</w:t>
      </w:r>
      <w:r>
        <w:rPr>
          <w:rFonts w:hint="eastAsia"/>
          <w:sz w:val="36"/>
          <w:szCs w:val="36"/>
          <w:lang w:val="en-US" w:eastAsia="zh-CN"/>
        </w:rPr>
        <w:t>21</w:t>
      </w:r>
      <w:r>
        <w:rPr>
          <w:rFonts w:hint="eastAsia"/>
          <w:sz w:val="36"/>
          <w:szCs w:val="36"/>
        </w:rPr>
        <w:t>年度</w:t>
      </w:r>
      <w:r>
        <w:rPr>
          <w:rFonts w:hint="eastAsia"/>
          <w:sz w:val="36"/>
          <w:szCs w:val="36"/>
          <w:lang w:val="en-US" w:eastAsia="zh-CN"/>
        </w:rPr>
        <w:t>项目</w:t>
      </w:r>
      <w:r>
        <w:rPr>
          <w:rFonts w:hint="eastAsia"/>
          <w:sz w:val="36"/>
          <w:szCs w:val="36"/>
        </w:rPr>
        <w:t>资金绩效自评报告</w:t>
      </w:r>
    </w:p>
    <w:p>
      <w:pPr>
        <w:jc w:val="center"/>
        <w:rPr>
          <w:rFonts w:hint="eastAsia" w:ascii="仿宋" w:hAnsi="仿宋" w:eastAsia="仿宋" w:cs="仿宋"/>
          <w:sz w:val="32"/>
          <w:szCs w:val="32"/>
        </w:rPr>
      </w:pPr>
    </w:p>
    <w:p>
      <w:pPr>
        <w:ind w:firstLine="960" w:firstLineChars="300"/>
        <w:rPr>
          <w:rFonts w:hint="eastAsia" w:ascii="仿宋" w:hAnsi="仿宋" w:eastAsia="仿宋" w:cs="仿宋"/>
          <w:sz w:val="32"/>
          <w:szCs w:val="32"/>
        </w:rPr>
      </w:pPr>
      <w:r>
        <w:rPr>
          <w:rFonts w:hint="eastAsia" w:ascii="仿宋" w:hAnsi="仿宋" w:eastAsia="仿宋" w:cs="仿宋"/>
          <w:sz w:val="32"/>
          <w:szCs w:val="32"/>
        </w:rPr>
        <w:t>为确实做好</w:t>
      </w:r>
      <w:r>
        <w:rPr>
          <w:rFonts w:hint="eastAsia" w:ascii="仿宋" w:hAnsi="仿宋" w:eastAsia="仿宋" w:cs="仿宋"/>
          <w:sz w:val="32"/>
          <w:szCs w:val="32"/>
          <w:lang w:val="en-US" w:eastAsia="zh-CN"/>
        </w:rPr>
        <w:t>2021</w:t>
      </w:r>
      <w:r>
        <w:rPr>
          <w:rFonts w:hint="eastAsia" w:ascii="仿宋" w:hAnsi="仿宋" w:eastAsia="仿宋" w:cs="仿宋"/>
          <w:sz w:val="32"/>
          <w:szCs w:val="32"/>
        </w:rPr>
        <w:t>年度专项资金绩效自评工作，提高财政资金使用效益，结合实际，我单位</w:t>
      </w:r>
      <w:r>
        <w:rPr>
          <w:rFonts w:hint="eastAsia" w:ascii="仿宋" w:hAnsi="仿宋" w:eastAsia="仿宋" w:cs="仿宋"/>
          <w:sz w:val="32"/>
          <w:szCs w:val="32"/>
          <w:lang w:val="en-US" w:eastAsia="zh-CN"/>
        </w:rPr>
        <w:t>对招商经费、业务费2个项目</w:t>
      </w:r>
      <w:r>
        <w:rPr>
          <w:rFonts w:hint="eastAsia" w:ascii="仿宋" w:hAnsi="仿宋" w:eastAsia="仿宋" w:cs="仿宋"/>
          <w:sz w:val="32"/>
          <w:szCs w:val="32"/>
        </w:rPr>
        <w:t>专项资金绩效</w:t>
      </w:r>
      <w:r>
        <w:rPr>
          <w:rFonts w:hint="eastAsia" w:ascii="仿宋" w:hAnsi="仿宋" w:eastAsia="仿宋" w:cs="仿宋"/>
          <w:sz w:val="32"/>
          <w:szCs w:val="32"/>
          <w:lang w:val="en-US" w:eastAsia="zh-CN"/>
        </w:rPr>
        <w:t>进行了</w:t>
      </w:r>
      <w:r>
        <w:rPr>
          <w:rFonts w:hint="eastAsia" w:ascii="仿宋" w:hAnsi="仿宋" w:eastAsia="仿宋" w:cs="仿宋"/>
          <w:sz w:val="32"/>
          <w:szCs w:val="32"/>
        </w:rPr>
        <w:t>自评</w:t>
      </w:r>
      <w:r>
        <w:rPr>
          <w:rFonts w:hint="eastAsia" w:ascii="仿宋" w:hAnsi="仿宋" w:eastAsia="仿宋" w:cs="仿宋"/>
          <w:sz w:val="32"/>
          <w:szCs w:val="32"/>
          <w:lang w:eastAsia="zh-CN"/>
        </w:rPr>
        <w:t>，</w:t>
      </w:r>
      <w:r>
        <w:rPr>
          <w:rFonts w:hint="eastAsia" w:ascii="仿宋" w:hAnsi="仿宋" w:eastAsia="仿宋" w:cs="仿宋"/>
          <w:sz w:val="32"/>
          <w:szCs w:val="32"/>
        </w:rPr>
        <w:t>结果报告如下：</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绩效目标分解下达情况</w:t>
      </w:r>
    </w:p>
    <w:p>
      <w:pPr>
        <w:keepNext w:val="0"/>
        <w:keepLines w:val="0"/>
        <w:pageBreakBefore w:val="0"/>
        <w:widowControl/>
        <w:kinsoku/>
        <w:wordWrap/>
        <w:overflowPunct/>
        <w:topLinePunct w:val="0"/>
        <w:bidi w:val="0"/>
        <w:snapToGrid/>
        <w:spacing w:line="600" w:lineRule="exact"/>
        <w:ind w:left="0" w:leftChars="0" w:right="0" w:rightChars="0" w:firstLine="640"/>
        <w:jc w:val="left"/>
        <w:rPr>
          <w:rFonts w:hint="default" w:ascii="仿宋_GB2312" w:hAnsi="仿宋_GB2312" w:eastAsia="仿宋_GB2312" w:cs="仿宋_GB2312"/>
          <w:b w:val="0"/>
          <w:bCs w:val="0"/>
          <w:color w:val="333333"/>
          <w:kern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依据乐财预【2021】2号文，关于下达2021年部门支出预算的批复，我单位项目支出预算为</w:t>
      </w:r>
      <w:r>
        <w:rPr>
          <w:rFonts w:hint="eastAsia" w:ascii="仿宋" w:hAnsi="仿宋" w:eastAsia="仿宋" w:cs="仿宋"/>
          <w:sz w:val="32"/>
          <w:szCs w:val="32"/>
          <w:lang w:val="en-US" w:eastAsia="zh-CN"/>
        </w:rPr>
        <w:t>招商经费、业务费、2个项目为经常性公用项目。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1、招商经费用于</w:t>
      </w:r>
      <w:r>
        <w:rPr>
          <w:rFonts w:hint="eastAsia" w:ascii="仿宋_GB2312" w:hAnsi="仿宋_GB2312" w:eastAsia="仿宋_GB2312" w:cs="仿宋_GB2312"/>
          <w:b w:val="0"/>
          <w:bCs w:val="0"/>
          <w:sz w:val="32"/>
          <w:szCs w:val="32"/>
          <w:lang w:val="en-US" w:eastAsia="zh-CN"/>
        </w:rPr>
        <w:t>负责聚集区宣传推介和项目信息资源库管理和项目信息资源库管理，发布对外招商项目；接待投资客商考察，加强与招商局、外地商会，企业展销会联系，组织开展招商活动；组织各种招商活动。</w:t>
      </w:r>
    </w:p>
    <w:p>
      <w:pPr>
        <w:keepNext w:val="0"/>
        <w:keepLines w:val="0"/>
        <w:pageBreakBefore w:val="0"/>
        <w:widowControl/>
        <w:kinsoku/>
        <w:wordWrap/>
        <w:overflowPunct/>
        <w:topLinePunct w:val="0"/>
        <w:bidi w:val="0"/>
        <w:snapToGrid/>
        <w:spacing w:line="600" w:lineRule="exact"/>
        <w:ind w:left="0" w:leftChars="0" w:right="0" w:rightChars="0" w:firstLine="640"/>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该项目预算资金80万元，实际支出78万元，为县财政拨款资金。</w:t>
      </w:r>
    </w:p>
    <w:p>
      <w:pPr>
        <w:ind w:firstLine="640" w:firstLineChars="200"/>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2、业务费用于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提供办公场地，建立治安办，加强园区社会治安综合治理；负责编制辖区总体规划、产业发展规划及控制性详细规划；上级交办的其他工作任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该项目资金32万元，实际支出32万元，为县财政拨款资金。</w:t>
      </w:r>
    </w:p>
    <w:p>
      <w:pPr>
        <w:numPr>
          <w:ilvl w:val="0"/>
          <w:numId w:val="1"/>
        </w:numPr>
        <w:rPr>
          <w:rFonts w:hint="eastAsia" w:ascii="仿宋" w:hAnsi="仿宋" w:eastAsia="仿宋" w:cs="仿宋"/>
          <w:bCs/>
          <w:sz w:val="32"/>
          <w:szCs w:val="32"/>
        </w:rPr>
      </w:pPr>
      <w:r>
        <w:rPr>
          <w:rFonts w:hint="eastAsia" w:ascii="仿宋" w:hAnsi="仿宋" w:eastAsia="仿宋" w:cs="仿宋"/>
          <w:bCs/>
          <w:sz w:val="32"/>
          <w:szCs w:val="32"/>
        </w:rPr>
        <w:t>绩效目标完成情况分析</w:t>
      </w:r>
    </w:p>
    <w:p>
      <w:pPr>
        <w:numPr>
          <w:ilvl w:val="0"/>
          <w:numId w:val="0"/>
        </w:numPr>
        <w:rPr>
          <w:rFonts w:hint="eastAsia" w:ascii="仿宋" w:hAnsi="仿宋" w:eastAsia="仿宋" w:cs="仿宋"/>
          <w:bCs/>
          <w:sz w:val="32"/>
          <w:szCs w:val="32"/>
        </w:rPr>
      </w:pPr>
      <w:r>
        <w:rPr>
          <w:rFonts w:hint="eastAsia" w:ascii="仿宋" w:hAnsi="仿宋" w:eastAsia="仿宋" w:cs="仿宋"/>
          <w:bCs/>
          <w:sz w:val="32"/>
          <w:szCs w:val="32"/>
        </w:rPr>
        <w:t>（一）资金投入情况分析。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1、项目资金</w:t>
      </w:r>
      <w:r>
        <w:rPr>
          <w:rFonts w:hint="eastAsia" w:ascii="仿宋" w:hAnsi="仿宋" w:eastAsia="仿宋" w:cs="仿宋"/>
          <w:sz w:val="32"/>
          <w:szCs w:val="32"/>
        </w:rPr>
        <w:t>到位情况</w:t>
      </w:r>
      <w:r>
        <w:rPr>
          <w:rFonts w:hint="eastAsia" w:ascii="仿宋" w:hAnsi="仿宋" w:eastAsia="仿宋" w:cs="仿宋"/>
          <w:sz w:val="32"/>
          <w:szCs w:val="32"/>
          <w:lang w:val="en-US" w:eastAsia="zh-CN"/>
        </w:rPr>
        <w:t>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截止到评价时点，招商经费、业务费、2个项目为经常性公用项目，资金已全部到位，全部为县财政资金，资金到位率为100%且资金到位及时。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项目资金执行情况分析</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截止到评价时点，招商经费用于负责聚集区宣传推介和项目信息资源库管理和项目信息资源库管理，发布对外招商项目；接待投资客商考察，加强与招商局、外地商会，企业展销会联系，组织开展招商活动；组织各种招商活动。因开展“招商引资”项目相关工作，发生与项目直接相关的差旅费、接待费等合计9.7万元，另外招商上宣传、办公等相关业务支出合计68.3万元，共计78万元。相关支出支付依据合规合法，资金使用范围与预算相符。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截止到评价时点，业务费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等相关业务，合计支出32万元。相关支出支付依据合规合法，资金使用范围与预算相符。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项目资金管理情况分析</w:t>
      </w:r>
      <w:r>
        <w:rPr>
          <w:rFonts w:hint="eastAsia" w:ascii="仿宋" w:hAnsi="仿宋" w:eastAsia="仿宋" w:cs="仿宋"/>
          <w:sz w:val="32"/>
          <w:szCs w:val="32"/>
          <w:lang w:val="en-US" w:eastAsia="zh-CN"/>
        </w:rPr>
        <w:t xml:space="preserve"> </w:t>
      </w:r>
    </w:p>
    <w:p>
      <w:pPr>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2个项目全额纳入单位的预算管理和收支管理，内部审批手续符合《乐亭县城区工业聚集区管理委员会财务管理制度》规定的审核流程的相关规定。由财务室具体负责资金拨付、会计核算及账务处理，报销前相关凭证齐全，报销后财务处理及时规范。</w:t>
      </w:r>
    </w:p>
    <w:p>
      <w:pPr>
        <w:numPr>
          <w:ilvl w:val="0"/>
          <w:numId w:val="2"/>
        </w:numPr>
        <w:ind w:left="160" w:leftChars="0" w:firstLine="0" w:firstLineChars="0"/>
        <w:outlineLvl w:val="0"/>
        <w:rPr>
          <w:rFonts w:hint="eastAsia" w:ascii="仿宋" w:hAnsi="仿宋" w:eastAsia="仿宋" w:cs="仿宋"/>
          <w:b w:val="0"/>
          <w:bCs w:val="0"/>
          <w:sz w:val="32"/>
          <w:szCs w:val="32"/>
        </w:rPr>
      </w:pPr>
      <w:r>
        <w:rPr>
          <w:rFonts w:hint="eastAsia" w:ascii="仿宋" w:hAnsi="仿宋" w:eastAsia="仿宋" w:cs="仿宋"/>
          <w:b w:val="0"/>
          <w:bCs w:val="0"/>
          <w:sz w:val="32"/>
          <w:szCs w:val="32"/>
        </w:rPr>
        <w:t>总体绩效目标完成情况分析。</w:t>
      </w:r>
    </w:p>
    <w:p>
      <w:pPr>
        <w:numPr>
          <w:ilvl w:val="0"/>
          <w:numId w:val="3"/>
        </w:numPr>
        <w:ind w:left="160" w:leftChars="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招商经费</w:t>
      </w:r>
    </w:p>
    <w:p>
      <w:pPr>
        <w:numPr>
          <w:ilvl w:val="0"/>
          <w:numId w:val="0"/>
        </w:numPr>
        <w:ind w:firstLine="64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度总体目标：负责开发区宣传和推介工作，发布对外招商项目；负责招商引资项目的前期考察、意向洽谈、协议签署等相关工作；负责组织实施各项招商活动；负责对外经济技术合作交流和对外贸易的组织与管理工作。</w:t>
      </w:r>
    </w:p>
    <w:p>
      <w:pPr>
        <w:numPr>
          <w:ilvl w:val="0"/>
          <w:numId w:val="0"/>
        </w:numPr>
        <w:ind w:firstLine="640"/>
        <w:outlineLvl w:val="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全年实际完成情况；累计走访企业45余家，参加各类招商推介会5次，</w:t>
      </w:r>
      <w:r>
        <w:rPr>
          <w:rFonts w:hint="eastAsia" w:ascii="宋体" w:hAnsi="宋体" w:eastAsia="仿宋" w:cs="仿宋"/>
          <w:color w:val="auto"/>
          <w:spacing w:val="0"/>
          <w:sz w:val="32"/>
          <w:szCs w:val="32"/>
          <w:lang w:val="en-US" w:eastAsia="zh-CN"/>
        </w:rPr>
        <w:t>引进</w:t>
      </w:r>
      <w:r>
        <w:rPr>
          <w:rFonts w:hint="eastAsia" w:ascii="宋体" w:hAnsi="宋体" w:eastAsia="仿宋" w:cs="仿宋"/>
          <w:color w:val="auto"/>
          <w:spacing w:val="0"/>
          <w:sz w:val="32"/>
          <w:szCs w:val="32"/>
          <w:lang w:eastAsia="zh-CN"/>
        </w:rPr>
        <w:t>项目</w:t>
      </w:r>
      <w:r>
        <w:rPr>
          <w:rFonts w:hint="eastAsia" w:ascii="宋体" w:hAnsi="宋体" w:eastAsia="仿宋" w:cs="仿宋"/>
          <w:color w:val="auto"/>
          <w:spacing w:val="0"/>
          <w:sz w:val="32"/>
          <w:szCs w:val="32"/>
          <w:lang w:val="en-US" w:eastAsia="zh-CN"/>
        </w:rPr>
        <w:t>10个</w:t>
      </w:r>
      <w:r>
        <w:rPr>
          <w:rFonts w:hint="eastAsia" w:ascii="宋体" w:hAnsi="宋体" w:eastAsia="仿宋" w:cs="仿宋"/>
          <w:color w:val="auto"/>
          <w:sz w:val="32"/>
          <w:szCs w:val="32"/>
          <w:lang w:eastAsia="zh-CN"/>
        </w:rPr>
        <w:t>，</w:t>
      </w:r>
      <w:r>
        <w:rPr>
          <w:rFonts w:hint="eastAsia" w:ascii="宋体" w:hAnsi="宋体" w:eastAsia="仿宋" w:cs="仿宋"/>
          <w:color w:val="auto"/>
          <w:spacing w:val="0"/>
          <w:sz w:val="32"/>
          <w:szCs w:val="32"/>
          <w:lang w:val="en-US" w:eastAsia="zh-CN"/>
        </w:rPr>
        <w:t>洽谈成熟待上会项目3个，技改项目1个，正在洽谈项目2个。</w:t>
      </w:r>
    </w:p>
    <w:p>
      <w:pPr>
        <w:numPr>
          <w:ilvl w:val="0"/>
          <w:numId w:val="3"/>
        </w:numPr>
        <w:ind w:left="160" w:leftChars="0" w:firstLine="0" w:firstLineChars="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业务费</w:t>
      </w:r>
    </w:p>
    <w:p>
      <w:pPr>
        <w:numPr>
          <w:ilvl w:val="0"/>
          <w:numId w:val="0"/>
        </w:numPr>
        <w:ind w:left="160" w:leftChars="0" w:firstLine="640" w:firstLineChars="20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年度总体目标：完善满足项目建设的基础要素建设，管理好生产生活配套设施，严格执行环评规划，合理布局，指导企业进行安全生产；企业培育工作。</w:t>
      </w:r>
    </w:p>
    <w:p>
      <w:pPr>
        <w:numPr>
          <w:ilvl w:val="0"/>
          <w:numId w:val="0"/>
        </w:numPr>
        <w:ind w:left="160" w:leftChars="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全年实际完成情况：完成日常维护的情况下，很好的为企业服务，完成率100%。</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（三）绩效指标完成情况分析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1、产出指标完成情况分析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招商经费：</w:t>
      </w:r>
      <w:r>
        <w:rPr>
          <w:rFonts w:hint="eastAsia" w:ascii="仿宋" w:hAnsi="仿宋" w:eastAsia="仿宋" w:cs="仿宋"/>
          <w:sz w:val="32"/>
          <w:szCs w:val="32"/>
        </w:rPr>
        <w:t>从数量来看，</w:t>
      </w:r>
      <w:r>
        <w:rPr>
          <w:rFonts w:hint="eastAsia" w:ascii="仿宋" w:hAnsi="仿宋" w:eastAsia="仿宋" w:cs="仿宋"/>
          <w:b w:val="0"/>
          <w:bCs w:val="0"/>
          <w:sz w:val="32"/>
          <w:szCs w:val="32"/>
          <w:lang w:val="en-US" w:eastAsia="zh-CN"/>
        </w:rPr>
        <w:t>累计走访企业45余家，参加各类招商推介会5次，</w:t>
      </w:r>
      <w:r>
        <w:rPr>
          <w:rFonts w:hint="eastAsia" w:ascii="宋体" w:hAnsi="宋体" w:eastAsia="仿宋" w:cs="仿宋"/>
          <w:color w:val="auto"/>
          <w:spacing w:val="0"/>
          <w:sz w:val="32"/>
          <w:szCs w:val="32"/>
          <w:lang w:val="en-US" w:eastAsia="zh-CN"/>
        </w:rPr>
        <w:t>引进</w:t>
      </w:r>
      <w:r>
        <w:rPr>
          <w:rFonts w:hint="eastAsia" w:ascii="宋体" w:hAnsi="宋体" w:eastAsia="仿宋" w:cs="仿宋"/>
          <w:color w:val="auto"/>
          <w:spacing w:val="0"/>
          <w:sz w:val="32"/>
          <w:szCs w:val="32"/>
          <w:lang w:eastAsia="zh-CN"/>
        </w:rPr>
        <w:t>项目</w:t>
      </w:r>
      <w:r>
        <w:rPr>
          <w:rFonts w:hint="eastAsia" w:ascii="宋体" w:hAnsi="宋体" w:eastAsia="仿宋" w:cs="仿宋"/>
          <w:color w:val="auto"/>
          <w:spacing w:val="0"/>
          <w:sz w:val="32"/>
          <w:szCs w:val="32"/>
          <w:lang w:val="en-US" w:eastAsia="zh-CN"/>
        </w:rPr>
        <w:t>10个</w:t>
      </w:r>
      <w:r>
        <w:rPr>
          <w:rFonts w:hint="eastAsia" w:ascii="宋体" w:hAnsi="宋体" w:eastAsia="仿宋" w:cs="仿宋"/>
          <w:color w:val="auto"/>
          <w:sz w:val="32"/>
          <w:szCs w:val="32"/>
          <w:lang w:eastAsia="zh-CN"/>
        </w:rPr>
        <w:t>，</w:t>
      </w:r>
      <w:r>
        <w:rPr>
          <w:rFonts w:hint="eastAsia" w:ascii="宋体" w:hAnsi="宋体" w:eastAsia="仿宋" w:cs="仿宋"/>
          <w:color w:val="auto"/>
          <w:spacing w:val="0"/>
          <w:sz w:val="32"/>
          <w:szCs w:val="32"/>
          <w:lang w:val="en-US" w:eastAsia="zh-CN"/>
        </w:rPr>
        <w:t>洽谈成熟待上会项目3个，技改项目1个，正在洽谈项目2个；</w:t>
      </w:r>
      <w:r>
        <w:rPr>
          <w:rFonts w:hint="eastAsia" w:ascii="仿宋" w:hAnsi="仿宋" w:eastAsia="仿宋" w:cs="仿宋"/>
          <w:sz w:val="32"/>
          <w:szCs w:val="32"/>
        </w:rPr>
        <w:t>从质量来看，从产业发展及项目落地角度出发，</w:t>
      </w:r>
      <w:r>
        <w:rPr>
          <w:rFonts w:hint="eastAsia" w:ascii="仿宋" w:hAnsi="仿宋" w:eastAsia="仿宋" w:cs="仿宋"/>
          <w:sz w:val="32"/>
          <w:szCs w:val="32"/>
          <w:lang w:val="en-US" w:eastAsia="zh-CN"/>
        </w:rPr>
        <w:t>不但优化营商环境，还</w:t>
      </w:r>
      <w:r>
        <w:rPr>
          <w:rFonts w:hint="eastAsia" w:ascii="仿宋" w:hAnsi="仿宋" w:eastAsia="仿宋" w:cs="仿宋"/>
          <w:sz w:val="32"/>
          <w:szCs w:val="32"/>
        </w:rPr>
        <w:t>形成控制性详细规划</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有效保证了引进企业的实力和质量。 </w:t>
      </w:r>
    </w:p>
    <w:p>
      <w:pPr>
        <w:numPr>
          <w:ilvl w:val="0"/>
          <w:numId w:val="0"/>
        </w:numPr>
        <w:ind w:left="16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业务费：从数量看，我单位2021年为企业安全生产排查的次数固定为每月一次，不定期的抽查，每年都超额完成任务，从质量来看，为企业提供优质服务，为企业的发展营造良好的环境。</w:t>
      </w:r>
    </w:p>
    <w:p>
      <w:pPr>
        <w:numPr>
          <w:ilvl w:val="0"/>
          <w:numId w:val="0"/>
        </w:numPr>
        <w:ind w:left="160"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效益</w:t>
      </w:r>
      <w:r>
        <w:rPr>
          <w:rFonts w:hint="eastAsia" w:ascii="仿宋" w:hAnsi="仿宋" w:eastAsia="仿宋" w:cs="仿宋"/>
          <w:sz w:val="32"/>
          <w:szCs w:val="32"/>
          <w:lang w:val="en-US" w:eastAsia="zh-CN"/>
        </w:rPr>
        <w:t>指标完成</w:t>
      </w:r>
      <w:r>
        <w:rPr>
          <w:rFonts w:hint="eastAsia" w:ascii="仿宋" w:hAnsi="仿宋" w:eastAsia="仿宋" w:cs="仿宋"/>
          <w:sz w:val="32"/>
          <w:szCs w:val="32"/>
        </w:rPr>
        <w:t xml:space="preserve">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招商经费：</w:t>
      </w:r>
      <w:r>
        <w:rPr>
          <w:rFonts w:hint="eastAsia" w:ascii="仿宋" w:hAnsi="仿宋" w:eastAsia="仿宋" w:cs="仿宋"/>
          <w:sz w:val="32"/>
          <w:szCs w:val="32"/>
        </w:rPr>
        <w:t>该项目产生的效益主要是经济效益和</w:t>
      </w:r>
      <w:r>
        <w:rPr>
          <w:rFonts w:hint="eastAsia" w:ascii="仿宋" w:hAnsi="仿宋" w:eastAsia="仿宋" w:cs="仿宋"/>
          <w:sz w:val="32"/>
          <w:szCs w:val="32"/>
          <w:lang w:val="en-US" w:eastAsia="zh-CN"/>
        </w:rPr>
        <w:t>可持续影响</w:t>
      </w:r>
      <w:r>
        <w:rPr>
          <w:rFonts w:hint="eastAsia" w:ascii="仿宋" w:hAnsi="仿宋" w:eastAsia="仿宋" w:cs="仿宋"/>
          <w:sz w:val="32"/>
          <w:szCs w:val="32"/>
        </w:rPr>
        <w:t>效益，主要表现在对辖区内经济、税收增长的促进以及就业率的增加等方面。通过引进资金不仅发展了</w:t>
      </w:r>
      <w:r>
        <w:rPr>
          <w:rFonts w:hint="eastAsia" w:ascii="仿宋" w:hAnsi="仿宋" w:eastAsia="仿宋" w:cs="仿宋"/>
          <w:sz w:val="32"/>
          <w:szCs w:val="32"/>
          <w:lang w:val="en-US" w:eastAsia="zh-CN"/>
        </w:rPr>
        <w:t>辖区</w:t>
      </w:r>
      <w:r>
        <w:rPr>
          <w:rFonts w:hint="eastAsia" w:ascii="仿宋" w:hAnsi="仿宋" w:eastAsia="仿宋" w:cs="仿宋"/>
          <w:sz w:val="32"/>
          <w:szCs w:val="32"/>
        </w:rPr>
        <w:t>经济，而且还带来了先进的技术设备，促进企业产品的升级换代。新的企业也带来先进的管理方式，促进了新老企之间的借鉴交流。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业务费：</w:t>
      </w:r>
      <w:r>
        <w:rPr>
          <w:rFonts w:hint="eastAsia" w:ascii="仿宋" w:hAnsi="仿宋" w:eastAsia="仿宋" w:cs="仿宋"/>
          <w:sz w:val="32"/>
          <w:szCs w:val="32"/>
        </w:rPr>
        <w:t>该项目产生的效益主要是</w:t>
      </w:r>
      <w:r>
        <w:rPr>
          <w:rFonts w:hint="eastAsia" w:ascii="仿宋" w:hAnsi="仿宋" w:eastAsia="仿宋" w:cs="仿宋"/>
          <w:sz w:val="32"/>
          <w:szCs w:val="32"/>
          <w:lang w:val="en-US" w:eastAsia="zh-CN"/>
        </w:rPr>
        <w:t>可持续影响指标</w:t>
      </w:r>
      <w:r>
        <w:rPr>
          <w:rFonts w:hint="eastAsia" w:ascii="仿宋" w:hAnsi="仿宋" w:eastAsia="仿宋" w:cs="仿宋"/>
          <w:sz w:val="32"/>
          <w:szCs w:val="32"/>
        </w:rPr>
        <w:t>，主要表现在对</w:t>
      </w:r>
      <w:r>
        <w:rPr>
          <w:rFonts w:hint="eastAsia" w:ascii="仿宋" w:hAnsi="仿宋" w:eastAsia="仿宋" w:cs="仿宋"/>
          <w:sz w:val="32"/>
          <w:szCs w:val="32"/>
          <w:lang w:val="en-US" w:eastAsia="zh-CN"/>
        </w:rPr>
        <w:t>为企业打下良好的基础，满足企业的基本要求。</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满意度指标完成情况分析</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满意度指标主要是服务对象满意度指标，达到企业满意度≥90%，完成率100%。</w:t>
      </w:r>
    </w:p>
    <w:p>
      <w:pPr>
        <w:rPr>
          <w:rFonts w:hint="eastAsia" w:ascii="仿宋" w:hAnsi="仿宋" w:eastAsia="仿宋" w:cs="仿宋"/>
          <w:sz w:val="32"/>
          <w:szCs w:val="32"/>
        </w:rPr>
      </w:pPr>
      <w:r>
        <w:rPr>
          <w:rFonts w:hint="eastAsia" w:ascii="仿宋" w:hAnsi="仿宋" w:eastAsia="仿宋" w:cs="仿宋"/>
          <w:sz w:val="32"/>
          <w:szCs w:val="32"/>
        </w:rPr>
        <w:t xml:space="preserve">（三）目标完成时效性情况 </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从</w:t>
      </w:r>
      <w:r>
        <w:rPr>
          <w:rFonts w:hint="eastAsia" w:ascii="仿宋" w:hAnsi="仿宋" w:eastAsia="仿宋" w:cs="仿宋"/>
          <w:sz w:val="32"/>
          <w:szCs w:val="32"/>
          <w:lang w:val="en-US" w:eastAsia="zh-CN"/>
        </w:rPr>
        <w:t>县财政一体化平台</w:t>
      </w:r>
      <w:r>
        <w:rPr>
          <w:rFonts w:hint="eastAsia" w:ascii="仿宋" w:hAnsi="仿宋" w:eastAsia="仿宋" w:cs="仿宋"/>
          <w:sz w:val="32"/>
          <w:szCs w:val="32"/>
        </w:rPr>
        <w:t>中可以看出，本单位</w:t>
      </w:r>
      <w:r>
        <w:rPr>
          <w:rFonts w:hint="eastAsia" w:ascii="仿宋" w:hAnsi="仿宋" w:eastAsia="仿宋" w:cs="仿宋"/>
          <w:sz w:val="32"/>
          <w:szCs w:val="32"/>
          <w:lang w:val="en-US" w:eastAsia="zh-CN"/>
        </w:rPr>
        <w:t>大多</w:t>
      </w:r>
      <w:r>
        <w:rPr>
          <w:rFonts w:hint="eastAsia" w:ascii="仿宋" w:hAnsi="仿宋" w:eastAsia="仿宋" w:cs="仿宋"/>
          <w:sz w:val="32"/>
          <w:szCs w:val="32"/>
        </w:rPr>
        <w:t>能按照进度计划按时完成各项指标。</w:t>
      </w:r>
      <w:r>
        <w:rPr>
          <w:rFonts w:hint="eastAsia" w:ascii="仿宋" w:hAnsi="仿宋" w:eastAsia="仿宋" w:cs="仿宋"/>
          <w:b w:val="0"/>
          <w:bCs w:val="0"/>
          <w:sz w:val="32"/>
          <w:szCs w:val="32"/>
          <w:lang w:val="en-US" w:eastAsia="zh-CN"/>
        </w:rPr>
        <w:t>园区控制性详细规划和产业布局规划和</w:t>
      </w:r>
      <w:r>
        <w:rPr>
          <w:rFonts w:hint="eastAsia" w:ascii="仿宋" w:hAnsi="仿宋" w:eastAsia="仿宋" w:cs="仿宋"/>
          <w:sz w:val="32"/>
          <w:szCs w:val="32"/>
          <w:lang w:val="en-US" w:eastAsia="zh-CN"/>
        </w:rPr>
        <w:t>总体环境监测与评价也已经按照合同完成了支付进度。</w:t>
      </w:r>
    </w:p>
    <w:p>
      <w:pPr>
        <w:rPr>
          <w:rFonts w:hint="eastAsia" w:ascii="仿宋" w:hAnsi="仿宋" w:eastAsia="仿宋" w:cs="仿宋"/>
          <w:sz w:val="32"/>
          <w:szCs w:val="32"/>
        </w:rPr>
      </w:pPr>
      <w:r>
        <w:rPr>
          <w:rFonts w:hint="eastAsia" w:ascii="仿宋" w:hAnsi="仿宋" w:eastAsia="仿宋" w:cs="仿宋"/>
          <w:sz w:val="32"/>
          <w:szCs w:val="32"/>
        </w:rPr>
        <w:t xml:space="preserve">三、偏离绩效目标的原因和下一步改进措施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2021年度项目为招商经费及业务费，没有偏离绩效目标并超额。</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通过自查，</w:t>
      </w:r>
      <w:r>
        <w:rPr>
          <w:rFonts w:hint="eastAsia" w:ascii="仿宋" w:hAnsi="仿宋" w:eastAsia="仿宋" w:cs="仿宋"/>
          <w:sz w:val="32"/>
          <w:szCs w:val="32"/>
        </w:rPr>
        <w:t>项目存在</w:t>
      </w:r>
      <w:r>
        <w:rPr>
          <w:rFonts w:hint="eastAsia" w:ascii="仿宋" w:hAnsi="仿宋" w:eastAsia="仿宋" w:cs="仿宋"/>
          <w:sz w:val="32"/>
          <w:szCs w:val="32"/>
          <w:lang w:val="en-US" w:eastAsia="zh-CN"/>
        </w:rPr>
        <w:t>一定的问题，其</w:t>
      </w:r>
      <w:r>
        <w:rPr>
          <w:rFonts w:hint="eastAsia" w:ascii="仿宋" w:hAnsi="仿宋" w:eastAsia="仿宋" w:cs="仿宋"/>
          <w:sz w:val="32"/>
          <w:szCs w:val="32"/>
        </w:rPr>
        <w:t xml:space="preserve">主要问题是不能够根据实际情况，制定具体可行的月度招商引资计划。一方面是由该项目的特点决定，外界可变因素往往不可控，导致计划的实施难以达到预期。另一方面，项目实施人员往往更关注年度计划的完成，而忽视了阶段计划的制定。 </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针对问题，</w:t>
      </w:r>
      <w:r>
        <w:rPr>
          <w:rFonts w:hint="eastAsia" w:ascii="仿宋" w:hAnsi="仿宋" w:eastAsia="仿宋" w:cs="仿宋"/>
          <w:sz w:val="32"/>
          <w:szCs w:val="32"/>
          <w:lang w:val="en-US" w:eastAsia="zh-CN"/>
        </w:rPr>
        <w:t>首先，</w:t>
      </w:r>
      <w:r>
        <w:rPr>
          <w:rFonts w:hint="eastAsia" w:ascii="仿宋" w:hAnsi="仿宋" w:eastAsia="仿宋" w:cs="仿宋"/>
          <w:sz w:val="32"/>
          <w:szCs w:val="32"/>
        </w:rPr>
        <w:t>建议对口部门加强对业务人员的培训，通过工作任务的深入研究，增强对招商引资工作规律性的把握，从而将年度任务化整为零，分阶段完成。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其次，</w:t>
      </w:r>
      <w:r>
        <w:rPr>
          <w:rFonts w:hint="eastAsia" w:ascii="仿宋" w:hAnsi="仿宋" w:eastAsia="仿宋" w:cs="仿宋"/>
          <w:sz w:val="32"/>
          <w:szCs w:val="32"/>
        </w:rPr>
        <w:t>进一步加强了预算管理，加大预算执行力度，确保实现预算管理的科学化、公开化、透明化。树立了节俭办学意识，科学合理有效地使用资金，为办</w:t>
      </w:r>
      <w:r>
        <w:rPr>
          <w:rFonts w:hint="eastAsia" w:ascii="仿宋" w:hAnsi="仿宋" w:eastAsia="仿宋" w:cs="仿宋"/>
          <w:sz w:val="32"/>
          <w:szCs w:val="32"/>
          <w:lang w:val="en-US" w:eastAsia="zh-CN"/>
        </w:rPr>
        <w:t>公</w:t>
      </w:r>
      <w:r>
        <w:rPr>
          <w:rFonts w:hint="eastAsia" w:ascii="仿宋" w:hAnsi="仿宋" w:eastAsia="仿宋" w:cs="仿宋"/>
          <w:sz w:val="32"/>
          <w:szCs w:val="32"/>
        </w:rPr>
        <w:t>所需日常公用经费、事业发展所需项目经费等方面工作提供坚实的支撑。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再次，</w:t>
      </w:r>
      <w:r>
        <w:rPr>
          <w:rFonts w:hint="eastAsia" w:ascii="仿宋" w:hAnsi="仿宋" w:eastAsia="仿宋" w:cs="仿宋"/>
          <w:sz w:val="32"/>
          <w:szCs w:val="32"/>
        </w:rPr>
        <w:t>树立了以全面预算管理、绩效评价管理、审批制度管理和审核制度管理为主要内容的管理理念，使</w:t>
      </w:r>
      <w:r>
        <w:rPr>
          <w:rFonts w:hint="eastAsia" w:ascii="仿宋" w:hAnsi="仿宋" w:eastAsia="仿宋" w:cs="仿宋"/>
          <w:sz w:val="32"/>
          <w:szCs w:val="32"/>
          <w:lang w:val="en-US" w:eastAsia="zh-CN"/>
        </w:rPr>
        <w:t>单位</w:t>
      </w:r>
      <w:r>
        <w:rPr>
          <w:rFonts w:hint="eastAsia" w:ascii="仿宋" w:hAnsi="仿宋" w:eastAsia="仿宋" w:cs="仿宋"/>
          <w:sz w:val="32"/>
          <w:szCs w:val="32"/>
        </w:rPr>
        <w:t>的财务工作从单纯的申请资金、记账、出纳为主的报账型的工作方式，逐步转向事前参与决策、事中管理控制、事后绩效评价的新型财务管理模式。</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四、绩效自评结果拟应用和公开情况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通过自评发现，</w:t>
      </w:r>
      <w:r>
        <w:rPr>
          <w:rFonts w:hint="eastAsia" w:ascii="仿宋" w:hAnsi="仿宋" w:eastAsia="仿宋" w:cs="仿宋"/>
          <w:sz w:val="32"/>
          <w:szCs w:val="32"/>
          <w:lang w:val="en-US" w:eastAsia="zh-CN"/>
        </w:rPr>
        <w:t>我单位2021年度绩效目标已基本完成任务，并能及时公开自评结果。</w:t>
      </w:r>
    </w:p>
    <w:p>
      <w:pPr>
        <w:numPr>
          <w:ilvl w:val="0"/>
          <w:numId w:val="0"/>
        </w:numPr>
        <w:ind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五、其他需要说明的问题  </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无</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2D189"/>
    <w:multiLevelType w:val="singleLevel"/>
    <w:tmpl w:val="DC82D189"/>
    <w:lvl w:ilvl="0" w:tentative="0">
      <w:start w:val="2"/>
      <w:numFmt w:val="chineseCounting"/>
      <w:suff w:val="nothing"/>
      <w:lvlText w:val="%1、"/>
      <w:lvlJc w:val="left"/>
      <w:rPr>
        <w:rFonts w:hint="eastAsia"/>
      </w:rPr>
    </w:lvl>
  </w:abstractNum>
  <w:abstractNum w:abstractNumId="1">
    <w:nsid w:val="1CFA2F1C"/>
    <w:multiLevelType w:val="singleLevel"/>
    <w:tmpl w:val="1CFA2F1C"/>
    <w:lvl w:ilvl="0" w:tentative="0">
      <w:start w:val="1"/>
      <w:numFmt w:val="decimal"/>
      <w:suff w:val="nothing"/>
      <w:lvlText w:val="%1、"/>
      <w:lvlJc w:val="left"/>
    </w:lvl>
  </w:abstractNum>
  <w:abstractNum w:abstractNumId="2">
    <w:nsid w:val="62AC7BEC"/>
    <w:multiLevelType w:val="singleLevel"/>
    <w:tmpl w:val="62AC7BEC"/>
    <w:lvl w:ilvl="0" w:tentative="0">
      <w:start w:val="2"/>
      <w:numFmt w:val="chineseCounting"/>
      <w:suff w:val="nothing"/>
      <w:lvlText w:val="（%1）"/>
      <w:lvlJc w:val="left"/>
      <w:pPr>
        <w:ind w:left="16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ZjMTc0YzdiM2QyYjVjYTk0OTQ5MTBiMzkyYjEifQ=="/>
    <w:docVar w:name="KSO_WPS_MARK_KEY" w:val="d4fd05bd-0a89-4a6f-a21e-c5c299234c38"/>
  </w:docVars>
  <w:rsids>
    <w:rsidRoot w:val="12886019"/>
    <w:rsid w:val="092C31B4"/>
    <w:rsid w:val="0A212DAC"/>
    <w:rsid w:val="0AAD6954"/>
    <w:rsid w:val="0C4A61EA"/>
    <w:rsid w:val="105128D4"/>
    <w:rsid w:val="12886019"/>
    <w:rsid w:val="148407D2"/>
    <w:rsid w:val="174948C1"/>
    <w:rsid w:val="1AB44F51"/>
    <w:rsid w:val="1D061BEE"/>
    <w:rsid w:val="1F9D6076"/>
    <w:rsid w:val="20E2647E"/>
    <w:rsid w:val="2333623F"/>
    <w:rsid w:val="262E273A"/>
    <w:rsid w:val="26BE65C1"/>
    <w:rsid w:val="275423C0"/>
    <w:rsid w:val="3277452C"/>
    <w:rsid w:val="32863030"/>
    <w:rsid w:val="34F21963"/>
    <w:rsid w:val="3A7E3D1B"/>
    <w:rsid w:val="3F25110E"/>
    <w:rsid w:val="40D62E71"/>
    <w:rsid w:val="427C75BB"/>
    <w:rsid w:val="476A7A46"/>
    <w:rsid w:val="49853AA9"/>
    <w:rsid w:val="4A0865A6"/>
    <w:rsid w:val="4BDC43C5"/>
    <w:rsid w:val="4C3F0852"/>
    <w:rsid w:val="4CB02376"/>
    <w:rsid w:val="4F872E95"/>
    <w:rsid w:val="4F95120A"/>
    <w:rsid w:val="53A76599"/>
    <w:rsid w:val="57952281"/>
    <w:rsid w:val="58223006"/>
    <w:rsid w:val="5AA7220B"/>
    <w:rsid w:val="5B766AFE"/>
    <w:rsid w:val="5BF84E9C"/>
    <w:rsid w:val="5D005EBF"/>
    <w:rsid w:val="5F9A511C"/>
    <w:rsid w:val="611E7D30"/>
    <w:rsid w:val="65B41E70"/>
    <w:rsid w:val="661524DC"/>
    <w:rsid w:val="6FE44FC1"/>
    <w:rsid w:val="72A814B0"/>
    <w:rsid w:val="73A9683C"/>
    <w:rsid w:val="740236A5"/>
    <w:rsid w:val="74CF4373"/>
    <w:rsid w:val="75647EFA"/>
    <w:rsid w:val="75E54755"/>
    <w:rsid w:val="76086716"/>
    <w:rsid w:val="786629F3"/>
    <w:rsid w:val="7933346E"/>
    <w:rsid w:val="7AAA69F7"/>
    <w:rsid w:val="7BF51CD0"/>
    <w:rsid w:val="7D364208"/>
    <w:rsid w:val="7F4A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spacing w:line="441" w:lineRule="auto"/>
      <w:ind w:firstLine="400"/>
      <w:jc w:val="left"/>
    </w:pPr>
    <w:rPr>
      <w:rFonts w:ascii="MingLiU" w:hAnsi="MingLiU" w:eastAsia="MingLiU" w:cs="MingLiU"/>
      <w:color w:val="000000"/>
      <w:kern w:val="0"/>
      <w:sz w:val="19"/>
      <w:szCs w:val="19"/>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2483</Words>
  <Characters>2537</Characters>
  <Lines>0</Lines>
  <Paragraphs>0</Paragraphs>
  <TotalTime>10</TotalTime>
  <ScaleCrop>false</ScaleCrop>
  <LinksUpToDate>false</LinksUpToDate>
  <CharactersWithSpaces>2568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2020-05-21T02:41:00Z</dcterms:created>
  <dc:creator>Administrator</dc:creator>
  <cp:lastModifiedBy>Administrator</cp:lastModifiedBy>
  <dcterms:modified xsi:type="dcterms:W3CDTF">2024-01-04T01:19:16Z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B8C63DB8E876464A89095E53459D22AC_13</vt:lpwstr>
  </property>
</Properties>
</file>