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16" w:rsidRDefault="0061149B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乐亭县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年预算执行情况</w:t>
      </w:r>
    </w:p>
    <w:p w:rsidR="00DA0A16" w:rsidRDefault="0061149B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和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年预算（草案）的报告</w:t>
      </w:r>
    </w:p>
    <w:p w:rsidR="00DA0A16" w:rsidRDefault="0061149B">
      <w:pPr>
        <w:spacing w:line="580" w:lineRule="exact"/>
        <w:jc w:val="center"/>
        <w:rPr>
          <w:rFonts w:ascii="Times New Roman" w:eastAsia="楷体" w:hAnsi="Times New Roman" w:cs="Times New Roman"/>
          <w:color w:val="000000" w:themeColor="text1"/>
          <w:spacing w:val="-10"/>
          <w:kern w:val="10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spacing w:val="-10"/>
          <w:kern w:val="10"/>
          <w:sz w:val="32"/>
          <w:szCs w:val="32"/>
        </w:rPr>
        <w:t>－－</w:t>
      </w:r>
      <w:r>
        <w:rPr>
          <w:rFonts w:ascii="Times New Roman" w:eastAsia="楷体" w:hAnsi="Times New Roman" w:cs="Times New Roman"/>
          <w:color w:val="000000" w:themeColor="text1"/>
          <w:spacing w:val="-10"/>
          <w:kern w:val="10"/>
          <w:sz w:val="32"/>
          <w:szCs w:val="32"/>
        </w:rPr>
        <w:t>2023</w:t>
      </w:r>
      <w:r>
        <w:rPr>
          <w:rFonts w:ascii="Times New Roman" w:eastAsia="楷体" w:hAnsi="Times New Roman" w:cs="Times New Roman"/>
          <w:color w:val="000000" w:themeColor="text1"/>
          <w:spacing w:val="-10"/>
          <w:kern w:val="10"/>
          <w:sz w:val="32"/>
          <w:szCs w:val="32"/>
        </w:rPr>
        <w:t>年</w:t>
      </w:r>
      <w:r>
        <w:rPr>
          <w:rFonts w:ascii="Times New Roman" w:eastAsia="楷体" w:hAnsi="Times New Roman" w:cs="Times New Roman"/>
          <w:color w:val="000000" w:themeColor="text1"/>
          <w:spacing w:val="-10"/>
          <w:kern w:val="10"/>
          <w:sz w:val="32"/>
          <w:szCs w:val="32"/>
        </w:rPr>
        <w:t>1</w:t>
      </w:r>
      <w:r>
        <w:rPr>
          <w:rFonts w:ascii="Times New Roman" w:eastAsia="楷体" w:hAnsi="Times New Roman" w:cs="Times New Roman"/>
          <w:color w:val="000000" w:themeColor="text1"/>
          <w:spacing w:val="-10"/>
          <w:kern w:val="10"/>
          <w:sz w:val="32"/>
          <w:szCs w:val="32"/>
        </w:rPr>
        <w:t>月</w:t>
      </w:r>
      <w:r>
        <w:rPr>
          <w:rFonts w:ascii="Times New Roman" w:eastAsia="楷体" w:hAnsi="Times New Roman" w:cs="Times New Roman" w:hint="eastAsia"/>
          <w:color w:val="000000" w:themeColor="text1"/>
          <w:spacing w:val="-10"/>
          <w:kern w:val="10"/>
          <w:sz w:val="32"/>
          <w:szCs w:val="32"/>
        </w:rPr>
        <w:t xml:space="preserve"> </w:t>
      </w:r>
      <w:r>
        <w:rPr>
          <w:rFonts w:ascii="Times New Roman" w:eastAsia="楷体" w:hAnsi="Times New Roman" w:cs="Times New Roman" w:hint="eastAsia"/>
          <w:color w:val="000000" w:themeColor="text1"/>
          <w:spacing w:val="-10"/>
          <w:kern w:val="10"/>
          <w:sz w:val="32"/>
          <w:szCs w:val="32"/>
        </w:rPr>
        <w:t>13</w:t>
      </w:r>
      <w:r>
        <w:rPr>
          <w:rFonts w:ascii="Times New Roman" w:eastAsia="楷体" w:hAnsi="Times New Roman" w:cs="Times New Roman"/>
          <w:color w:val="000000" w:themeColor="text1"/>
          <w:spacing w:val="-10"/>
          <w:kern w:val="10"/>
          <w:sz w:val="32"/>
          <w:szCs w:val="32"/>
        </w:rPr>
        <w:t>日在乐亭县第十七届人民代表大会第三次会议上</w:t>
      </w:r>
    </w:p>
    <w:p w:rsidR="00DA0A16" w:rsidRDefault="0061149B">
      <w:pPr>
        <w:spacing w:line="580" w:lineRule="exact"/>
        <w:jc w:val="center"/>
        <w:rPr>
          <w:rFonts w:ascii="Times New Roman" w:eastAsia="楷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乐亭县财政局局长</w:t>
      </w:r>
      <w:r>
        <w:rPr>
          <w:rFonts w:ascii="Times New Roman" w:eastAsia="楷体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骆建永</w:t>
      </w:r>
    </w:p>
    <w:p w:rsidR="00DA0A16" w:rsidRDefault="00DA0A16">
      <w:pPr>
        <w:spacing w:line="580" w:lineRule="exact"/>
        <w:jc w:val="center"/>
        <w:rPr>
          <w:rFonts w:ascii="Times New Roman" w:eastAsia="楷体" w:hAnsi="Times New Roman" w:cs="Times New Roman"/>
          <w:color w:val="000000" w:themeColor="text1"/>
          <w:sz w:val="32"/>
          <w:szCs w:val="32"/>
        </w:rPr>
      </w:pPr>
    </w:p>
    <w:p w:rsidR="00DA0A16" w:rsidRDefault="0061149B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各位代表：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受县人民政府委托，现向大会提交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年预算执行情况和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年预算草案，请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予审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议，并请各位政协委员和其他列席人员提出意见和建议。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一、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年预算执行情况</w:t>
      </w:r>
    </w:p>
    <w:p w:rsidR="00DA0A16" w:rsidRDefault="0061149B">
      <w:pPr>
        <w:numPr>
          <w:ilvl w:val="0"/>
          <w:numId w:val="1"/>
        </w:num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 w:themeColor="text1"/>
          <w:sz w:val="32"/>
          <w:szCs w:val="32"/>
        </w:rPr>
        <w:t>一般公共财政预算收支完成情况</w:t>
      </w:r>
    </w:p>
    <w:p w:rsidR="00DA0A16" w:rsidRDefault="0061149B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一般公共预算收入完成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2100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，受政策性退税影响，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一般公共预算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自然口径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收入完成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143900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占调整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预算的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101.34%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，同比下降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28.14%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。其中：税收收入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48714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占调整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预算的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102.12%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，同比下降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64.26%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非税收入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95186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占调整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预算的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99.88%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，同比增长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148.8%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</w:t>
      </w:r>
    </w:p>
    <w:p w:rsidR="00DA0A16" w:rsidRDefault="0061149B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一般公共预算支出完成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399649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占调整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预算的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99.9%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，同比增长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0.8%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</w:t>
      </w:r>
    </w:p>
    <w:p w:rsidR="00DA0A16" w:rsidRDefault="0061149B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一般公共预算执行情况：一般公共预算收入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143900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万元，加上级补助收入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207346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万元，上年结余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11752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万元，一般债券转贷收入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112000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万元，调入资金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5006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万元，收入合计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52506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万元；一般公共预算支出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399649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万元，一般债券还本支出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113361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万元，上解支出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1205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万元，支出合计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52506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万元。收支总量相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lastRenderedPageBreak/>
        <w:t>抵，实现收支平衡。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 w:themeColor="text1"/>
          <w:sz w:val="32"/>
          <w:szCs w:val="32"/>
        </w:rPr>
        <w:t>（二）政府性基金预算收支完成情况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政府性基金收入完成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80251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占调整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预算的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99.62%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。专项债券转贷收入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111700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万元，上级转移支付收入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1164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万元，上年结余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17320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万元，调入资金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万元，收入合计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21774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万元。政府性基金支出完成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140516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占调整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预算的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97.6%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。专项债券还本支出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8600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万元，结转下年支出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61107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万元，调出资金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752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万元，支出合计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21774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万元。收支相抵，实现收支平衡。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 w:themeColor="text1"/>
          <w:sz w:val="32"/>
          <w:szCs w:val="32"/>
        </w:rPr>
        <w:t>（三）国有资本经营预算收支完成情况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上级补助收入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万元，上年结转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万元，用于国有企业退休人员社会化管理补助支出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万元，结余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万元结转下年使用。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 w:themeColor="text1"/>
          <w:sz w:val="32"/>
          <w:szCs w:val="32"/>
        </w:rPr>
        <w:t>（四）社会保险基金预算收支完成情况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社会保险基金收入完成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65346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占调整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预算的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102%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；社会保险基金支出完成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63112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占调整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预算的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97.53%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，滚存结余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45061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 w:themeColor="text1"/>
          <w:sz w:val="32"/>
          <w:szCs w:val="32"/>
        </w:rPr>
        <w:t>（五）政府债务情况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、政府债务限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额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和余额情况。经省政府批准，省财政厅核定我县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年度新增地方政府债务限额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105900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万元，其中一般债务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专项债务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95900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年末我县政府债务限额调整为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874057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万元。其中：一般债务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533931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专项债务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340126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年末，我县地方政府债务余额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744258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万元，其中：一般债务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4080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专项债务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336238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万元，债务规模未超省核定限额。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、新增债务规模和结构情况。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年，我县政府债务转贷收入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223700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万元，其中：新增再融资债券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102000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万元，用以偿还以前年度政府债券到期资金；新增一般债券资金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万元、专项债券资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111700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万元，用于经济开发区基础设施、城市供热、老用小区改造提升及市政维护等重点项目建设。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、债券还本付息情况。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全县安排债券还本支出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121961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其中：一般债券还本支出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113361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含再融资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债券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102000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，专项债券还本支出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8600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万元。安排利息支出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24606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万元，其中：一般债券利息支出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15210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万元、专项债券利息支出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9396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二、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年预算执行效果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一年来，我们认真落实县十七届人大二次会议预算审查决议要求，高效统筹疫情防控和经济社会发展，预算执行取得了新成效。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 w:themeColor="text1"/>
          <w:sz w:val="32"/>
          <w:szCs w:val="32"/>
        </w:rPr>
        <w:t>（一）开源节流，财政收支实现平稳运行。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面对经济性、疫情性、政策性减收因素叠加的不利局面，一方面，全力以赴开源，增强财政保障能力。一是精心组织收入。我们强化收入形势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研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判，对增值税留抵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退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税、缓税、免税等政策提前测算，精准应对，着力增强收入组织的前瞻性、主动性。通过加强重点税源征管、清理欠税，挖掘非税收入潜力等措施，可比口径一般公共预算收入全年完成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亿元，增长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4.8%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。二是主动向上争取资金。密切关注上级资金支持方向，有针对性地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做项目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资金争取工作。全年共争取各类资金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14.5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亿元，有力保障了我县重点领域建设发展的资金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lastRenderedPageBreak/>
        <w:t>需求。其中：新增政府债券资金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12.17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亿元、财力性转移支付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1.9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亿元、社会保障类项目资金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1536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万元、农村综合项目资金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2817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万元。三是盘活存量资金。实行更严格的盘活存量资金政策，将项目结余资金和连续两年未用完的结余资金全部收回，全年共盘活收回资金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1.9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亿元，统筹用于经济社会发展急需资金支持的领域。另一方面，多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措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并举节流，提高资金使用效率。一是努力压减一般性支出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。坚持过紧日子，进一步压减非必需项目支出，对受疫情影响无法开展及可暂缓实施的项目资金一律收回县财政，全年公用经费支出下降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35%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、三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公经费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下降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16.6%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二是强化预算约束。严格落实预算法，严控预算追加，除经政府批准外，不以部门文件、相关报告为依据追加安排财政资金，全年追加预算明显下降。三是提高资金使用效益。持续规范政府采购管理体系，强化财政投资评审，着力提高财政资金使用质效。全年完成政府采购项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个，预算资金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49667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万元，实际采购资金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47822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万元，节约资金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1845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万元，节支率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3.7%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。全年完成预算评审项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个，送审金额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47005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万元，审减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5800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万元，审减率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.34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；完成结算评审项目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个，送审金额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21395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万元，审减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万元，审减率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 w:themeColor="text1"/>
          <w:sz w:val="32"/>
          <w:szCs w:val="32"/>
        </w:rPr>
        <w:t>（二）统筹资源，财政支持政策落实落细。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坚决落实新的减税降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费政策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以及河北省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稳经济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一揽子政策措施，制定乐亭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县稳经济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29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条财政措施，并将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条八方面涉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企政策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制成明白卡在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政府官网发布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，强化政策宣传解读和工作督导，统筹资金确保政策不折不扣落地。全县共落实减税降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费及留抵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退税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23.73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亿元，落实阶段性减免市场主体房屋租金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226.9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万元。落实政府性融资担保政策，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lastRenderedPageBreak/>
        <w:t>创新财政资金支农服务方式，建立由县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财政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、省农业担保公司、合作银行按比例承担贷款损失的风险分担机制，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年化担保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费率控制在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0.8%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以内，年内发放担保贷款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1350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万元。实行政府采购支持政策，增加中小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微企业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采购份额，提高小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微企业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价格扣除优惠。扩大实施社保费缓缴政策，对符合条件的所有市场主体阶段性缓缴单位缴费部分，全年办理缓缴养老保险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85.6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万元、缓缴失业保险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万元。加大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稳岗支持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力度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1627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家市场主体返还失业保险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1237.7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956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家企业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发放留工补助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1021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万元。加强民生保障，全县民生支出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7.34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亿元，占一般公共预算支出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18.37%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。加大创业担保贷款贴息力度，适当提高额度、降低申请门槛和利率水平，共计发放创业担保贷款贴息资金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704.19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万元。上述政策的落实落地，为市场主体提供了大量现金流，提振了市场主体发展预期和信心，为稳定经济大盘提供了强力支撑。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 w:themeColor="text1"/>
          <w:sz w:val="32"/>
          <w:szCs w:val="32"/>
        </w:rPr>
        <w:t>（三）深化改革，财政管理水平持续提升。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认真贯彻中央、省财政体制改革精神，推动全县财政管理提质增效。一是预算管理制度改革不断深入。全面启动预算管理一体化平台应用，完成全县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76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家预算部门的基础信息录入和权限设置，实现预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算项目全周期管理。二是预算绩效管理全面推行。坚持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花钱必问效、无效必问责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的绩效管理理念，将预算绩效管理嵌入资金拨付管理全过程，确保支出精准高效，让每一笔钱都用在刀刃上、紧要处。三是暂付款消化取得阶段性成效。按照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严控增量、消化存量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原则，强力推动财政资金暂付款清理消化工作，</w:t>
      </w:r>
      <w:proofErr w:type="gramStart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当年消</w:t>
      </w:r>
      <w:proofErr w:type="gramEnd"/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存量暂付款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46523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万元，超额完成当年化解任务的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150%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。四是</w:t>
      </w:r>
      <w:r>
        <w:rPr>
          <w:rFonts w:ascii="Times New Roman" w:eastAsia="仿宋_GB2312" w:hAnsi="仿宋" w:cs="Times New Roman"/>
          <w:color w:val="000000" w:themeColor="text1"/>
          <w:kern w:val="0"/>
          <w:sz w:val="32"/>
          <w:szCs w:val="32"/>
        </w:rPr>
        <w:t>政府投资项目管理规</w:t>
      </w:r>
      <w:r>
        <w:rPr>
          <w:rFonts w:ascii="Times New Roman" w:eastAsia="仿宋_GB2312" w:hAnsi="仿宋" w:cs="Times New Roman"/>
          <w:color w:val="000000" w:themeColor="text1"/>
          <w:kern w:val="0"/>
          <w:sz w:val="32"/>
          <w:szCs w:val="32"/>
        </w:rPr>
        <w:lastRenderedPageBreak/>
        <w:t>范细化。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通过明确政府投资范围，强化预算约束，规范变更审批、资金结算程序等措施，财政资金使用效益进一步提高，预计每年可节约资金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2500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万元以上。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各位代表，过去的一年，在县委坚强领导下，在人大、政协监督指导及社会各界关心支持下，我们积极应对疫情冲击，顶住经济下行压力，围绕县委中心工作，迎难而上，锐意进取，为全县经济平稳发展提供了财力保障。同时，我们也清醒地认识</w:t>
      </w:r>
      <w:r>
        <w:rPr>
          <w:rFonts w:ascii="Times New Roman" w:eastAsia="仿宋_GB2312" w:hAnsi="仿宋" w:cs="Times New Roman" w:hint="eastAsia"/>
          <w:color w:val="000000" w:themeColor="text1"/>
          <w:sz w:val="32"/>
          <w:szCs w:val="32"/>
        </w:rPr>
        <w:t>到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当前财政工作仍然存在一些困难和问题：一是我县经常性税源不足，税基不稳，税收收入增长乏力，在地方一般公共预算收入中的占比呈下降态势，收入质量堪忧。二是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三保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支出、各类县级配套、政府债务还本付息等刚性支出增加，财政支出压力加大。三是房地产市场不景气，土地成交低迷，给财政平稳运行带来较大压力和不确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定性。四是预算绩效管理、财政监督亟待进一步加强。对这些问题，我们将高度重视，认真分析把脉，在今后的工作中采取更有力的措施加以克服和解决。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黑体"/>
          <w:color w:val="000000" w:themeColor="text1"/>
          <w:kern w:val="2"/>
          <w:sz w:val="32"/>
          <w:szCs w:val="32"/>
        </w:rPr>
        <w:t>三、</w:t>
      </w: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2023</w:t>
      </w:r>
      <w:r>
        <w:rPr>
          <w:rFonts w:ascii="Times New Roman" w:eastAsia="黑体" w:hAnsi="黑体"/>
          <w:color w:val="000000" w:themeColor="text1"/>
          <w:kern w:val="2"/>
          <w:sz w:val="32"/>
          <w:szCs w:val="32"/>
        </w:rPr>
        <w:t>年预算（草案）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2023</w:t>
      </w:r>
      <w:r>
        <w:rPr>
          <w:rFonts w:ascii="Times New Roman" w:eastAsia="仿宋_GB2312" w:hAnsi="仿宋"/>
          <w:color w:val="000000" w:themeColor="text1"/>
          <w:kern w:val="2"/>
          <w:sz w:val="32"/>
          <w:szCs w:val="32"/>
        </w:rPr>
        <w:t>年预算编制的指导思想是：认真贯彻落实党的二十大精神，在发展中保障和改善民生，履行财政使命，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持续深化财政预算管理改革，加强财政资源统筹，强化预算约束和绩效管理，提高财政资金使用效益；兜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牢兜实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三保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底线，加强财政风险管控，确保财政可持续性发展。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Times New Roman" w:eastAsia="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楷体"/>
          <w:b/>
          <w:color w:val="000000" w:themeColor="text1"/>
          <w:sz w:val="32"/>
          <w:szCs w:val="32"/>
        </w:rPr>
        <w:t>（一）</w:t>
      </w: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2023</w:t>
      </w:r>
      <w:r>
        <w:rPr>
          <w:rFonts w:ascii="Times New Roman" w:eastAsia="楷体" w:hAnsi="楷体"/>
          <w:b/>
          <w:color w:val="000000" w:themeColor="text1"/>
          <w:sz w:val="32"/>
          <w:szCs w:val="32"/>
        </w:rPr>
        <w:t>年预算安排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Times New Roman" w:eastAsia="仿宋" w:hAnsi="Times New Roman"/>
          <w:b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/>
          <w:b/>
          <w:color w:val="000000" w:themeColor="text1"/>
          <w:kern w:val="2"/>
          <w:sz w:val="32"/>
          <w:szCs w:val="32"/>
        </w:rPr>
        <w:t>、一般公共预算</w:t>
      </w:r>
    </w:p>
    <w:p w:rsidR="00DA0A16" w:rsidRDefault="0061149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县本级一般公共预算收入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170000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万元，同比增长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18.1%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（其中：税收收入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110000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万元，同比增长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126%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；非税收入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万元，同比下降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36.8%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）。按照收入计划和财政体制测算：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年全县财政可用财力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756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万元（提前下达的转移支付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848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万元＋公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财收入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170000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万元＋税收返还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25012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万元＋财力性转移支付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87947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万元－上解支出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12051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万元）－公财支出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9620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万元，资金缺口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864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万元，拟调入政府性基金结余弥补。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县本级一般公共预算支出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620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万元，其中：人员经费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197034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万元、公用经费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5445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万元、项目经费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236939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债务还本支出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万元。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收支缺口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864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万元，拟调入政府性基金预算结余弥补。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、政府性基金预算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政府性基金收入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132452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万元，其中：土地出让金收入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124300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万元，农业开发资金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500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万元，城市配套费收入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2200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万元，彩票公益金收入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400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万元，污水处理费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4000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万元，上级转移支付收入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1052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万元。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按照收支平衡原则，政府性基金支出安排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37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588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万元，其中：拆迁补偿支出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7348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万元，农业农村支出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6606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万元，城区绿化租金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1330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万元，专项债务还本付息支出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万元，其他资金支出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万元，结余资金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864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万元调入一般公共预算，用于弥补公共预算收支缺口。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3</w:t>
      </w:r>
      <w:r>
        <w:rPr>
          <w:rFonts w:ascii="Times New Roman" w:eastAsia="仿宋" w:hAnsi="仿宋" w:cs="Times New Roman"/>
          <w:b/>
          <w:color w:val="000000" w:themeColor="text1"/>
          <w:sz w:val="32"/>
          <w:szCs w:val="32"/>
        </w:rPr>
        <w:t>、国有资本经营预算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上级补助收入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万元，上年结转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万元，用于国有企业退休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lastRenderedPageBreak/>
        <w:t>人员社会化管理补助支出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万元。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、社会保险基金预算</w:t>
      </w:r>
    </w:p>
    <w:p w:rsidR="00DA0A16" w:rsidRDefault="0061149B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社保基金预算收入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75572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万元，增长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14%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。其中：城乡居民养老保险基金收入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24980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万元、机关养老金收入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50592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</w:t>
      </w:r>
    </w:p>
    <w:p w:rsidR="00DA0A16" w:rsidRDefault="0061149B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社保基金预算支出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73308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万元，增长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11%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。其中：城乡居民养老支出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21888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万元、机关养老金支出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51420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万元。</w:t>
      </w:r>
    </w:p>
    <w:p w:rsidR="00DA0A16" w:rsidRDefault="0061149B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当年结余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2264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万元，滚存结余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45550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万元。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79" w:lineRule="exact"/>
        <w:ind w:firstLineChars="200" w:firstLine="643"/>
        <w:jc w:val="both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 w:hint="eastAsia"/>
          <w:b/>
          <w:color w:val="000000" w:themeColor="text1"/>
          <w:sz w:val="32"/>
          <w:szCs w:val="32"/>
        </w:rPr>
        <w:t>、政府债务情况</w:t>
      </w:r>
    </w:p>
    <w:p w:rsidR="00DA0A16" w:rsidRDefault="0061149B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年需偿还债券本金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111182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万元，其中：一般债券还本支出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104402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万元，专项债券还本支出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6780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万元；本级预算安排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282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万元，其余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110900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万元拟通过再融资债券借新还旧偿还。偿还债券利息支出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25264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万元，其中：一般债券利息支出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14222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万元，专项债券利息支出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11042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万元。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3"/>
        <w:jc w:val="both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（二）重大支出政策及主要预算安排情况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教育支出安排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12724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用于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保障义务教育经费保障机制和薄弱学校提升改造、普通教育和职业教育能力提升；城乡居民及企业养老保险补助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18813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万元、城乡居民医疗保险补助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4175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万元、长期照护险补助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1414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万元、计划生育补助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7162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万元、医疗卫生体制改革补助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6504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万元、疫情防控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3700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万元、优抚对象补助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7412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万元、困难群众救助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5348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万元、高龄老人津贴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985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万元、污水处理费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6339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万元、城市维护支出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1633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万元、环境卫生整治支出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5243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双代运行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及建设经费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2430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万元、农村改厕支出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1837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万元、专项扶贫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资金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203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万元、农田建设支出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2744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万元、地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下水超采专项治理资金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5252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万元、二滦河防洪治理工程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708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万元、林业发展资金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1589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万元、海洋生态修复资金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5669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万元、村级经费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11040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万元、一般债还本付息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万元、税务经费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1800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万元、乡财政收入分成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2500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万元、农村综合改革资金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3315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万元、残疾人保障金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2670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万元、财政预留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4200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万元（预备费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万元、招商经费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万元、</w:t>
      </w:r>
      <w:r w:rsidR="00361F81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其它</w:t>
      </w:r>
      <w:r w:rsidR="00361F81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项目</w:t>
      </w:r>
      <w:bookmarkStart w:id="0" w:name="_GoBack"/>
      <w:bookmarkEnd w:id="0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费用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1200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万元）。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/>
          <w:color w:val="000000" w:themeColor="text1"/>
          <w:sz w:val="32"/>
          <w:szCs w:val="32"/>
        </w:rPr>
        <w:t>四、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2023</w:t>
      </w:r>
      <w:r>
        <w:rPr>
          <w:rFonts w:ascii="Times New Roman" w:eastAsia="黑体" w:hAnsi="黑体"/>
          <w:color w:val="000000" w:themeColor="text1"/>
          <w:sz w:val="32"/>
          <w:szCs w:val="32"/>
        </w:rPr>
        <w:t>年财政重点工作</w:t>
      </w:r>
    </w:p>
    <w:p w:rsidR="00DA0A16" w:rsidRDefault="0061149B">
      <w:pPr>
        <w:pStyle w:val="a7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仿宋"/>
          <w:color w:val="000000" w:themeColor="text1"/>
          <w:kern w:val="2"/>
          <w:sz w:val="32"/>
          <w:szCs w:val="32"/>
        </w:rPr>
        <w:t>受财源基础薄弱、刚性支出需求增大等因素影响，当前和今后一段时期我县财政运行紧平衡状态将更加明显。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2023</w:t>
      </w:r>
      <w:r>
        <w:rPr>
          <w:rFonts w:ascii="Times New Roman" w:eastAsia="仿宋_GB2312" w:hAnsi="仿宋"/>
          <w:color w:val="000000" w:themeColor="text1"/>
          <w:kern w:val="2"/>
          <w:sz w:val="32"/>
          <w:szCs w:val="32"/>
        </w:rPr>
        <w:t>年，我们将重点做好以下工作：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（一）深耕财源，提升财政保障能力。</w:t>
      </w:r>
      <w:r>
        <w:rPr>
          <w:rFonts w:ascii="仿宋" w:eastAsia="仿宋_GB2312" w:hAnsi="仿宋" w:cs="Times New Roman" w:hint="eastAsia"/>
          <w:color w:val="000000" w:themeColor="text1"/>
          <w:sz w:val="32"/>
          <w:szCs w:val="32"/>
        </w:rPr>
        <w:t>站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政治和全局的高度，增强抓好财政收入的重要性和紧迫性，把抓收入作为各级各部门在经济工作中的重中之重。一是加强现有重点税源管理控力度。支持税务部门加强对重点行业、重点企业、重点项目的税源分析，摸清税源底数，强化税种联动管理，堵塞征管漏洞，做到应收尽收；加大对各镇乡街园、各执收执罚单位的督导调度力度，研究制定组织收入奖惩机制，切实增加各有关单位组收工作的压力和动力，力争超收。开展综合治税，审核涉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企奖补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等政策，建立涉税信息台账，重点加强税负分析、税源监控、纳税评估及税务稽查，推动综合治税信息向纳税成果转化。二是着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力培植壮大基础财源。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依托和发挥我县钢铁产业优势，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大力引进上游供应企业、做强中游钢铁制造、拓展下游耗钢产业，构建起具有区域优势和韧性的产业链条，培育县域经济新的增长极。三是加大专项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资金争取力度。密切关注和研究国家、省、市扶持政策及投资方向，挖掘我县资源，有针对地组织各类项目包装申报，各职能部门项目加强与上级部门的沟通对接，争取上级项目资金向我县倾斜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减轻县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本级资金支出压力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。四是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推动土地高效有序出让。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组织职能部门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对我县土地资源潜力进行分析，摸清土地属性、权属，对有开发价值的地块制定收储及切实可行的出让方案，争取年内土地出让收入实现大幅增长。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（二）狠压支出，以预算刚性保财政平稳运行。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一是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强化源头控制，严格预算约束。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严格按照预算安排支出，严禁无预算超预算列支，把严把紧预算支出关口，严控预算追加，确有重大特殊情况需追加调整的，严格按照预算管理有关规定按程序报批。强化支出动态管理，严格执行各项经费开支标准，大力压减一般性支出和非急需、非刚性支出。二是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深化绩效评价，提高资金效益。学习借鉴先进地区预算绩效管理经验，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将预算绩效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管理向纵深推进，提高政府购买服务、信息化建设、城市更新维护、编制外用工方面的绩效评价深度，同时将绩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评价结果与预算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执行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相挂钩，及时清理绩效低下的项目和资金，确保将财政资金用在最急需、最紧迫的地方，提高财政资金使用质效。三是兜牢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底线，提升人民幸福指数。坚持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在财政支出的优先顺序，扎实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兜牢保基本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民生、保工资、保运转底线，把政府的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紧日子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过成群众的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好日子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。坚持尽力而为、量力而行原则，最大限度统筹资金，支持改善民生事业，着力保障文化教育、医疗养老、人居环境等领域资金需求，不断提升人民群众获得感和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幸福感。</w:t>
      </w:r>
    </w:p>
    <w:p w:rsidR="00DA0A16" w:rsidRDefault="0061149B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/>
          <w:color w:val="000000" w:themeColor="text1"/>
          <w:sz w:val="32"/>
          <w:szCs w:val="32"/>
        </w:rPr>
        <w:lastRenderedPageBreak/>
        <w:t>（三）主动防范，守住不发生系统风险底线。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进一步完善财政运行监测预警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机制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，对趋势性、苗头性问题保持高度警觉，早发现、早介入、早处置，确保风险可控。对</w:t>
      </w:r>
      <w:r>
        <w:rPr>
          <w:rFonts w:ascii="Times New Roman" w:eastAsia="仿宋_GB2312" w:hAnsi="仿宋" w:cs="Times New Roman"/>
          <w:color w:val="000000" w:themeColor="text1"/>
          <w:sz w:val="32"/>
          <w:szCs w:val="32"/>
        </w:rPr>
        <w:t>政府债务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实行借、用、管、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还全周期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管理，严格拟发专项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债项目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筛选把关，必须是经济社会效益比较明显，群众期盼、早晚要干的项目，项目收益能覆盖债券资金本息，项目建成后收益上缴财政，减轻财政支出压力。加强债券资金管理，严格按项目进度拨款，避免出现挪用、拆借等违规行为。加强债券项目管理，做精设计、做实概算，强化预算、结算评审，严禁超概算、超预算的情况发生。研究制定年度偿债方案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充分利用上级政策，进一步提高政府债务再融资比例，减轻财政短期偿付压力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高度关注融资平台市场化转型发展进程，推动形成政府和企业界限清晰、责任明确、风险可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控的良性机制，促进财政可持续发展。</w:t>
      </w:r>
    </w:p>
    <w:p w:rsidR="00DA0A16" w:rsidRDefault="006114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各位代表，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年财政工作任务更加艰巨，我们将在党的二十大精神指引下，在县委的坚强领导和县人大、县政协的监督支持下，奋力攻坚克难，强化财源建设，优化财政管理，为全县经济社会事业发展做出新的贡献！</w:t>
      </w:r>
    </w:p>
    <w:sectPr w:rsidR="00DA0A16">
      <w:footerReference w:type="default" r:id="rId9"/>
      <w:pgSz w:w="11906" w:h="16838"/>
      <w:pgMar w:top="1701" w:right="1417" w:bottom="141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9B" w:rsidRDefault="0061149B">
      <w:r>
        <w:separator/>
      </w:r>
    </w:p>
  </w:endnote>
  <w:endnote w:type="continuationSeparator" w:id="0">
    <w:p w:rsidR="0061149B" w:rsidRDefault="006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16" w:rsidRDefault="0061149B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380563"/>
                          </w:sdtPr>
                          <w:sdtEndPr/>
                          <w:sdtContent>
                            <w:p w:rsidR="00DA0A16" w:rsidRDefault="0061149B">
                              <w:pPr>
                                <w:pStyle w:val="a6"/>
                                <w:ind w:leftChars="100" w:left="210" w:rightChars="100" w:right="210"/>
                                <w:jc w:val="center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61F81" w:rsidRPr="00361F81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361F81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DA0A16" w:rsidRDefault="00DA0A16">
                          <w:pPr>
                            <w:pStyle w:val="a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sdt>
                    <w:sdtPr>
                      <w:id w:val="14380563"/>
                    </w:sdtPr>
                    <w:sdtEndPr/>
                    <w:sdtContent>
                      <w:p w:rsidR="00DA0A16" w:rsidRDefault="0061149B">
                        <w:pPr>
                          <w:pStyle w:val="a6"/>
                          <w:ind w:leftChars="100" w:left="210" w:rightChars="100" w:right="210"/>
                          <w:jc w:val="center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361F81" w:rsidRPr="00361F81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361F81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DA0A16" w:rsidRDefault="00DA0A16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A0A16" w:rsidRDefault="00DA0A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9B" w:rsidRDefault="0061149B">
      <w:r>
        <w:separator/>
      </w:r>
    </w:p>
  </w:footnote>
  <w:footnote w:type="continuationSeparator" w:id="0">
    <w:p w:rsidR="0061149B" w:rsidRDefault="0061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5AE9"/>
    <w:multiLevelType w:val="singleLevel"/>
    <w:tmpl w:val="44575AE9"/>
    <w:lvl w:ilvl="0">
      <w:start w:val="1"/>
      <w:numFmt w:val="decimal"/>
      <w:suff w:val="nothing"/>
      <w:lvlText w:val="%1、"/>
      <w:lvlJc w:val="left"/>
    </w:lvl>
  </w:abstractNum>
  <w:abstractNum w:abstractNumId="1">
    <w:nsid w:val="5268C29B"/>
    <w:multiLevelType w:val="singleLevel"/>
    <w:tmpl w:val="5268C29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jFmZjY0MmQ2NDEyZDc4MGM4MWIyZGY5Y2NhNWQifQ=="/>
  </w:docVars>
  <w:rsids>
    <w:rsidRoot w:val="36A62B96"/>
    <w:rsid w:val="000059CB"/>
    <w:rsid w:val="0000768A"/>
    <w:rsid w:val="000E5867"/>
    <w:rsid w:val="00130E5B"/>
    <w:rsid w:val="001D24F6"/>
    <w:rsid w:val="001D3041"/>
    <w:rsid w:val="001D5876"/>
    <w:rsid w:val="00223FF8"/>
    <w:rsid w:val="00241229"/>
    <w:rsid w:val="0024173A"/>
    <w:rsid w:val="00263D50"/>
    <w:rsid w:val="00266224"/>
    <w:rsid w:val="00270BE1"/>
    <w:rsid w:val="0028491F"/>
    <w:rsid w:val="0029597A"/>
    <w:rsid w:val="002B4D83"/>
    <w:rsid w:val="002F4273"/>
    <w:rsid w:val="00302372"/>
    <w:rsid w:val="003140EC"/>
    <w:rsid w:val="003205DB"/>
    <w:rsid w:val="00361F81"/>
    <w:rsid w:val="00397523"/>
    <w:rsid w:val="003B74C6"/>
    <w:rsid w:val="003E0B82"/>
    <w:rsid w:val="003E5D69"/>
    <w:rsid w:val="0047316A"/>
    <w:rsid w:val="00483391"/>
    <w:rsid w:val="004A5EE8"/>
    <w:rsid w:val="00525F54"/>
    <w:rsid w:val="00530A84"/>
    <w:rsid w:val="00547094"/>
    <w:rsid w:val="005815F1"/>
    <w:rsid w:val="00591308"/>
    <w:rsid w:val="005A54F4"/>
    <w:rsid w:val="0061149B"/>
    <w:rsid w:val="00613FE1"/>
    <w:rsid w:val="006227A9"/>
    <w:rsid w:val="00662F8E"/>
    <w:rsid w:val="00683DF8"/>
    <w:rsid w:val="006D280E"/>
    <w:rsid w:val="006E27B4"/>
    <w:rsid w:val="006F156E"/>
    <w:rsid w:val="00710099"/>
    <w:rsid w:val="007146CF"/>
    <w:rsid w:val="007175D8"/>
    <w:rsid w:val="007331E6"/>
    <w:rsid w:val="00733E7C"/>
    <w:rsid w:val="007544E4"/>
    <w:rsid w:val="007852EA"/>
    <w:rsid w:val="00785BD1"/>
    <w:rsid w:val="007B5277"/>
    <w:rsid w:val="007B708A"/>
    <w:rsid w:val="007C1565"/>
    <w:rsid w:val="007C6FAB"/>
    <w:rsid w:val="007D42A5"/>
    <w:rsid w:val="007E1F03"/>
    <w:rsid w:val="007E2904"/>
    <w:rsid w:val="00807C25"/>
    <w:rsid w:val="00897DFA"/>
    <w:rsid w:val="008F088E"/>
    <w:rsid w:val="00925653"/>
    <w:rsid w:val="00927DCF"/>
    <w:rsid w:val="009A480E"/>
    <w:rsid w:val="009D4FF9"/>
    <w:rsid w:val="009E5C42"/>
    <w:rsid w:val="009E766A"/>
    <w:rsid w:val="00A4138B"/>
    <w:rsid w:val="00A51903"/>
    <w:rsid w:val="00A83F43"/>
    <w:rsid w:val="00B25E4D"/>
    <w:rsid w:val="00B654E3"/>
    <w:rsid w:val="00B76AFD"/>
    <w:rsid w:val="00BC214C"/>
    <w:rsid w:val="00BE1B8C"/>
    <w:rsid w:val="00C01B8A"/>
    <w:rsid w:val="00C07A7F"/>
    <w:rsid w:val="00C07F4D"/>
    <w:rsid w:val="00C36D73"/>
    <w:rsid w:val="00C42D12"/>
    <w:rsid w:val="00C82081"/>
    <w:rsid w:val="00CA1EDE"/>
    <w:rsid w:val="00CE12A0"/>
    <w:rsid w:val="00D011C9"/>
    <w:rsid w:val="00D01A4E"/>
    <w:rsid w:val="00D51DBB"/>
    <w:rsid w:val="00D60804"/>
    <w:rsid w:val="00D8771C"/>
    <w:rsid w:val="00DA0A16"/>
    <w:rsid w:val="00DD2CE2"/>
    <w:rsid w:val="00DD4D27"/>
    <w:rsid w:val="00E17BD6"/>
    <w:rsid w:val="00E41CA6"/>
    <w:rsid w:val="00E57FEB"/>
    <w:rsid w:val="00E82984"/>
    <w:rsid w:val="00E94844"/>
    <w:rsid w:val="00EB29EC"/>
    <w:rsid w:val="00EC437C"/>
    <w:rsid w:val="00EE2460"/>
    <w:rsid w:val="00F22400"/>
    <w:rsid w:val="00F23EC8"/>
    <w:rsid w:val="00F311B2"/>
    <w:rsid w:val="00F40BE4"/>
    <w:rsid w:val="00F54AC5"/>
    <w:rsid w:val="00F63CA6"/>
    <w:rsid w:val="00F711BA"/>
    <w:rsid w:val="00F761CA"/>
    <w:rsid w:val="00FA6EFE"/>
    <w:rsid w:val="00FF43BD"/>
    <w:rsid w:val="038A350B"/>
    <w:rsid w:val="0721282E"/>
    <w:rsid w:val="0850534E"/>
    <w:rsid w:val="08F0001F"/>
    <w:rsid w:val="09434CDD"/>
    <w:rsid w:val="0A540824"/>
    <w:rsid w:val="0A7635CD"/>
    <w:rsid w:val="0A960E3D"/>
    <w:rsid w:val="0C403756"/>
    <w:rsid w:val="0DED76EC"/>
    <w:rsid w:val="0EA6430D"/>
    <w:rsid w:val="10735789"/>
    <w:rsid w:val="10CF6E57"/>
    <w:rsid w:val="125D0492"/>
    <w:rsid w:val="12B358FA"/>
    <w:rsid w:val="14D313B6"/>
    <w:rsid w:val="167C6105"/>
    <w:rsid w:val="183A72AB"/>
    <w:rsid w:val="1A085187"/>
    <w:rsid w:val="1B8A679C"/>
    <w:rsid w:val="1C395ACC"/>
    <w:rsid w:val="1C6010F7"/>
    <w:rsid w:val="1D5F4A4F"/>
    <w:rsid w:val="21E8421C"/>
    <w:rsid w:val="225464D8"/>
    <w:rsid w:val="247C4A71"/>
    <w:rsid w:val="24A02B8C"/>
    <w:rsid w:val="25A030FB"/>
    <w:rsid w:val="26CF7759"/>
    <w:rsid w:val="286E6460"/>
    <w:rsid w:val="2B656116"/>
    <w:rsid w:val="2C2601F5"/>
    <w:rsid w:val="30AC1814"/>
    <w:rsid w:val="36A62B96"/>
    <w:rsid w:val="3B1165B1"/>
    <w:rsid w:val="3C9450C1"/>
    <w:rsid w:val="3DF17B5D"/>
    <w:rsid w:val="3F4A7E6C"/>
    <w:rsid w:val="405031A4"/>
    <w:rsid w:val="407E2BE7"/>
    <w:rsid w:val="41E81277"/>
    <w:rsid w:val="41FB71FC"/>
    <w:rsid w:val="425D7EB7"/>
    <w:rsid w:val="42786A9F"/>
    <w:rsid w:val="43827BD5"/>
    <w:rsid w:val="445931A0"/>
    <w:rsid w:val="45195625"/>
    <w:rsid w:val="45C03FB5"/>
    <w:rsid w:val="48E46C3C"/>
    <w:rsid w:val="4AD26216"/>
    <w:rsid w:val="4B086994"/>
    <w:rsid w:val="4C8E1883"/>
    <w:rsid w:val="4C9D782D"/>
    <w:rsid w:val="4D3A5CC6"/>
    <w:rsid w:val="4FBE01E7"/>
    <w:rsid w:val="4FEA7360"/>
    <w:rsid w:val="503D78E7"/>
    <w:rsid w:val="5237602E"/>
    <w:rsid w:val="541A0123"/>
    <w:rsid w:val="55091064"/>
    <w:rsid w:val="55924C11"/>
    <w:rsid w:val="5761234D"/>
    <w:rsid w:val="58D740C7"/>
    <w:rsid w:val="59F55A72"/>
    <w:rsid w:val="5A2B4DF1"/>
    <w:rsid w:val="5BD743DE"/>
    <w:rsid w:val="5C367935"/>
    <w:rsid w:val="5EB97DCB"/>
    <w:rsid w:val="5F3508E0"/>
    <w:rsid w:val="60D84E80"/>
    <w:rsid w:val="6317538C"/>
    <w:rsid w:val="65717AC8"/>
    <w:rsid w:val="6AB51D8E"/>
    <w:rsid w:val="6CDA788A"/>
    <w:rsid w:val="6DAA5FD2"/>
    <w:rsid w:val="724C14C1"/>
    <w:rsid w:val="72B8241C"/>
    <w:rsid w:val="762B73A9"/>
    <w:rsid w:val="765B0B78"/>
    <w:rsid w:val="77B3080B"/>
    <w:rsid w:val="7914298E"/>
    <w:rsid w:val="7A715CD2"/>
    <w:rsid w:val="7B257F94"/>
    <w:rsid w:val="7BFD5343"/>
    <w:rsid w:val="7FD1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header"/>
    <w:basedOn w:val="a"/>
    <w:next w:val="1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uiPriority w:val="99"/>
    <w:qFormat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页眉 Char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1"/>
    <w:link w:val="a8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header"/>
    <w:basedOn w:val="a"/>
    <w:next w:val="1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uiPriority w:val="99"/>
    <w:qFormat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页眉 Char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1"/>
    <w:link w:val="a8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986</Words>
  <Characters>5623</Characters>
  <Application>Microsoft Office Word</Application>
  <DocSecurity>0</DocSecurity>
  <Lines>46</Lines>
  <Paragraphs>13</Paragraphs>
  <ScaleCrop>false</ScaleCrop>
  <Company>Microsoft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2023-01-10T10:34:00Z</cp:lastPrinted>
  <dcterms:created xsi:type="dcterms:W3CDTF">2023-01-08T12:30:00Z</dcterms:created>
  <dcterms:modified xsi:type="dcterms:W3CDTF">2024-01-03T08:26:00Z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16FA6CB320144AAB9B5C2BF0EA2F04B7</vt:lpwstr>
  </property>
</Properties>
</file>