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0" w:beforeAutospacing="0" w:after="225" w:afterAutospacing="0" w:line="450" w:lineRule="atLeast"/>
        <w:jc w:val="center"/>
        <w:rPr>
          <w:rFonts w:hint="eastAsia" w:ascii="宋体" w:hAnsi="宋体" w:cs="宋体"/>
          <w:color w:val="333333"/>
          <w:sz w:val="44"/>
          <w:szCs w:val="44"/>
        </w:rPr>
      </w:pPr>
      <w:bookmarkStart w:id="1" w:name="_GoBack"/>
      <w:bookmarkEnd w:id="1"/>
      <w:r>
        <w:rPr>
          <w:rFonts w:hint="eastAsia" w:ascii="宋体" w:hAnsi="宋体" w:cs="宋体"/>
          <w:color w:val="333333"/>
          <w:sz w:val="44"/>
          <w:szCs w:val="44"/>
        </w:rPr>
        <w:t>乐亭县档案馆</w:t>
      </w:r>
    </w:p>
    <w:p>
      <w:pPr>
        <w:pStyle w:val="4"/>
        <w:widowControl/>
        <w:shd w:val="clear" w:color="auto" w:fill="FFFFFF"/>
        <w:spacing w:before="0" w:beforeAutospacing="0" w:after="225" w:afterAutospacing="0" w:line="450" w:lineRule="atLeast"/>
        <w:jc w:val="center"/>
        <w:rPr>
          <w:rFonts w:hint="eastAsia" w:ascii="宋体" w:hAnsi="宋体" w:cs="宋体"/>
          <w:color w:val="333333"/>
          <w:sz w:val="44"/>
          <w:szCs w:val="44"/>
        </w:rPr>
      </w:pPr>
      <w:r>
        <w:rPr>
          <w:rFonts w:hint="eastAsia" w:ascii="宋体" w:hAnsi="宋体" w:cs="宋体"/>
          <w:color w:val="333333"/>
          <w:sz w:val="44"/>
          <w:szCs w:val="44"/>
        </w:rPr>
        <w:t>2021年</w:t>
      </w:r>
      <w:r>
        <w:rPr>
          <w:rFonts w:hint="eastAsia" w:ascii="宋体" w:hAnsi="宋体" w:cs="宋体"/>
          <w:color w:val="333333"/>
          <w:sz w:val="44"/>
          <w:szCs w:val="44"/>
          <w:lang w:eastAsia="zh-CN"/>
        </w:rPr>
        <w:t>单位</w:t>
      </w:r>
      <w:r>
        <w:rPr>
          <w:rFonts w:hint="eastAsia" w:ascii="宋体" w:hAnsi="宋体" w:cs="宋体"/>
          <w:color w:val="333333"/>
          <w:sz w:val="44"/>
          <w:szCs w:val="44"/>
        </w:rPr>
        <w:t>预算公开情况说明</w:t>
      </w:r>
    </w:p>
    <w:p>
      <w:pPr>
        <w:widowControl/>
        <w:spacing w:line="360" w:lineRule="auto"/>
        <w:ind w:firstLine="640"/>
        <w:jc w:val="left"/>
        <w:rPr>
          <w:rFonts w:hint="eastAsia" w:ascii="仿宋" w:hAnsi="仿宋" w:eastAsia="仿宋" w:cs="Arial"/>
          <w:color w:val="333333"/>
          <w:kern w:val="0"/>
          <w:sz w:val="32"/>
          <w:szCs w:val="32"/>
        </w:rPr>
      </w:pPr>
      <w:r>
        <w:rPr>
          <w:rFonts w:hint="eastAsia" w:ascii="仿宋" w:hAnsi="仿宋" w:eastAsia="仿宋" w:cs="Arial"/>
          <w:color w:val="333333"/>
          <w:kern w:val="0"/>
          <w:sz w:val="32"/>
          <w:szCs w:val="32"/>
        </w:rPr>
        <w:t>根据《中华人民共和国预算法》、《河北省委办公厅河北省人民政府办公厅印发〈关于进一步推进预算公开工作的实施意见〉的通知》（冀办发〔2016〕29号）、《河北省财政厅关于印发&lt;河北省预决算公开操作规程实施细则&gt;的通知》（冀财预【2016】129号）和政府信息公开制度等有关规定，以及《乐亭县财政局关于下达2021年</w:t>
      </w:r>
      <w:r>
        <w:rPr>
          <w:rFonts w:hint="eastAsia" w:ascii="仿宋" w:hAnsi="仿宋" w:eastAsia="仿宋" w:cs="Arial"/>
          <w:color w:val="333333"/>
          <w:kern w:val="0"/>
          <w:sz w:val="32"/>
          <w:szCs w:val="32"/>
          <w:lang w:eastAsia="zh-CN"/>
        </w:rPr>
        <w:t>单位</w:t>
      </w:r>
      <w:r>
        <w:rPr>
          <w:rFonts w:hint="eastAsia" w:ascii="仿宋" w:hAnsi="仿宋" w:eastAsia="仿宋" w:cs="Arial"/>
          <w:color w:val="333333"/>
          <w:kern w:val="0"/>
          <w:sz w:val="32"/>
          <w:szCs w:val="32"/>
        </w:rPr>
        <w:t>支出预算批复》（乐财预〔2021〕1号），现将乐亭县档案馆2021年度</w:t>
      </w:r>
      <w:r>
        <w:rPr>
          <w:rFonts w:hint="eastAsia" w:ascii="仿宋" w:hAnsi="仿宋" w:eastAsia="仿宋" w:cs="Arial"/>
          <w:color w:val="333333"/>
          <w:kern w:val="0"/>
          <w:sz w:val="32"/>
          <w:szCs w:val="32"/>
          <w:lang w:eastAsia="zh-CN"/>
        </w:rPr>
        <w:t>单位</w:t>
      </w:r>
      <w:r>
        <w:rPr>
          <w:rFonts w:hint="eastAsia" w:ascii="仿宋" w:hAnsi="仿宋" w:eastAsia="仿宋" w:cs="Arial"/>
          <w:color w:val="333333"/>
          <w:kern w:val="0"/>
          <w:sz w:val="32"/>
          <w:szCs w:val="32"/>
        </w:rPr>
        <w:t xml:space="preserve">预算及“三公”经费信息有关情况说明如下: </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一、</w:t>
      </w:r>
      <w:r>
        <w:rPr>
          <w:rFonts w:hint="eastAsia" w:ascii="方正粗黑宋简体" w:hAnsi="方正粗黑宋简体" w:eastAsia="方正粗黑宋简体" w:cs="方正粗黑宋简体"/>
          <w:color w:val="333333"/>
          <w:sz w:val="32"/>
          <w:szCs w:val="32"/>
          <w:lang w:eastAsia="zh-CN"/>
        </w:rPr>
        <w:t>单位</w:t>
      </w:r>
      <w:r>
        <w:rPr>
          <w:rFonts w:hint="eastAsia" w:ascii="方正粗黑宋简体" w:hAnsi="方正粗黑宋简体" w:eastAsia="方正粗黑宋简体" w:cs="方正粗黑宋简体"/>
          <w:color w:val="333333"/>
          <w:sz w:val="32"/>
          <w:szCs w:val="32"/>
        </w:rPr>
        <w:t>主要职责及机构设置情况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(一)</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职责</w:t>
      </w:r>
    </w:p>
    <w:p>
      <w:pPr>
        <w:pStyle w:val="4"/>
        <w:widowControl/>
        <w:shd w:val="clear" w:color="auto" w:fill="FFFFFF"/>
        <w:spacing w:before="0" w:beforeAutospacing="0" w:after="225" w:afterAutospacing="0" w:line="405" w:lineRule="atLeast"/>
        <w:ind w:left="105" w:firstLine="360"/>
        <w:rPr>
          <w:rFonts w:hint="eastAsia" w:ascii="仿宋" w:hAnsi="仿宋" w:eastAsia="仿宋" w:cs="Arial"/>
          <w:color w:val="333333"/>
          <w:sz w:val="32"/>
          <w:szCs w:val="32"/>
        </w:rPr>
      </w:pPr>
      <w:r>
        <w:rPr>
          <w:rFonts w:hint="eastAsia" w:ascii="仿宋" w:hAnsi="仿宋" w:eastAsia="仿宋" w:cs="Arial"/>
          <w:color w:val="333333"/>
          <w:sz w:val="32"/>
          <w:szCs w:val="32"/>
        </w:rPr>
        <w:t>1、贯彻落实国家、省、市有关档案工作的法律、法规和规章，依据有关法律、法规进行档案行政执法和监督检查。</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2、对全县档案事业实行宏观管理，制定档案事业发展计划，并对执行情况进行监督检查。</w:t>
      </w:r>
    </w:p>
    <w:p>
      <w:pPr>
        <w:pStyle w:val="4"/>
        <w:widowControl/>
        <w:shd w:val="clear" w:color="auto" w:fill="FFFFFF"/>
        <w:spacing w:before="0" w:beforeAutospacing="0" w:after="225" w:afterAutospacing="0" w:line="405" w:lineRule="atLeast"/>
        <w:rPr>
          <w:rFonts w:hint="eastAsia" w:ascii="仿宋" w:hAnsi="仿宋" w:eastAsia="仿宋" w:cs="Arial"/>
          <w:color w:val="333333"/>
          <w:sz w:val="32"/>
          <w:szCs w:val="32"/>
        </w:rPr>
      </w:pPr>
      <w:r>
        <w:rPr>
          <w:rFonts w:hint="eastAsia" w:ascii="仿宋" w:hAnsi="仿宋" w:eastAsia="仿宋" w:cs="Arial"/>
          <w:color w:val="333333"/>
          <w:sz w:val="32"/>
          <w:szCs w:val="32"/>
        </w:rPr>
        <w:t>     3、指导、检查、协调全县档案业务工作。</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4、负责组织全县档案科学技术研究和理论研究工作，推进全县档案工作的科学化、标准化和现代化建设。</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5、组织档案专业教育和档案干部的培训工作，协助做好档案专业技术职务评聘工作。</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6、集中统一保管县直机关、社会团体、部分企事业</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和镇（街道办）机关各个历史时期档案资料和革命历史资料。</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7、依法负责接收县直机关、社会团体、部分企事业</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和镇（街道办）机关的档案资料，并进行系统化、数字化整理；向全社会征集有关我县历史名胜、 名产、名人及其他有地方特色的档案资料。</w:t>
      </w:r>
    </w:p>
    <w:p>
      <w:pPr>
        <w:pStyle w:val="4"/>
        <w:widowControl/>
        <w:shd w:val="clear" w:color="auto" w:fill="FFFFFF"/>
        <w:spacing w:before="0" w:beforeAutospacing="0" w:after="225" w:afterAutospacing="0" w:line="405" w:lineRule="atLeast"/>
        <w:ind w:left="120" w:hanging="120"/>
        <w:rPr>
          <w:rFonts w:hint="eastAsia" w:ascii="仿宋" w:hAnsi="仿宋" w:eastAsia="仿宋" w:cs="Arial"/>
          <w:color w:val="333333"/>
          <w:sz w:val="32"/>
          <w:szCs w:val="32"/>
        </w:rPr>
      </w:pPr>
      <w:r>
        <w:rPr>
          <w:rFonts w:hint="eastAsia" w:ascii="仿宋" w:hAnsi="仿宋" w:eastAsia="仿宋" w:cs="Arial"/>
          <w:color w:val="333333"/>
          <w:sz w:val="32"/>
          <w:szCs w:val="32"/>
        </w:rPr>
        <w:t>     8、负责全县档案信息资源的开发、开放工作，利用档案资料开展编研出版工作；发挥档案信息资源的作用，为社会提供服务。</w:t>
      </w:r>
    </w:p>
    <w:p>
      <w:pPr>
        <w:pStyle w:val="4"/>
        <w:widowControl/>
        <w:shd w:val="clear" w:color="auto" w:fill="FFFFFF"/>
        <w:spacing w:before="0" w:beforeAutospacing="0" w:after="225" w:afterAutospacing="0" w:line="405" w:lineRule="atLeast"/>
        <w:ind w:left="360" w:hanging="360"/>
        <w:rPr>
          <w:rFonts w:hint="eastAsia" w:ascii="仿宋" w:hAnsi="仿宋" w:eastAsia="仿宋" w:cs="Arial"/>
          <w:color w:val="333333"/>
          <w:sz w:val="32"/>
          <w:szCs w:val="32"/>
        </w:rPr>
      </w:pPr>
      <w:r>
        <w:rPr>
          <w:rFonts w:hint="eastAsia" w:ascii="仿宋" w:hAnsi="仿宋" w:eastAsia="仿宋" w:cs="Arial"/>
          <w:color w:val="333333"/>
          <w:sz w:val="32"/>
          <w:szCs w:val="32"/>
        </w:rPr>
        <w:t>     9、负责档案宣传工作，统一管理全县档案资料的对外交流，协调全县档案工作中的外事活动。</w:t>
      </w:r>
    </w:p>
    <w:p>
      <w:pPr>
        <w:pStyle w:val="4"/>
        <w:widowControl/>
        <w:shd w:val="clear" w:color="auto" w:fill="FFFFFF"/>
        <w:spacing w:before="0" w:beforeAutospacing="0" w:after="225" w:afterAutospacing="0" w:line="405" w:lineRule="atLeast"/>
        <w:rPr>
          <w:rFonts w:hint="eastAsia" w:ascii="仿宋" w:hAnsi="仿宋" w:eastAsia="仿宋" w:cs="Arial"/>
          <w:color w:val="333333"/>
          <w:sz w:val="32"/>
          <w:szCs w:val="32"/>
        </w:rPr>
      </w:pPr>
      <w:r>
        <w:rPr>
          <w:rFonts w:hint="eastAsia" w:ascii="仿宋" w:hAnsi="仿宋" w:eastAsia="仿宋" w:cs="Arial"/>
          <w:color w:val="333333"/>
          <w:sz w:val="32"/>
          <w:szCs w:val="32"/>
        </w:rPr>
        <w:t>     10、完成县委、县政府交办的其他工作。</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（二）</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预算</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构成</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1、机构及组成</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乐亭档案馆是独立编制预算机构，属全额拨款的事业</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，下设办公室、业务科。</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2、人员构成情况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乐亭县档案馆共有8人，其中：在职人员8人，离退休人员10人。</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3、资产情况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房屋面积69平方米，机动车1 辆，电话1部。</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二、2021年度</w:t>
      </w:r>
      <w:r>
        <w:rPr>
          <w:rFonts w:hint="eastAsia" w:ascii="方正粗黑宋简体" w:hAnsi="方正粗黑宋简体" w:eastAsia="方正粗黑宋简体" w:cs="方正粗黑宋简体"/>
          <w:color w:val="333333"/>
          <w:sz w:val="32"/>
          <w:szCs w:val="32"/>
          <w:lang w:eastAsia="zh-CN"/>
        </w:rPr>
        <w:t>单位</w:t>
      </w:r>
      <w:r>
        <w:rPr>
          <w:rFonts w:hint="eastAsia" w:ascii="方正粗黑宋简体" w:hAnsi="方正粗黑宋简体" w:eastAsia="方正粗黑宋简体" w:cs="方正粗黑宋简体"/>
          <w:color w:val="333333"/>
          <w:sz w:val="32"/>
          <w:szCs w:val="32"/>
        </w:rPr>
        <w:t>预算总体情况说明</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收支情况：本年收入176.78万元，其中：财政拨款收入176.78万元，其他收入0万元。本年支出176.78万元，人员经费92.55万元，日常公用84.23万元。与上年相比预算增加76.59万元，主要为</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办公费增加72.43万元。</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三、机关运行经费安排情况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机关运行经费共计安排84.23万元，主要用于办公费、通讯费、维修费、差旅费、会议费、培训费、公务用车人员补贴及公车运行维护等，与上年相比增加72.43万元，主要为地址搬迁，新增人员增加的办公费。</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四、“三公”经费预算情况及增减变化</w:t>
      </w:r>
    </w:p>
    <w:p>
      <w:pPr>
        <w:pStyle w:val="4"/>
        <w:widowControl/>
        <w:shd w:val="clear" w:color="auto" w:fill="FFFFFF"/>
        <w:spacing w:before="0" w:beforeAutospacing="0" w:after="225" w:afterAutospacing="0" w:line="405" w:lineRule="atLeast"/>
        <w:ind w:firstLine="640" w:firstLineChars="200"/>
        <w:rPr>
          <w:rFonts w:hint="eastAsia" w:ascii="仿宋" w:hAnsi="仿宋" w:eastAsia="仿宋" w:cs="Arial"/>
          <w:color w:val="333333"/>
          <w:sz w:val="32"/>
          <w:szCs w:val="32"/>
        </w:rPr>
      </w:pPr>
      <w:r>
        <w:rPr>
          <w:rFonts w:hint="eastAsia" w:ascii="仿宋" w:hAnsi="仿宋" w:eastAsia="仿宋" w:cs="Arial"/>
          <w:color w:val="333333"/>
          <w:sz w:val="32"/>
          <w:szCs w:val="32"/>
        </w:rPr>
        <w:t>一般公共预算拨款，其中：公务接待费0万元，公务用车运行维护费2.84万元，均与上年基本持平，2021年无公车购置情况。</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 xml:space="preserve"> 五、工作活动绩效目标指标：</w:t>
      </w:r>
    </w:p>
    <w:tbl>
      <w:tblPr>
        <w:tblStyle w:val="6"/>
        <w:tblW w:w="0" w:type="auto"/>
        <w:tblInd w:w="0" w:type="dxa"/>
        <w:tblLayout w:type="fixed"/>
        <w:tblCellMar>
          <w:top w:w="15" w:type="dxa"/>
          <w:left w:w="15" w:type="dxa"/>
          <w:bottom w:w="15" w:type="dxa"/>
          <w:right w:w="15" w:type="dxa"/>
        </w:tblCellMar>
      </w:tblPr>
      <w:tblGrid>
        <w:gridCol w:w="958"/>
        <w:gridCol w:w="1095"/>
        <w:gridCol w:w="1665"/>
        <w:gridCol w:w="1845"/>
        <w:gridCol w:w="956"/>
        <w:gridCol w:w="476"/>
        <w:gridCol w:w="476"/>
        <w:gridCol w:w="476"/>
        <w:gridCol w:w="479"/>
      </w:tblGrid>
      <w:tr>
        <w:tblPrEx>
          <w:tblCellMar>
            <w:top w:w="15" w:type="dxa"/>
            <w:left w:w="15" w:type="dxa"/>
            <w:bottom w:w="15" w:type="dxa"/>
            <w:right w:w="15" w:type="dxa"/>
          </w:tblCellMar>
        </w:tblPrEx>
        <w:trPr>
          <w:trHeight w:val="474" w:hRule="atLeast"/>
        </w:trPr>
        <w:tc>
          <w:tcPr>
            <w:tcW w:w="958" w:type="dxa"/>
            <w:vMerge w:val="restart"/>
            <w:tcBorders>
              <w:top w:val="single" w:color="000000" w:sz="4" w:space="0"/>
              <w:left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职责活动</w:t>
            </w:r>
          </w:p>
        </w:tc>
        <w:tc>
          <w:tcPr>
            <w:tcW w:w="1095" w:type="dxa"/>
            <w:vMerge w:val="restart"/>
            <w:tcBorders>
              <w:top w:val="single" w:color="000000" w:sz="4" w:space="0"/>
              <w:left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年初预算数</w:t>
            </w:r>
          </w:p>
        </w:tc>
        <w:tc>
          <w:tcPr>
            <w:tcW w:w="1665" w:type="dxa"/>
            <w:vMerge w:val="restart"/>
            <w:tcBorders>
              <w:top w:val="single" w:color="000000" w:sz="4" w:space="0"/>
              <w:left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内容描述</w:t>
            </w:r>
          </w:p>
        </w:tc>
        <w:tc>
          <w:tcPr>
            <w:tcW w:w="1845" w:type="dxa"/>
            <w:vMerge w:val="restart"/>
            <w:tcBorders>
              <w:top w:val="single" w:color="000000" w:sz="4" w:space="0"/>
              <w:left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绩效目标</w:t>
            </w:r>
          </w:p>
        </w:tc>
        <w:tc>
          <w:tcPr>
            <w:tcW w:w="956" w:type="dxa"/>
            <w:vMerge w:val="restart"/>
            <w:tcBorders>
              <w:top w:val="single" w:color="000000" w:sz="4" w:space="0"/>
              <w:left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绩效指标</w:t>
            </w:r>
          </w:p>
        </w:tc>
        <w:tc>
          <w:tcPr>
            <w:tcW w:w="1907" w:type="dxa"/>
            <w:gridSpan w:val="4"/>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评价标准</w:t>
            </w:r>
          </w:p>
        </w:tc>
      </w:tr>
      <w:tr>
        <w:tblPrEx>
          <w:tblCellMar>
            <w:top w:w="15" w:type="dxa"/>
            <w:left w:w="15" w:type="dxa"/>
            <w:bottom w:w="15" w:type="dxa"/>
            <w:right w:w="15" w:type="dxa"/>
          </w:tblCellMar>
        </w:tblPrEx>
        <w:trPr>
          <w:trHeight w:val="294" w:hRule="atLeast"/>
        </w:trPr>
        <w:tc>
          <w:tcPr>
            <w:tcW w:w="958" w:type="dxa"/>
            <w:vMerge w:val="continue"/>
            <w:tcBorders>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p>
        </w:tc>
        <w:tc>
          <w:tcPr>
            <w:tcW w:w="1095" w:type="dxa"/>
            <w:vMerge w:val="continue"/>
            <w:tcBorders>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p>
        </w:tc>
        <w:tc>
          <w:tcPr>
            <w:tcW w:w="1665" w:type="dxa"/>
            <w:vMerge w:val="continue"/>
            <w:tcBorders>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p>
        </w:tc>
        <w:tc>
          <w:tcPr>
            <w:tcW w:w="1845" w:type="dxa"/>
            <w:vMerge w:val="continue"/>
            <w:tcBorders>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p>
        </w:tc>
        <w:tc>
          <w:tcPr>
            <w:tcW w:w="956" w:type="dxa"/>
            <w:vMerge w:val="continue"/>
            <w:tcBorders>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优</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良</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中</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差</w:t>
            </w:r>
          </w:p>
        </w:tc>
      </w:tr>
      <w:tr>
        <w:tblPrEx>
          <w:tblCellMar>
            <w:top w:w="15" w:type="dxa"/>
            <w:left w:w="15" w:type="dxa"/>
            <w:bottom w:w="15" w:type="dxa"/>
            <w:right w:w="15" w:type="dxa"/>
          </w:tblCellMar>
        </w:tblPrEx>
        <w:trPr>
          <w:trHeight w:val="434"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服务我县拆迁工作</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1</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安排专人查档</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及时为拆迁工作组提供详实准确的第一手档案资料</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提供查阅服务100%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870"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继续开展“档案馆日”活动</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0.6</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邀请人大代表、政协委员视察档案工作</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加大档案宣传力度，提高公众档案意识，提升档案馆服务功能，扩大档案工作社会影响力</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扩大影响力90%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495"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加强民生档案工作</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1.6</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ascii="仿宋" w:hAnsi="仿宋" w:eastAsia="仿宋" w:cs="Arial"/>
                <w:color w:val="333333"/>
                <w:kern w:val="0"/>
                <w:sz w:val="28"/>
                <w:szCs w:val="28"/>
              </w:rPr>
              <w:t>突出重点抓好对民生档案形成</w:t>
            </w:r>
            <w:r>
              <w:rPr>
                <w:rFonts w:hint="eastAsia" w:ascii="仿宋" w:hAnsi="仿宋" w:eastAsia="仿宋" w:cs="Arial"/>
                <w:color w:val="333333"/>
                <w:kern w:val="0"/>
                <w:sz w:val="28"/>
                <w:szCs w:val="28"/>
                <w:lang w:eastAsia="zh-CN"/>
              </w:rPr>
              <w:t>单位</w:t>
            </w:r>
            <w:r>
              <w:rPr>
                <w:rFonts w:ascii="仿宋" w:hAnsi="仿宋" w:eastAsia="仿宋" w:cs="Arial"/>
                <w:color w:val="333333"/>
                <w:kern w:val="0"/>
                <w:sz w:val="28"/>
                <w:szCs w:val="28"/>
              </w:rPr>
              <w:t>业务指导和工作督导。</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ascii="仿宋" w:hAnsi="仿宋" w:eastAsia="仿宋" w:cs="Arial"/>
                <w:color w:val="333333"/>
                <w:kern w:val="0"/>
                <w:sz w:val="28"/>
                <w:szCs w:val="28"/>
              </w:rPr>
            </w:pPr>
            <w:r>
              <w:rPr>
                <w:rFonts w:ascii="仿宋" w:hAnsi="仿宋" w:eastAsia="仿宋" w:cs="Arial"/>
                <w:color w:val="333333"/>
                <w:kern w:val="0"/>
                <w:sz w:val="28"/>
                <w:szCs w:val="28"/>
              </w:rPr>
              <w:t>优先对民生档案进行整理、编目、数字化和开发鉴定</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ascii="仿宋" w:hAnsi="仿宋" w:eastAsia="仿宋" w:cs="Arial"/>
                <w:color w:val="333333"/>
                <w:kern w:val="0"/>
                <w:sz w:val="28"/>
                <w:szCs w:val="28"/>
              </w:rPr>
            </w:pPr>
            <w:r>
              <w:rPr>
                <w:rFonts w:ascii="仿宋" w:hAnsi="仿宋" w:eastAsia="仿宋" w:cs="Arial"/>
                <w:color w:val="333333"/>
                <w:kern w:val="0"/>
                <w:sz w:val="28"/>
                <w:szCs w:val="28"/>
              </w:rPr>
              <w:t>数字化扫描100%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600"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开展档案业务知识培训</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1</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加强干部队伍建设</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召集档案整理不规范</w:t>
            </w:r>
            <w:r>
              <w:rPr>
                <w:rFonts w:hint="eastAsia" w:ascii="仿宋" w:hAnsi="仿宋" w:eastAsia="仿宋" w:cs="Arial"/>
                <w:color w:val="333333"/>
                <w:kern w:val="0"/>
                <w:sz w:val="28"/>
                <w:szCs w:val="28"/>
                <w:lang w:eastAsia="zh-CN"/>
              </w:rPr>
              <w:t>单位</w:t>
            </w:r>
            <w:r>
              <w:rPr>
                <w:rFonts w:hint="eastAsia" w:ascii="仿宋" w:hAnsi="仿宋" w:eastAsia="仿宋" w:cs="Arial"/>
                <w:color w:val="333333"/>
                <w:kern w:val="0"/>
                <w:sz w:val="28"/>
                <w:szCs w:val="28"/>
              </w:rPr>
              <w:t>档案员和各</w:t>
            </w:r>
            <w:r>
              <w:rPr>
                <w:rFonts w:hint="eastAsia" w:ascii="仿宋" w:hAnsi="仿宋" w:eastAsia="仿宋" w:cs="Arial"/>
                <w:color w:val="333333"/>
                <w:kern w:val="0"/>
                <w:sz w:val="28"/>
                <w:szCs w:val="28"/>
                <w:lang w:eastAsia="zh-CN"/>
              </w:rPr>
              <w:t>单位</w:t>
            </w:r>
            <w:r>
              <w:rPr>
                <w:rFonts w:hint="eastAsia" w:ascii="仿宋" w:hAnsi="仿宋" w:eastAsia="仿宋" w:cs="Arial"/>
                <w:color w:val="333333"/>
                <w:kern w:val="0"/>
                <w:sz w:val="28"/>
                <w:szCs w:val="28"/>
              </w:rPr>
              <w:t>新上岗的档案员集中进行业务培训</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做好新档案员的培训指导工作90%以上</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675"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农村土地承包经营权确权登记档案管理工作</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0.3</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做好全县农村土地承包经营权确权土地流转合同登记工作</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配合农工委做好全县农村土地承包经营权确权土地流转合同登记档案资料收集归档工作</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做好档案收集整理的培训指导工作100%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720"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扎实开展档案目标管理认定工作</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0.2</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2021</w:t>
            </w:r>
            <w:r>
              <w:rPr>
                <w:rFonts w:ascii="仿宋" w:hAnsi="仿宋" w:eastAsia="仿宋" w:cs="Arial"/>
                <w:color w:val="333333"/>
                <w:kern w:val="0"/>
                <w:sz w:val="28"/>
                <w:szCs w:val="28"/>
              </w:rPr>
              <w:t>年按照“十三五”规划，完成</w:t>
            </w:r>
            <w:r>
              <w:rPr>
                <w:rFonts w:hint="eastAsia" w:ascii="仿宋" w:hAnsi="仿宋" w:eastAsia="仿宋" w:cs="Arial"/>
                <w:color w:val="333333"/>
                <w:kern w:val="0"/>
                <w:sz w:val="28"/>
                <w:szCs w:val="28"/>
              </w:rPr>
              <w:t>A</w:t>
            </w:r>
            <w:r>
              <w:rPr>
                <w:rFonts w:ascii="仿宋" w:hAnsi="仿宋" w:eastAsia="仿宋" w:cs="Arial"/>
                <w:color w:val="333333"/>
                <w:kern w:val="0"/>
                <w:sz w:val="28"/>
                <w:szCs w:val="28"/>
              </w:rPr>
              <w:t>级档案目标管理认定复检工作</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2021</w:t>
            </w:r>
            <w:r>
              <w:rPr>
                <w:rFonts w:ascii="仿宋" w:hAnsi="仿宋" w:eastAsia="仿宋" w:cs="Arial"/>
                <w:color w:val="333333"/>
                <w:kern w:val="0"/>
                <w:sz w:val="28"/>
                <w:szCs w:val="28"/>
              </w:rPr>
              <w:t>年</w:t>
            </w:r>
            <w:r>
              <w:rPr>
                <w:rFonts w:hint="eastAsia" w:ascii="仿宋" w:hAnsi="仿宋" w:eastAsia="仿宋" w:cs="Arial"/>
                <w:color w:val="333333"/>
                <w:kern w:val="0"/>
                <w:sz w:val="28"/>
                <w:szCs w:val="28"/>
              </w:rPr>
              <w:t>11</w:t>
            </w:r>
            <w:r>
              <w:rPr>
                <w:rFonts w:ascii="仿宋" w:hAnsi="仿宋" w:eastAsia="仿宋" w:cs="Arial"/>
                <w:color w:val="333333"/>
                <w:kern w:val="0"/>
                <w:sz w:val="28"/>
                <w:szCs w:val="28"/>
              </w:rPr>
              <w:t>底以前完成境界实业有限公司企业档案目标认定工作</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保证顺利通过市局验收</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615"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强化档案宣传工作水平</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0.1</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报刊征订、档案信息刊登工作在</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2021</w:t>
            </w:r>
            <w:r>
              <w:rPr>
                <w:rFonts w:ascii="仿宋" w:hAnsi="仿宋" w:eastAsia="仿宋" w:cs="Arial"/>
                <w:color w:val="333333"/>
                <w:kern w:val="0"/>
                <w:sz w:val="28"/>
                <w:szCs w:val="28"/>
              </w:rPr>
              <w:t>年报刊征订在全省档案系统进入先进行列</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信息宣传评为全省优秀</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r>
        <w:tblPrEx>
          <w:tblCellMar>
            <w:top w:w="15" w:type="dxa"/>
            <w:left w:w="15" w:type="dxa"/>
            <w:bottom w:w="15" w:type="dxa"/>
            <w:right w:w="15" w:type="dxa"/>
          </w:tblCellMar>
        </w:tblPrEx>
        <w:trPr>
          <w:trHeight w:val="615" w:hRule="atLeast"/>
        </w:trPr>
        <w:tc>
          <w:tcPr>
            <w:tcW w:w="958"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公务用车人员补贴</w:t>
            </w:r>
          </w:p>
        </w:tc>
        <w:tc>
          <w:tcPr>
            <w:tcW w:w="109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2.28</w:t>
            </w:r>
          </w:p>
        </w:tc>
        <w:tc>
          <w:tcPr>
            <w:tcW w:w="166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参公人员4人</w:t>
            </w:r>
          </w:p>
        </w:tc>
        <w:tc>
          <w:tcPr>
            <w:tcW w:w="1845"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副科级3人，科员1人</w:t>
            </w:r>
          </w:p>
        </w:tc>
        <w:tc>
          <w:tcPr>
            <w:tcW w:w="95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全部按时完成</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95%</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90%</w:t>
            </w:r>
          </w:p>
        </w:tc>
        <w:tc>
          <w:tcPr>
            <w:tcW w:w="476"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c>
          <w:tcPr>
            <w:tcW w:w="479" w:type="dxa"/>
            <w:tcBorders>
              <w:top w:val="single" w:color="000000" w:sz="4" w:space="0"/>
              <w:left w:val="single" w:color="000000" w:sz="4" w:space="0"/>
              <w:bottom w:val="single" w:color="000000" w:sz="4" w:space="0"/>
              <w:right w:val="single" w:color="000000" w:sz="4" w:space="0"/>
            </w:tcBorders>
          </w:tcPr>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w:t>
            </w:r>
          </w:p>
          <w:p>
            <w:pPr>
              <w:widowControl/>
              <w:jc w:val="left"/>
              <w:textAlignment w:val="bottom"/>
              <w:rPr>
                <w:rFonts w:hint="eastAsia" w:ascii="仿宋" w:hAnsi="仿宋" w:eastAsia="仿宋" w:cs="Arial"/>
                <w:color w:val="333333"/>
                <w:kern w:val="0"/>
                <w:sz w:val="28"/>
                <w:szCs w:val="28"/>
              </w:rPr>
            </w:pPr>
            <w:r>
              <w:rPr>
                <w:rFonts w:hint="eastAsia" w:ascii="仿宋" w:hAnsi="仿宋" w:eastAsia="仿宋" w:cs="Arial"/>
                <w:color w:val="333333"/>
                <w:kern w:val="0"/>
                <w:sz w:val="28"/>
                <w:szCs w:val="28"/>
              </w:rPr>
              <w:t>80%</w:t>
            </w:r>
          </w:p>
        </w:tc>
      </w:tr>
    </w:tbl>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六、政府采购计划情况</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bookmarkStart w:id="0" w:name="_Toc439055119"/>
      <w:r>
        <w:rPr>
          <w:rFonts w:hint="eastAsia" w:ascii="仿宋" w:hAnsi="仿宋" w:eastAsia="仿宋" w:cs="Arial"/>
          <w:color w:val="333333"/>
          <w:sz w:val="32"/>
          <w:szCs w:val="32"/>
        </w:rPr>
        <w:t>2021年度没有采购计划。</w:t>
      </w: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七、国有资产</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上年末固定资产金额为35.01万元（详见下表），2021年无拟购置国有资产情况。</w:t>
      </w:r>
    </w:p>
    <w:tbl>
      <w:tblPr>
        <w:tblStyle w:val="6"/>
        <w:tblW w:w="0" w:type="auto"/>
        <w:tblInd w:w="93" w:type="dxa"/>
        <w:tblLayout w:type="fixed"/>
        <w:tblCellMar>
          <w:top w:w="0" w:type="dxa"/>
          <w:left w:w="108" w:type="dxa"/>
          <w:bottom w:w="0" w:type="dxa"/>
          <w:right w:w="108" w:type="dxa"/>
        </w:tblCellMar>
      </w:tblPr>
      <w:tblGrid>
        <w:gridCol w:w="2068"/>
        <w:gridCol w:w="870"/>
        <w:gridCol w:w="10544"/>
      </w:tblGrid>
      <w:tr>
        <w:tblPrEx>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乐亭县档案馆固定资产占用情况表</w:t>
            </w:r>
          </w:p>
        </w:tc>
      </w:tr>
      <w:tr>
        <w:tblPrEx>
          <w:tblCellMar>
            <w:top w:w="0" w:type="dxa"/>
            <w:left w:w="108" w:type="dxa"/>
            <w:bottom w:w="0" w:type="dxa"/>
            <w:right w:w="108" w:type="dxa"/>
          </w:tblCellMar>
        </w:tblPrEx>
        <w:trPr>
          <w:trHeight w:val="510" w:hRule="atLeast"/>
        </w:trPr>
        <w:tc>
          <w:tcPr>
            <w:tcW w:w="2938" w:type="dxa"/>
            <w:gridSpan w:val="2"/>
            <w:tcBorders>
              <w:top w:val="nil"/>
              <w:left w:val="nil"/>
              <w:bottom w:val="nil"/>
              <w:right w:val="nil"/>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编制</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：档案馆</w:t>
            </w:r>
          </w:p>
        </w:tc>
        <w:tc>
          <w:tcPr>
            <w:tcW w:w="10544" w:type="dxa"/>
            <w:tcBorders>
              <w:top w:val="nil"/>
              <w:left w:val="nil"/>
              <w:bottom w:val="nil"/>
              <w:right w:val="nil"/>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 xml:space="preserve">截止时间：2020年12月31日  </w:t>
            </w:r>
          </w:p>
        </w:tc>
      </w:tr>
      <w:tr>
        <w:tblPrEx>
          <w:tblCellMar>
            <w:top w:w="0" w:type="dxa"/>
            <w:left w:w="108" w:type="dxa"/>
            <w:bottom w:w="0" w:type="dxa"/>
            <w:right w:w="108" w:type="dxa"/>
          </w:tblCellMar>
        </w:tblPrEx>
        <w:trPr>
          <w:trHeight w:val="719" w:hRule="atLeast"/>
        </w:trPr>
        <w:tc>
          <w:tcPr>
            <w:tcW w:w="2068" w:type="dxa"/>
            <w:tcBorders>
              <w:top w:val="single" w:color="auto" w:sz="4" w:space="0"/>
              <w:left w:val="single" w:color="auto" w:sz="4" w:space="0"/>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项   目</w:t>
            </w:r>
          </w:p>
        </w:tc>
        <w:tc>
          <w:tcPr>
            <w:tcW w:w="870" w:type="dxa"/>
            <w:tcBorders>
              <w:top w:val="single" w:color="auto" w:sz="4" w:space="0"/>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数量</w:t>
            </w:r>
          </w:p>
        </w:tc>
        <w:tc>
          <w:tcPr>
            <w:tcW w:w="10544" w:type="dxa"/>
            <w:tcBorders>
              <w:top w:val="single" w:color="auto" w:sz="4" w:space="0"/>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价值（金额</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：万元）</w:t>
            </w:r>
          </w:p>
        </w:tc>
      </w:tr>
      <w:tr>
        <w:tblPrEx>
          <w:tblCellMar>
            <w:top w:w="0" w:type="dxa"/>
            <w:left w:w="108" w:type="dxa"/>
            <w:bottom w:w="0" w:type="dxa"/>
            <w:right w:w="108" w:type="dxa"/>
          </w:tblCellMar>
        </w:tblPrEx>
        <w:trPr>
          <w:trHeight w:val="645" w:hRule="atLeast"/>
        </w:trPr>
        <w:tc>
          <w:tcPr>
            <w:tcW w:w="2068" w:type="dxa"/>
            <w:tcBorders>
              <w:top w:val="nil"/>
              <w:left w:val="single" w:color="auto" w:sz="4" w:space="0"/>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p>
        </w:tc>
        <w:tc>
          <w:tcPr>
            <w:tcW w:w="870"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w:t>
            </w:r>
          </w:p>
        </w:tc>
        <w:tc>
          <w:tcPr>
            <w:tcW w:w="10544"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ascii="仿宋" w:hAnsi="仿宋" w:eastAsia="仿宋" w:cs="Arial"/>
                <w:color w:val="333333"/>
                <w:sz w:val="32"/>
                <w:szCs w:val="32"/>
              </w:rPr>
            </w:pPr>
            <w:r>
              <w:rPr>
                <w:rFonts w:hint="eastAsia" w:ascii="仿宋" w:hAnsi="仿宋" w:eastAsia="仿宋" w:cs="Arial"/>
                <w:color w:val="333333"/>
                <w:sz w:val="32"/>
                <w:szCs w:val="32"/>
              </w:rPr>
              <w:t>35.01</w:t>
            </w:r>
          </w:p>
        </w:tc>
      </w:tr>
      <w:tr>
        <w:tblPrEx>
          <w:tblCellMar>
            <w:top w:w="0" w:type="dxa"/>
            <w:left w:w="108" w:type="dxa"/>
            <w:bottom w:w="0" w:type="dxa"/>
            <w:right w:w="108" w:type="dxa"/>
          </w:tblCellMar>
        </w:tblPrEx>
        <w:trPr>
          <w:trHeight w:val="645" w:hRule="atLeast"/>
        </w:trPr>
        <w:tc>
          <w:tcPr>
            <w:tcW w:w="2068" w:type="dxa"/>
            <w:tcBorders>
              <w:top w:val="nil"/>
              <w:left w:val="single" w:color="auto" w:sz="4" w:space="0"/>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办公用品</w:t>
            </w:r>
          </w:p>
        </w:tc>
        <w:tc>
          <w:tcPr>
            <w:tcW w:w="870"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52</w:t>
            </w:r>
          </w:p>
        </w:tc>
        <w:tc>
          <w:tcPr>
            <w:tcW w:w="10544"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ascii="仿宋" w:hAnsi="仿宋" w:eastAsia="仿宋" w:cs="Arial"/>
                <w:color w:val="333333"/>
                <w:sz w:val="32"/>
                <w:szCs w:val="32"/>
              </w:rPr>
            </w:pPr>
            <w:r>
              <w:rPr>
                <w:rFonts w:hint="eastAsia" w:ascii="仿宋" w:hAnsi="仿宋" w:eastAsia="仿宋" w:cs="Arial"/>
                <w:color w:val="333333"/>
                <w:sz w:val="32"/>
                <w:szCs w:val="32"/>
              </w:rPr>
              <w:t>35.01</w:t>
            </w:r>
          </w:p>
        </w:tc>
      </w:tr>
      <w:tr>
        <w:tblPrEx>
          <w:tblCellMar>
            <w:top w:w="0" w:type="dxa"/>
            <w:left w:w="108" w:type="dxa"/>
            <w:bottom w:w="0" w:type="dxa"/>
            <w:right w:w="108" w:type="dxa"/>
          </w:tblCellMar>
        </w:tblPrEx>
        <w:trPr>
          <w:trHeight w:val="645" w:hRule="atLeast"/>
        </w:trPr>
        <w:tc>
          <w:tcPr>
            <w:tcW w:w="2068" w:type="dxa"/>
            <w:tcBorders>
              <w:top w:val="nil"/>
              <w:left w:val="single" w:color="auto" w:sz="4" w:space="0"/>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交通运输设备</w:t>
            </w:r>
          </w:p>
        </w:tc>
        <w:tc>
          <w:tcPr>
            <w:tcW w:w="870"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rPr>
                <w:rFonts w:hint="eastAsia" w:ascii="仿宋" w:hAnsi="仿宋" w:eastAsia="仿宋" w:cs="Arial"/>
                <w:color w:val="333333"/>
                <w:sz w:val="32"/>
                <w:szCs w:val="32"/>
              </w:rPr>
            </w:pPr>
            <w:r>
              <w:rPr>
                <w:rFonts w:hint="eastAsia" w:ascii="仿宋" w:hAnsi="仿宋" w:eastAsia="仿宋" w:cs="Arial"/>
                <w:color w:val="333333"/>
                <w:sz w:val="32"/>
                <w:szCs w:val="32"/>
              </w:rPr>
              <w:t>1</w:t>
            </w:r>
          </w:p>
        </w:tc>
        <w:tc>
          <w:tcPr>
            <w:tcW w:w="10544" w:type="dxa"/>
            <w:tcBorders>
              <w:top w:val="nil"/>
              <w:left w:val="nil"/>
              <w:bottom w:val="single" w:color="auto" w:sz="4" w:space="0"/>
              <w:right w:val="single" w:color="auto" w:sz="4" w:space="0"/>
            </w:tcBorders>
            <w:vAlign w:val="center"/>
          </w:tcPr>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2</w:t>
            </w:r>
          </w:p>
        </w:tc>
      </w:tr>
    </w:tbl>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p>
    <w:p>
      <w:pPr>
        <w:pStyle w:val="4"/>
        <w:widowControl/>
        <w:shd w:val="clear" w:color="auto" w:fill="FFFFFF"/>
        <w:spacing w:before="0" w:beforeAutospacing="0" w:after="225" w:afterAutospacing="0" w:line="315" w:lineRule="atLeast"/>
        <w:ind w:firstLine="640"/>
        <w:rPr>
          <w:rFonts w:hint="eastAsia" w:ascii="方正粗黑宋简体" w:hAnsi="方正粗黑宋简体" w:eastAsia="方正粗黑宋简体" w:cs="方正粗黑宋简体"/>
          <w:color w:val="333333"/>
          <w:sz w:val="32"/>
          <w:szCs w:val="32"/>
        </w:rPr>
      </w:pPr>
      <w:r>
        <w:rPr>
          <w:rFonts w:hint="eastAsia" w:ascii="方正粗黑宋简体" w:hAnsi="方正粗黑宋简体" w:eastAsia="方正粗黑宋简体" w:cs="方正粗黑宋简体"/>
          <w:color w:val="333333"/>
          <w:sz w:val="32"/>
          <w:szCs w:val="32"/>
        </w:rPr>
        <w:t>八、名词解释</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1、一般预算收入：县财政当年拨付的资金。</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2、基本支出：为保障机构正常运转，完成日常工作任务，而发生的人员支出和公用支出。</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3、项目支出：是指在基本支出之外，为完成特定行政任务和事业发展目标，而发生的支出。</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4、机关运行费：是指为保证</w:t>
      </w:r>
      <w:r>
        <w:rPr>
          <w:rFonts w:hint="eastAsia" w:ascii="仿宋" w:hAnsi="仿宋" w:eastAsia="仿宋" w:cs="Arial"/>
          <w:color w:val="333333"/>
          <w:sz w:val="32"/>
          <w:szCs w:val="32"/>
          <w:lang w:eastAsia="zh-CN"/>
        </w:rPr>
        <w:t>单位</w:t>
      </w:r>
      <w:r>
        <w:rPr>
          <w:rFonts w:hint="eastAsia" w:ascii="仿宋" w:hAnsi="仿宋" w:eastAsia="仿宋" w:cs="Arial"/>
          <w:color w:val="333333"/>
          <w:sz w:val="32"/>
          <w:szCs w:val="32"/>
        </w:rPr>
        <w:t>运行，用于购买货物和服务的各项资金。主要包括：办公费、印刷费，水费、电费、邮电费、公务车运行维护费等。</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九、其他需要说明的事项</w:t>
      </w:r>
    </w:p>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r>
        <w:rPr>
          <w:rFonts w:hint="eastAsia" w:ascii="仿宋" w:hAnsi="仿宋" w:eastAsia="仿宋" w:cs="Arial"/>
          <w:color w:val="333333"/>
          <w:sz w:val="32"/>
          <w:szCs w:val="32"/>
        </w:rPr>
        <w:t>本年度没有其他需要说明的情况</w:t>
      </w:r>
    </w:p>
    <w:bookmarkEnd w:id="0"/>
    <w:p>
      <w:pPr>
        <w:pStyle w:val="4"/>
        <w:widowControl/>
        <w:shd w:val="clear" w:color="auto" w:fill="FFFFFF"/>
        <w:spacing w:before="0" w:beforeAutospacing="0" w:after="225" w:afterAutospacing="0" w:line="315" w:lineRule="atLeast"/>
        <w:ind w:firstLine="640"/>
        <w:rPr>
          <w:rFonts w:hint="eastAsia" w:ascii="仿宋" w:hAnsi="仿宋" w:eastAsia="仿宋" w:cs="Arial"/>
          <w:color w:val="333333"/>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72E"/>
    <w:rsid w:val="00022756"/>
    <w:rsid w:val="005B2C96"/>
    <w:rsid w:val="009540B7"/>
    <w:rsid w:val="00A7104C"/>
    <w:rsid w:val="00AE763A"/>
    <w:rsid w:val="00B3372E"/>
    <w:rsid w:val="00F43E3E"/>
    <w:rsid w:val="04BC331D"/>
    <w:rsid w:val="05012EC5"/>
    <w:rsid w:val="063D4A56"/>
    <w:rsid w:val="095E20A9"/>
    <w:rsid w:val="0F3B1615"/>
    <w:rsid w:val="15370670"/>
    <w:rsid w:val="2A2A2836"/>
    <w:rsid w:val="309C6E63"/>
    <w:rsid w:val="34FA2C6E"/>
    <w:rsid w:val="377463B5"/>
    <w:rsid w:val="3D5E4E38"/>
    <w:rsid w:val="3F715AF4"/>
    <w:rsid w:val="4B2B2AA5"/>
    <w:rsid w:val="4DDD4722"/>
    <w:rsid w:val="563515F8"/>
    <w:rsid w:val="598B5065"/>
    <w:rsid w:val="64B1691B"/>
    <w:rsid w:val="673F172B"/>
    <w:rsid w:val="6C4D5649"/>
    <w:rsid w:val="6F2C4290"/>
    <w:rsid w:val="73B15B98"/>
    <w:rsid w:val="7FAA0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paragraph" w:styleId="5">
    <w:name w:val="Title"/>
    <w:basedOn w:val="1"/>
    <w:next w:val="1"/>
    <w:qFormat/>
    <w:uiPriority w:val="0"/>
    <w:pPr>
      <w:spacing w:before="240" w:after="60"/>
      <w:jc w:val="center"/>
      <w:outlineLvl w:val="0"/>
    </w:pPr>
    <w:rPr>
      <w:rFonts w:ascii="Cambria" w:hAnsi="Cambria"/>
      <w:b/>
      <w:bCs/>
      <w:sz w:val="32"/>
      <w:szCs w:val="32"/>
    </w:rPr>
  </w:style>
  <w:style w:type="character" w:styleId="8">
    <w:name w:val="Strong"/>
    <w:qFormat/>
    <w:uiPriority w:val="0"/>
    <w:rPr>
      <w:b/>
    </w:rPr>
  </w:style>
  <w:style w:type="character" w:styleId="9">
    <w:name w:val="Hyperlink"/>
    <w:qFormat/>
    <w:uiPriority w:val="0"/>
    <w:rPr>
      <w:color w:val="0000FF"/>
      <w:u w:val="single"/>
    </w:rPr>
  </w:style>
  <w:style w:type="character" w:customStyle="1" w:styleId="10">
    <w:name w:val="font51"/>
    <w:qFormat/>
    <w:uiPriority w:val="0"/>
    <w:rPr>
      <w:rFonts w:hint="eastAsia" w:ascii="宋体" w:hAnsi="宋体" w:eastAsia="宋体" w:cs="宋体"/>
      <w:color w:val="000000"/>
      <w:sz w:val="20"/>
      <w:szCs w:val="20"/>
      <w:u w:val="none"/>
    </w:rPr>
  </w:style>
  <w:style w:type="character" w:customStyle="1" w:styleId="11">
    <w:name w:val="font4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367</Words>
  <Characters>2096</Characters>
  <Lines>17</Lines>
  <Paragraphs>4</Paragraphs>
  <TotalTime>1</TotalTime>
  <ScaleCrop>false</ScaleCrop>
  <LinksUpToDate>false</LinksUpToDate>
  <CharactersWithSpaces>2459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2021-03-15T03:10:00Z</dcterms:created>
  <dc:creator>Administrator</dc:creator>
  <cp:lastModifiedBy>Administrator</cp:lastModifiedBy>
  <cp:lastPrinted>2020-02-18T03:55:00Z</cp:lastPrinted>
  <dcterms:modified xsi:type="dcterms:W3CDTF">2022-09-16T07:28:07Z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