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sectPr>
          <w:footerReference r:id="rId4" w:type="default"/>
          <w:footerReference r:id="rId5"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0"/>
        <w:rPr>
          <w:rFonts w:ascii="黑体" w:hAnsi="黑体" w:eastAsia="黑体" w:cs="黑体"/>
          <w:b/>
          <w:color w:val="000000"/>
          <w:sz w:val="44"/>
        </w:rPr>
      </w:pPr>
      <w:r>
        <w:rPr>
          <w:rFonts w:ascii="黑体" w:hAnsi="黑体" w:eastAsia="黑体" w:cs="黑体"/>
          <w:b/>
          <w:color w:val="000000"/>
          <w:sz w:val="44"/>
        </w:rPr>
        <w:t>2023年</w:t>
      </w:r>
      <w:r>
        <w:rPr>
          <w:rFonts w:hint="eastAsia" w:ascii="黑体" w:hAnsi="黑体" w:eastAsia="黑体" w:cs="黑体"/>
          <w:b/>
          <w:color w:val="000000"/>
          <w:sz w:val="44"/>
        </w:rPr>
        <w:t>单位</w:t>
      </w:r>
      <w:r>
        <w:rPr>
          <w:rFonts w:ascii="黑体" w:hAnsi="黑体" w:eastAsia="黑体" w:cs="黑体"/>
          <w:b/>
          <w:color w:val="000000"/>
          <w:sz w:val="44"/>
        </w:rPr>
        <w:t>预算信息公开目录</w:t>
      </w:r>
    </w:p>
    <w:p>
      <w:pPr>
        <w:jc w:val="both"/>
      </w:pPr>
    </w:p>
    <w:p>
      <w:pPr>
        <w:jc w:val="center"/>
      </w:pP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rPr>
          <w:rFonts w:hint="eastAsia"/>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HYPERLINK  \l "_Toc_2_2_0000000004" </w:instrText>
      </w:r>
      <w:r>
        <w:fldChar w:fldCharType="separate"/>
      </w:r>
      <w:r>
        <w:rPr>
          <w:rFonts w:hint="eastAsia"/>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0"/>
        <w:tabs>
          <w:tab w:val="right" w:leader="dot" w:pos="14562"/>
        </w:tabs>
      </w:pPr>
      <w:r>
        <w:fldChar w:fldCharType="begin"/>
      </w:r>
      <w:r>
        <w:instrText xml:space="preserve">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0"/>
        <w:tabs>
          <w:tab w:val="right" w:leader="dot" w:pos="14562"/>
        </w:tabs>
      </w:pPr>
      <w:r>
        <w:fldChar w:fldCharType="begin"/>
      </w:r>
      <w:r>
        <w:instrText xml:space="preserve">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0"/>
        <w:tabs>
          <w:tab w:val="right" w:leader="dot" w:pos="14562"/>
        </w:tabs>
      </w:pPr>
      <w:r>
        <w:fldChar w:fldCharType="begin"/>
      </w:r>
      <w:r>
        <w:instrText xml:space="preserve">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0"/>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0"/>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0"/>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0"/>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0"/>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0"/>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0"/>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pPr>
        <w:jc w:val="both"/>
      </w:pPr>
      <w:r>
        <w:fldChar w:fldCharType="end"/>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center"/>
      </w:pPr>
    </w:p>
    <w:p>
      <w:pPr>
        <w:jc w:val="center"/>
        <w:outlineLvl w:val="3"/>
      </w:pPr>
      <w:bookmarkStart w:id="0" w:name="_Toc_4_4_0000000019"/>
      <w:r>
        <w:rPr>
          <w:rFonts w:ascii="方正小标宋_GBK" w:hAnsi="方正小标宋_GBK" w:eastAsia="方正小标宋_GBK" w:cs="方正小标宋_GBK"/>
          <w:color w:val="000000"/>
          <w:sz w:val="44"/>
        </w:rPr>
        <w:t>一、乐亭县滦河口生态旅游区发展服务中心收支预算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484002乐亭县滦河口生态旅游区发展服务中心</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478.77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r>
              <w:t>139.97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90.80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478.77</w:t>
            </w:r>
          </w:p>
        </w:tc>
        <w:tc>
          <w:tcPr>
            <w:tcW w:w="4535" w:type="dxa"/>
            <w:vAlign w:val="center"/>
          </w:tcPr>
          <w:p>
            <w:pPr>
              <w:pStyle w:val="12"/>
            </w:pPr>
            <w:r>
              <w:t>本年支出合计</w:t>
            </w:r>
          </w:p>
        </w:tc>
        <w:tc>
          <w:tcPr>
            <w:tcW w:w="2126" w:type="dxa"/>
            <w:vAlign w:val="center"/>
          </w:tcPr>
          <w:p>
            <w:pPr>
              <w:pStyle w:val="13"/>
            </w:pPr>
            <w:r>
              <w:t>478.77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478.77</w:t>
            </w:r>
          </w:p>
        </w:tc>
        <w:tc>
          <w:tcPr>
            <w:tcW w:w="4535" w:type="dxa"/>
            <w:vAlign w:val="center"/>
          </w:tcPr>
          <w:p>
            <w:pPr>
              <w:pStyle w:val="12"/>
            </w:pPr>
            <w:r>
              <w:t>支出总计</w:t>
            </w:r>
          </w:p>
        </w:tc>
        <w:tc>
          <w:tcPr>
            <w:tcW w:w="2126" w:type="dxa"/>
            <w:vAlign w:val="center"/>
          </w:tcPr>
          <w:p>
            <w:pPr>
              <w:pStyle w:val="13"/>
            </w:pPr>
            <w:r>
              <w:t>478.77</w:t>
            </w:r>
          </w:p>
        </w:tc>
      </w:tr>
    </w:tbl>
    <w:p>
      <w:pPr>
        <w:sectPr>
          <w:pgSz w:w="16840" w:h="11900" w:orient="landscape"/>
          <w:pgMar w:top="1587" w:right="1134" w:bottom="1361" w:left="1134"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484002乐亭县滦河口生态旅游区发展服务中心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Merge w:val="continue"/>
            <w:vAlign w:val="top"/>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vAlign w:val="top"/>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Layout w:type="fixed"/>
          <w:tblCellMar>
            <w:left w:w="108"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478.77</w:t>
            </w:r>
          </w:p>
        </w:tc>
        <w:tc>
          <w:tcPr>
            <w:tcW w:w="1134" w:type="dxa"/>
            <w:vAlign w:val="center"/>
          </w:tcPr>
          <w:p>
            <w:pPr>
              <w:pStyle w:val="13"/>
            </w:pPr>
            <w:r>
              <w:t>478.77</w:t>
            </w:r>
          </w:p>
        </w:tc>
        <w:tc>
          <w:tcPr>
            <w:tcW w:w="1134" w:type="dxa"/>
            <w:vAlign w:val="center"/>
          </w:tcPr>
          <w:p>
            <w:pPr>
              <w:pStyle w:val="13"/>
            </w:pPr>
            <w:r>
              <w:t>478.77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left w:w="108"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20701</w:t>
            </w:r>
          </w:p>
        </w:tc>
        <w:tc>
          <w:tcPr>
            <w:tcW w:w="1559" w:type="dxa"/>
            <w:vAlign w:val="center"/>
          </w:tcPr>
          <w:p>
            <w:pPr>
              <w:pStyle w:val="10"/>
            </w:pPr>
            <w:r>
              <w:t>文化和旅游</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2070199</w:t>
            </w:r>
          </w:p>
        </w:tc>
        <w:tc>
          <w:tcPr>
            <w:tcW w:w="1559" w:type="dxa"/>
            <w:vAlign w:val="center"/>
          </w:tcPr>
          <w:p>
            <w:pPr>
              <w:pStyle w:val="10"/>
            </w:pPr>
            <w:r>
              <w:t>其他文化和旅游支出</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r>
              <w:t>139.97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90.80</w:t>
            </w:r>
          </w:p>
        </w:tc>
        <w:tc>
          <w:tcPr>
            <w:tcW w:w="1134" w:type="dxa"/>
            <w:vAlign w:val="center"/>
          </w:tcPr>
          <w:p>
            <w:pPr>
              <w:pStyle w:val="9"/>
            </w:pPr>
            <w:r>
              <w:t>90.80</w:t>
            </w:r>
          </w:p>
        </w:tc>
        <w:tc>
          <w:tcPr>
            <w:tcW w:w="1134" w:type="dxa"/>
            <w:vAlign w:val="center"/>
          </w:tcPr>
          <w:p>
            <w:pPr>
              <w:pStyle w:val="9"/>
            </w:pPr>
            <w:r>
              <w:t>90.80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90.80</w:t>
            </w:r>
          </w:p>
        </w:tc>
        <w:tc>
          <w:tcPr>
            <w:tcW w:w="1134" w:type="dxa"/>
            <w:vAlign w:val="center"/>
          </w:tcPr>
          <w:p>
            <w:pPr>
              <w:pStyle w:val="9"/>
            </w:pPr>
            <w:r>
              <w:t>90.80</w:t>
            </w:r>
          </w:p>
        </w:tc>
        <w:tc>
          <w:tcPr>
            <w:tcW w:w="1134" w:type="dxa"/>
            <w:vAlign w:val="center"/>
          </w:tcPr>
          <w:p>
            <w:pPr>
              <w:pStyle w:val="9"/>
            </w:pPr>
            <w:r>
              <w:t>90.80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72.80</w:t>
            </w:r>
          </w:p>
        </w:tc>
        <w:tc>
          <w:tcPr>
            <w:tcW w:w="1134" w:type="dxa"/>
            <w:vAlign w:val="center"/>
          </w:tcPr>
          <w:p>
            <w:pPr>
              <w:pStyle w:val="9"/>
            </w:pPr>
            <w:r>
              <w:t>72.80</w:t>
            </w:r>
          </w:p>
        </w:tc>
        <w:tc>
          <w:tcPr>
            <w:tcW w:w="1134" w:type="dxa"/>
            <w:vAlign w:val="center"/>
          </w:tcPr>
          <w:p>
            <w:pPr>
              <w:pStyle w:val="9"/>
            </w:pPr>
            <w:r>
              <w:t>72.80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18.00</w:t>
            </w:r>
          </w:p>
        </w:tc>
        <w:tc>
          <w:tcPr>
            <w:tcW w:w="1134" w:type="dxa"/>
            <w:vAlign w:val="center"/>
          </w:tcPr>
          <w:p>
            <w:pPr>
              <w:pStyle w:val="9"/>
            </w:pPr>
            <w:r>
              <w:t>18.00</w:t>
            </w:r>
          </w:p>
        </w:tc>
        <w:tc>
          <w:tcPr>
            <w:tcW w:w="1134" w:type="dxa"/>
            <w:vAlign w:val="center"/>
          </w:tcPr>
          <w:p>
            <w:pPr>
              <w:pStyle w:val="9"/>
            </w:pPr>
            <w:r>
              <w:t>18.00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r>
              <w:t>19.00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2130299</w:t>
            </w:r>
          </w:p>
        </w:tc>
        <w:tc>
          <w:tcPr>
            <w:tcW w:w="1559" w:type="dxa"/>
            <w:vAlign w:val="center"/>
          </w:tcPr>
          <w:p>
            <w:pPr>
              <w:pStyle w:val="10"/>
            </w:pPr>
            <w:r>
              <w:t>其他林业和草原支出</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r>
              <w:t>201.00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r>
              <w:t>13.00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22406</w:t>
            </w:r>
          </w:p>
        </w:tc>
        <w:tc>
          <w:tcPr>
            <w:tcW w:w="1559" w:type="dxa"/>
            <w:vAlign w:val="center"/>
          </w:tcPr>
          <w:p>
            <w:pPr>
              <w:pStyle w:val="10"/>
            </w:pPr>
            <w:r>
              <w:t>自然灾害防治</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Layout w:type="fixed"/>
          <w:tblCellMar>
            <w:left w:w="108"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2240602</w:t>
            </w:r>
          </w:p>
        </w:tc>
        <w:tc>
          <w:tcPr>
            <w:tcW w:w="1559" w:type="dxa"/>
            <w:vAlign w:val="center"/>
          </w:tcPr>
          <w:p>
            <w:pPr>
              <w:pStyle w:val="10"/>
            </w:pPr>
            <w:r>
              <w:t>森林草原防灾减灾</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484002乐亭县滦河口生态旅游区发展服务中心</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Layout w:type="fixed"/>
          <w:tblCellMar>
            <w:left w:w="108"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478.77</w:t>
            </w:r>
          </w:p>
        </w:tc>
        <w:tc>
          <w:tcPr>
            <w:tcW w:w="1361" w:type="dxa"/>
            <w:vAlign w:val="center"/>
          </w:tcPr>
          <w:p>
            <w:pPr>
              <w:pStyle w:val="13"/>
            </w:pPr>
            <w:r>
              <w:t>262.77</w:t>
            </w:r>
          </w:p>
        </w:tc>
        <w:tc>
          <w:tcPr>
            <w:tcW w:w="1361" w:type="dxa"/>
            <w:vAlign w:val="center"/>
          </w:tcPr>
          <w:p>
            <w:pPr>
              <w:pStyle w:val="13"/>
            </w:pPr>
            <w:r>
              <w:t>216.00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left w:w="108"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207</w:t>
            </w:r>
          </w:p>
        </w:tc>
        <w:tc>
          <w:tcPr>
            <w:tcW w:w="4536" w:type="dxa"/>
            <w:vAlign w:val="center"/>
          </w:tcPr>
          <w:p>
            <w:pPr>
              <w:pStyle w:val="10"/>
            </w:pPr>
            <w:r>
              <w:t>文化旅游体育与传媒支出</w:t>
            </w:r>
          </w:p>
        </w:tc>
        <w:tc>
          <w:tcPr>
            <w:tcW w:w="1361" w:type="dxa"/>
            <w:vAlign w:val="center"/>
          </w:tcPr>
          <w:p>
            <w:pPr>
              <w:pStyle w:val="9"/>
            </w:pPr>
            <w:r>
              <w:t>139.97</w:t>
            </w:r>
          </w:p>
        </w:tc>
        <w:tc>
          <w:tcPr>
            <w:tcW w:w="1361" w:type="dxa"/>
            <w:vAlign w:val="center"/>
          </w:tcPr>
          <w:p>
            <w:pPr>
              <w:pStyle w:val="9"/>
            </w:pPr>
            <w:r>
              <w:t>139.97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20701</w:t>
            </w:r>
          </w:p>
        </w:tc>
        <w:tc>
          <w:tcPr>
            <w:tcW w:w="4536" w:type="dxa"/>
            <w:vAlign w:val="center"/>
          </w:tcPr>
          <w:p>
            <w:pPr>
              <w:pStyle w:val="10"/>
            </w:pPr>
            <w:r>
              <w:t>文化和旅游</w:t>
            </w:r>
          </w:p>
        </w:tc>
        <w:tc>
          <w:tcPr>
            <w:tcW w:w="1361" w:type="dxa"/>
            <w:vAlign w:val="center"/>
          </w:tcPr>
          <w:p>
            <w:pPr>
              <w:pStyle w:val="9"/>
            </w:pPr>
            <w:r>
              <w:t>139.97</w:t>
            </w:r>
          </w:p>
        </w:tc>
        <w:tc>
          <w:tcPr>
            <w:tcW w:w="1361" w:type="dxa"/>
            <w:vAlign w:val="center"/>
          </w:tcPr>
          <w:p>
            <w:pPr>
              <w:pStyle w:val="9"/>
            </w:pPr>
            <w:r>
              <w:t>139.97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2070199</w:t>
            </w:r>
          </w:p>
        </w:tc>
        <w:tc>
          <w:tcPr>
            <w:tcW w:w="4536" w:type="dxa"/>
            <w:vAlign w:val="center"/>
          </w:tcPr>
          <w:p>
            <w:pPr>
              <w:pStyle w:val="10"/>
            </w:pPr>
            <w:r>
              <w:t>其他文化和旅游支出</w:t>
            </w:r>
          </w:p>
        </w:tc>
        <w:tc>
          <w:tcPr>
            <w:tcW w:w="1361" w:type="dxa"/>
            <w:vAlign w:val="center"/>
          </w:tcPr>
          <w:p>
            <w:pPr>
              <w:pStyle w:val="9"/>
            </w:pPr>
            <w:r>
              <w:t>139.97</w:t>
            </w:r>
          </w:p>
        </w:tc>
        <w:tc>
          <w:tcPr>
            <w:tcW w:w="1361" w:type="dxa"/>
            <w:vAlign w:val="center"/>
          </w:tcPr>
          <w:p>
            <w:pPr>
              <w:pStyle w:val="9"/>
            </w:pPr>
            <w:r>
              <w:t>139.97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90.80</w:t>
            </w:r>
          </w:p>
        </w:tc>
        <w:tc>
          <w:tcPr>
            <w:tcW w:w="1361" w:type="dxa"/>
            <w:vAlign w:val="center"/>
          </w:tcPr>
          <w:p>
            <w:pPr>
              <w:pStyle w:val="9"/>
            </w:pPr>
            <w:r>
              <w:t>90.80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90.80</w:t>
            </w:r>
          </w:p>
        </w:tc>
        <w:tc>
          <w:tcPr>
            <w:tcW w:w="1361" w:type="dxa"/>
            <w:vAlign w:val="center"/>
          </w:tcPr>
          <w:p>
            <w:pPr>
              <w:pStyle w:val="9"/>
            </w:pPr>
            <w:r>
              <w:t>90.80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2080502</w:t>
            </w:r>
          </w:p>
        </w:tc>
        <w:tc>
          <w:tcPr>
            <w:tcW w:w="4536" w:type="dxa"/>
            <w:vAlign w:val="center"/>
          </w:tcPr>
          <w:p>
            <w:pPr>
              <w:pStyle w:val="10"/>
            </w:pPr>
            <w:r>
              <w:t>事业单位离退休</w:t>
            </w:r>
          </w:p>
        </w:tc>
        <w:tc>
          <w:tcPr>
            <w:tcW w:w="1361" w:type="dxa"/>
            <w:vAlign w:val="center"/>
          </w:tcPr>
          <w:p>
            <w:pPr>
              <w:pStyle w:val="9"/>
            </w:pPr>
            <w:r>
              <w:t>72.80</w:t>
            </w:r>
          </w:p>
        </w:tc>
        <w:tc>
          <w:tcPr>
            <w:tcW w:w="1361" w:type="dxa"/>
            <w:vAlign w:val="center"/>
          </w:tcPr>
          <w:p>
            <w:pPr>
              <w:pStyle w:val="9"/>
            </w:pPr>
            <w:r>
              <w:t>72.80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18.00</w:t>
            </w:r>
          </w:p>
        </w:tc>
        <w:tc>
          <w:tcPr>
            <w:tcW w:w="1361" w:type="dxa"/>
            <w:vAlign w:val="center"/>
          </w:tcPr>
          <w:p>
            <w:pPr>
              <w:pStyle w:val="9"/>
            </w:pPr>
            <w:r>
              <w:t>18.00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19.00</w:t>
            </w:r>
          </w:p>
        </w:tc>
        <w:tc>
          <w:tcPr>
            <w:tcW w:w="1361" w:type="dxa"/>
            <w:vAlign w:val="center"/>
          </w:tcPr>
          <w:p>
            <w:pPr>
              <w:pStyle w:val="9"/>
            </w:pPr>
            <w:r>
              <w:t>19.00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19.00</w:t>
            </w:r>
          </w:p>
        </w:tc>
        <w:tc>
          <w:tcPr>
            <w:tcW w:w="1361" w:type="dxa"/>
            <w:vAlign w:val="center"/>
          </w:tcPr>
          <w:p>
            <w:pPr>
              <w:pStyle w:val="9"/>
            </w:pPr>
            <w:r>
              <w:t>19.00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9.00</w:t>
            </w:r>
          </w:p>
        </w:tc>
        <w:tc>
          <w:tcPr>
            <w:tcW w:w="1361" w:type="dxa"/>
            <w:vAlign w:val="center"/>
          </w:tcPr>
          <w:p>
            <w:pPr>
              <w:pStyle w:val="9"/>
            </w:pPr>
            <w:r>
              <w:t>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10.00</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w:t>
            </w:r>
          </w:p>
        </w:tc>
        <w:tc>
          <w:tcPr>
            <w:tcW w:w="4536" w:type="dxa"/>
            <w:vAlign w:val="center"/>
          </w:tcPr>
          <w:p>
            <w:pPr>
              <w:pStyle w:val="10"/>
            </w:pPr>
            <w:r>
              <w:t>农林水支出</w:t>
            </w: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21302</w:t>
            </w:r>
          </w:p>
        </w:tc>
        <w:tc>
          <w:tcPr>
            <w:tcW w:w="4536" w:type="dxa"/>
            <w:vAlign w:val="center"/>
          </w:tcPr>
          <w:p>
            <w:pPr>
              <w:pStyle w:val="10"/>
            </w:pPr>
            <w:r>
              <w:t>林业和草原</w:t>
            </w: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2130299</w:t>
            </w:r>
          </w:p>
        </w:tc>
        <w:tc>
          <w:tcPr>
            <w:tcW w:w="4536" w:type="dxa"/>
            <w:vAlign w:val="center"/>
          </w:tcPr>
          <w:p>
            <w:pPr>
              <w:pStyle w:val="10"/>
            </w:pPr>
            <w:r>
              <w:t>其他林业和草原支出</w:t>
            </w: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r>
              <w:t>201.00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13.00</w:t>
            </w:r>
          </w:p>
        </w:tc>
        <w:tc>
          <w:tcPr>
            <w:tcW w:w="1361" w:type="dxa"/>
            <w:vAlign w:val="center"/>
          </w:tcPr>
          <w:p>
            <w:pPr>
              <w:pStyle w:val="9"/>
            </w:pPr>
            <w:r>
              <w:t>13.00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13.00</w:t>
            </w:r>
          </w:p>
        </w:tc>
        <w:tc>
          <w:tcPr>
            <w:tcW w:w="1361" w:type="dxa"/>
            <w:vAlign w:val="center"/>
          </w:tcPr>
          <w:p>
            <w:pPr>
              <w:pStyle w:val="9"/>
            </w:pPr>
            <w:r>
              <w:t>13.00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13.00</w:t>
            </w:r>
          </w:p>
        </w:tc>
        <w:tc>
          <w:tcPr>
            <w:tcW w:w="1361" w:type="dxa"/>
            <w:vAlign w:val="center"/>
          </w:tcPr>
          <w:p>
            <w:pPr>
              <w:pStyle w:val="9"/>
            </w:pPr>
            <w:r>
              <w:t>13.00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224</w:t>
            </w:r>
          </w:p>
        </w:tc>
        <w:tc>
          <w:tcPr>
            <w:tcW w:w="4536" w:type="dxa"/>
            <w:vAlign w:val="center"/>
          </w:tcPr>
          <w:p>
            <w:pPr>
              <w:pStyle w:val="10"/>
            </w:pPr>
            <w:r>
              <w:t>灾害防治及应急管理支出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22406</w:t>
            </w:r>
          </w:p>
        </w:tc>
        <w:tc>
          <w:tcPr>
            <w:tcW w:w="4536" w:type="dxa"/>
            <w:vAlign w:val="center"/>
          </w:tcPr>
          <w:p>
            <w:pPr>
              <w:pStyle w:val="10"/>
            </w:pPr>
            <w:r>
              <w:t>自然灾害防治</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2240602</w:t>
            </w:r>
          </w:p>
        </w:tc>
        <w:tc>
          <w:tcPr>
            <w:tcW w:w="4536" w:type="dxa"/>
            <w:vAlign w:val="center"/>
          </w:tcPr>
          <w:p>
            <w:pPr>
              <w:pStyle w:val="10"/>
            </w:pPr>
            <w:r>
              <w:t>森林草原防灾减灾</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484002乐亭县滦河口生态旅游区发展服务中心</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478.77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r>
              <w:t>139.97</w:t>
            </w:r>
          </w:p>
        </w:tc>
        <w:tc>
          <w:tcPr>
            <w:tcW w:w="1474" w:type="dxa"/>
            <w:vAlign w:val="center"/>
          </w:tcPr>
          <w:p>
            <w:pPr>
              <w:pStyle w:val="9"/>
            </w:pPr>
            <w:r>
              <w:t>139.97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90.80</w:t>
            </w:r>
          </w:p>
        </w:tc>
        <w:tc>
          <w:tcPr>
            <w:tcW w:w="1474" w:type="dxa"/>
            <w:vAlign w:val="center"/>
          </w:tcPr>
          <w:p>
            <w:pPr>
              <w:pStyle w:val="9"/>
            </w:pPr>
            <w:r>
              <w:t>90.80</w:t>
            </w: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19.00</w:t>
            </w:r>
          </w:p>
        </w:tc>
        <w:tc>
          <w:tcPr>
            <w:tcW w:w="1474" w:type="dxa"/>
            <w:vAlign w:val="center"/>
          </w:tcPr>
          <w:p>
            <w:pPr>
              <w:pStyle w:val="9"/>
            </w:pPr>
            <w:r>
              <w:t>19.00</w:t>
            </w: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201.00</w:t>
            </w:r>
          </w:p>
        </w:tc>
        <w:tc>
          <w:tcPr>
            <w:tcW w:w="1474" w:type="dxa"/>
            <w:vAlign w:val="center"/>
          </w:tcPr>
          <w:p>
            <w:pPr>
              <w:pStyle w:val="9"/>
            </w:pPr>
            <w:r>
              <w:t>201.00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13.00</w:t>
            </w:r>
          </w:p>
        </w:tc>
        <w:tc>
          <w:tcPr>
            <w:tcW w:w="1474" w:type="dxa"/>
            <w:vAlign w:val="center"/>
          </w:tcPr>
          <w:p>
            <w:pPr>
              <w:pStyle w:val="9"/>
            </w:pPr>
            <w:r>
              <w:t>13.00</w:t>
            </w: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15.00</w:t>
            </w:r>
          </w:p>
        </w:tc>
        <w:tc>
          <w:tcPr>
            <w:tcW w:w="1474" w:type="dxa"/>
            <w:vAlign w:val="center"/>
          </w:tcPr>
          <w:p>
            <w:pPr>
              <w:pStyle w:val="9"/>
            </w:pPr>
            <w:r>
              <w:t>15.00</w:t>
            </w: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478.77</w:t>
            </w:r>
          </w:p>
        </w:tc>
        <w:tc>
          <w:tcPr>
            <w:tcW w:w="3402" w:type="dxa"/>
            <w:vAlign w:val="center"/>
          </w:tcPr>
          <w:p>
            <w:pPr>
              <w:pStyle w:val="12"/>
            </w:pPr>
            <w:r>
              <w:t>本年支出合计</w:t>
            </w:r>
          </w:p>
        </w:tc>
        <w:tc>
          <w:tcPr>
            <w:tcW w:w="1474" w:type="dxa"/>
            <w:vAlign w:val="center"/>
          </w:tcPr>
          <w:p>
            <w:pPr>
              <w:pStyle w:val="13"/>
            </w:pPr>
            <w:r>
              <w:t>478.77</w:t>
            </w:r>
          </w:p>
        </w:tc>
        <w:tc>
          <w:tcPr>
            <w:tcW w:w="1474" w:type="dxa"/>
            <w:vAlign w:val="center"/>
          </w:tcPr>
          <w:p>
            <w:pPr>
              <w:pStyle w:val="13"/>
            </w:pPr>
            <w:r>
              <w:t>478.77</w:t>
            </w:r>
          </w:p>
        </w:tc>
        <w:tc>
          <w:tcPr>
            <w:tcW w:w="1474" w:type="dxa"/>
            <w:vAlign w:val="center"/>
          </w:tcPr>
          <w:p>
            <w:pPr>
              <w:pStyle w:val="13"/>
            </w:pPr>
          </w:p>
        </w:tc>
        <w:tc>
          <w:tcPr>
            <w:tcW w:w="1474" w:type="dxa"/>
            <w:vAlign w:val="center"/>
          </w:tcPr>
          <w:p>
            <w:pPr>
              <w:pStyle w:val="13"/>
            </w:pPr>
          </w:p>
        </w:tc>
      </w:tr>
      <w:tr>
        <w:tblPrEx>
          <w:tblLayout w:type="fixed"/>
          <w:tblCellMar>
            <w:left w:w="108"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478.77</w:t>
            </w:r>
          </w:p>
        </w:tc>
        <w:tc>
          <w:tcPr>
            <w:tcW w:w="3402" w:type="dxa"/>
            <w:vAlign w:val="center"/>
          </w:tcPr>
          <w:p>
            <w:pPr>
              <w:pStyle w:val="12"/>
            </w:pPr>
            <w:r>
              <w:t>支出总计</w:t>
            </w:r>
          </w:p>
        </w:tc>
        <w:tc>
          <w:tcPr>
            <w:tcW w:w="1474" w:type="dxa"/>
            <w:vAlign w:val="center"/>
          </w:tcPr>
          <w:p>
            <w:pPr>
              <w:pStyle w:val="13"/>
            </w:pPr>
            <w:r>
              <w:t>478.77</w:t>
            </w:r>
          </w:p>
        </w:tc>
        <w:tc>
          <w:tcPr>
            <w:tcW w:w="1474" w:type="dxa"/>
            <w:vAlign w:val="center"/>
          </w:tcPr>
          <w:p>
            <w:pPr>
              <w:pStyle w:val="13"/>
            </w:pPr>
            <w:r>
              <w:t>478.77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484002乐亭县滦河口生态旅游区发展服务中心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Layout w:type="fixed"/>
          <w:tblCellMar>
            <w:left w:w="108"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478.77</w:t>
            </w:r>
          </w:p>
        </w:tc>
        <w:tc>
          <w:tcPr>
            <w:tcW w:w="2551" w:type="dxa"/>
            <w:vAlign w:val="center"/>
          </w:tcPr>
          <w:p>
            <w:pPr>
              <w:pStyle w:val="13"/>
            </w:pPr>
            <w:r>
              <w:t>262.77</w:t>
            </w:r>
          </w:p>
        </w:tc>
        <w:tc>
          <w:tcPr>
            <w:tcW w:w="2551" w:type="dxa"/>
            <w:vAlign w:val="center"/>
          </w:tcPr>
          <w:p>
            <w:pPr>
              <w:pStyle w:val="13"/>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9"/>
            </w:pPr>
            <w:r>
              <w:t>139.97</w:t>
            </w:r>
          </w:p>
        </w:tc>
        <w:tc>
          <w:tcPr>
            <w:tcW w:w="2551" w:type="dxa"/>
            <w:vAlign w:val="center"/>
          </w:tcPr>
          <w:p>
            <w:pPr>
              <w:pStyle w:val="9"/>
            </w:pPr>
            <w:r>
              <w:t>139.97</w:t>
            </w:r>
          </w:p>
        </w:tc>
        <w:tc>
          <w:tcPr>
            <w:tcW w:w="255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20701</w:t>
            </w:r>
          </w:p>
        </w:tc>
        <w:tc>
          <w:tcPr>
            <w:tcW w:w="4535" w:type="dxa"/>
            <w:vAlign w:val="center"/>
          </w:tcPr>
          <w:p>
            <w:pPr>
              <w:pStyle w:val="10"/>
            </w:pPr>
            <w:r>
              <w:t>文化和旅游</w:t>
            </w:r>
          </w:p>
        </w:tc>
        <w:tc>
          <w:tcPr>
            <w:tcW w:w="2551" w:type="dxa"/>
            <w:vAlign w:val="center"/>
          </w:tcPr>
          <w:p>
            <w:pPr>
              <w:pStyle w:val="9"/>
            </w:pPr>
            <w:r>
              <w:t>139.97</w:t>
            </w:r>
          </w:p>
        </w:tc>
        <w:tc>
          <w:tcPr>
            <w:tcW w:w="2551" w:type="dxa"/>
            <w:vAlign w:val="center"/>
          </w:tcPr>
          <w:p>
            <w:pPr>
              <w:pStyle w:val="9"/>
            </w:pPr>
            <w:r>
              <w:t>139.97</w:t>
            </w:r>
          </w:p>
        </w:tc>
        <w:tc>
          <w:tcPr>
            <w:tcW w:w="255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2070199</w:t>
            </w:r>
          </w:p>
        </w:tc>
        <w:tc>
          <w:tcPr>
            <w:tcW w:w="4535" w:type="dxa"/>
            <w:vAlign w:val="center"/>
          </w:tcPr>
          <w:p>
            <w:pPr>
              <w:pStyle w:val="10"/>
            </w:pPr>
            <w:r>
              <w:t>其他文化和旅游支出</w:t>
            </w:r>
          </w:p>
        </w:tc>
        <w:tc>
          <w:tcPr>
            <w:tcW w:w="2551" w:type="dxa"/>
            <w:vAlign w:val="center"/>
          </w:tcPr>
          <w:p>
            <w:pPr>
              <w:pStyle w:val="9"/>
            </w:pPr>
            <w:r>
              <w:t>139.97</w:t>
            </w:r>
          </w:p>
        </w:tc>
        <w:tc>
          <w:tcPr>
            <w:tcW w:w="2551" w:type="dxa"/>
            <w:vAlign w:val="center"/>
          </w:tcPr>
          <w:p>
            <w:pPr>
              <w:pStyle w:val="9"/>
            </w:pPr>
            <w:r>
              <w:t>139.97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90.80</w:t>
            </w:r>
          </w:p>
        </w:tc>
        <w:tc>
          <w:tcPr>
            <w:tcW w:w="2551" w:type="dxa"/>
            <w:vAlign w:val="center"/>
          </w:tcPr>
          <w:p>
            <w:pPr>
              <w:pStyle w:val="9"/>
            </w:pPr>
            <w:r>
              <w:t>90.80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90.80</w:t>
            </w:r>
          </w:p>
        </w:tc>
        <w:tc>
          <w:tcPr>
            <w:tcW w:w="2551" w:type="dxa"/>
            <w:vAlign w:val="center"/>
          </w:tcPr>
          <w:p>
            <w:pPr>
              <w:pStyle w:val="9"/>
            </w:pPr>
            <w:r>
              <w:t>90.80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72.80</w:t>
            </w:r>
          </w:p>
        </w:tc>
        <w:tc>
          <w:tcPr>
            <w:tcW w:w="2551" w:type="dxa"/>
            <w:vAlign w:val="center"/>
          </w:tcPr>
          <w:p>
            <w:pPr>
              <w:pStyle w:val="9"/>
            </w:pPr>
            <w:r>
              <w:t>72.80</w:t>
            </w:r>
          </w:p>
        </w:tc>
        <w:tc>
          <w:tcPr>
            <w:tcW w:w="255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18.00</w:t>
            </w:r>
          </w:p>
        </w:tc>
        <w:tc>
          <w:tcPr>
            <w:tcW w:w="2551" w:type="dxa"/>
            <w:vAlign w:val="center"/>
          </w:tcPr>
          <w:p>
            <w:pPr>
              <w:pStyle w:val="9"/>
            </w:pPr>
            <w:r>
              <w:t>18.00</w:t>
            </w:r>
          </w:p>
        </w:tc>
        <w:tc>
          <w:tcPr>
            <w:tcW w:w="255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19.00</w:t>
            </w:r>
          </w:p>
        </w:tc>
        <w:tc>
          <w:tcPr>
            <w:tcW w:w="2551" w:type="dxa"/>
            <w:vAlign w:val="center"/>
          </w:tcPr>
          <w:p>
            <w:pPr>
              <w:pStyle w:val="9"/>
            </w:pPr>
            <w:r>
              <w:t>19.00</w:t>
            </w:r>
          </w:p>
        </w:tc>
        <w:tc>
          <w:tcPr>
            <w:tcW w:w="255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19.00</w:t>
            </w:r>
          </w:p>
        </w:tc>
        <w:tc>
          <w:tcPr>
            <w:tcW w:w="2551" w:type="dxa"/>
            <w:vAlign w:val="center"/>
          </w:tcPr>
          <w:p>
            <w:pPr>
              <w:pStyle w:val="9"/>
            </w:pPr>
            <w:r>
              <w:t>19.00</w:t>
            </w:r>
          </w:p>
        </w:tc>
        <w:tc>
          <w:tcPr>
            <w:tcW w:w="255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9.00</w:t>
            </w:r>
          </w:p>
        </w:tc>
        <w:tc>
          <w:tcPr>
            <w:tcW w:w="2551" w:type="dxa"/>
            <w:vAlign w:val="center"/>
          </w:tcPr>
          <w:p>
            <w:pPr>
              <w:pStyle w:val="9"/>
            </w:pPr>
            <w:r>
              <w:t>9.00</w:t>
            </w:r>
          </w:p>
        </w:tc>
        <w:tc>
          <w:tcPr>
            <w:tcW w:w="255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10.00</w:t>
            </w:r>
          </w:p>
        </w:tc>
        <w:tc>
          <w:tcPr>
            <w:tcW w:w="2551" w:type="dxa"/>
            <w:vAlign w:val="center"/>
          </w:tcPr>
          <w:p>
            <w:pPr>
              <w:pStyle w:val="9"/>
            </w:pPr>
            <w:r>
              <w:t>10.00</w:t>
            </w:r>
          </w:p>
        </w:tc>
        <w:tc>
          <w:tcPr>
            <w:tcW w:w="255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201.00</w:t>
            </w:r>
          </w:p>
        </w:tc>
        <w:tc>
          <w:tcPr>
            <w:tcW w:w="2551" w:type="dxa"/>
            <w:vAlign w:val="center"/>
          </w:tcPr>
          <w:p>
            <w:pPr>
              <w:pStyle w:val="9"/>
            </w:pPr>
          </w:p>
        </w:tc>
        <w:tc>
          <w:tcPr>
            <w:tcW w:w="2551" w:type="dxa"/>
            <w:vAlign w:val="center"/>
          </w:tcPr>
          <w:p>
            <w:pPr>
              <w:pStyle w:val="9"/>
            </w:pPr>
            <w:r>
              <w:t>201.00</w:t>
            </w:r>
          </w:p>
        </w:tc>
      </w:tr>
      <w:tr>
        <w:tblPrEx>
          <w:tblLayout w:type="fixed"/>
          <w:tblCellMar>
            <w:left w:w="108"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21302</w:t>
            </w:r>
          </w:p>
        </w:tc>
        <w:tc>
          <w:tcPr>
            <w:tcW w:w="4535" w:type="dxa"/>
            <w:vAlign w:val="center"/>
          </w:tcPr>
          <w:p>
            <w:pPr>
              <w:pStyle w:val="10"/>
            </w:pPr>
            <w:r>
              <w:t>林业和草原</w:t>
            </w:r>
          </w:p>
        </w:tc>
        <w:tc>
          <w:tcPr>
            <w:tcW w:w="2551" w:type="dxa"/>
            <w:vAlign w:val="center"/>
          </w:tcPr>
          <w:p>
            <w:pPr>
              <w:pStyle w:val="9"/>
            </w:pPr>
            <w:r>
              <w:t>201.00</w:t>
            </w:r>
          </w:p>
        </w:tc>
        <w:tc>
          <w:tcPr>
            <w:tcW w:w="2551" w:type="dxa"/>
            <w:vAlign w:val="center"/>
          </w:tcPr>
          <w:p>
            <w:pPr>
              <w:pStyle w:val="9"/>
            </w:pPr>
          </w:p>
        </w:tc>
        <w:tc>
          <w:tcPr>
            <w:tcW w:w="2551" w:type="dxa"/>
            <w:vAlign w:val="center"/>
          </w:tcPr>
          <w:p>
            <w:pPr>
              <w:pStyle w:val="9"/>
            </w:pPr>
            <w:r>
              <w:t>201.00</w:t>
            </w:r>
          </w:p>
        </w:tc>
      </w:tr>
      <w:tr>
        <w:tblPrEx>
          <w:tblLayout w:type="fixed"/>
          <w:tblCellMar>
            <w:left w:w="108"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2130299</w:t>
            </w:r>
          </w:p>
        </w:tc>
        <w:tc>
          <w:tcPr>
            <w:tcW w:w="4535" w:type="dxa"/>
            <w:vAlign w:val="center"/>
          </w:tcPr>
          <w:p>
            <w:pPr>
              <w:pStyle w:val="10"/>
            </w:pPr>
            <w:r>
              <w:t>其他林业和草原支出</w:t>
            </w:r>
          </w:p>
        </w:tc>
        <w:tc>
          <w:tcPr>
            <w:tcW w:w="2551" w:type="dxa"/>
            <w:vAlign w:val="center"/>
          </w:tcPr>
          <w:p>
            <w:pPr>
              <w:pStyle w:val="9"/>
            </w:pPr>
            <w:r>
              <w:t>201.00</w:t>
            </w:r>
          </w:p>
        </w:tc>
        <w:tc>
          <w:tcPr>
            <w:tcW w:w="2551" w:type="dxa"/>
            <w:vAlign w:val="center"/>
          </w:tcPr>
          <w:p>
            <w:pPr>
              <w:pStyle w:val="9"/>
            </w:pPr>
          </w:p>
        </w:tc>
        <w:tc>
          <w:tcPr>
            <w:tcW w:w="2551" w:type="dxa"/>
            <w:vAlign w:val="center"/>
          </w:tcPr>
          <w:p>
            <w:pPr>
              <w:pStyle w:val="9"/>
            </w:pPr>
            <w:r>
              <w:t>201.00</w:t>
            </w:r>
          </w:p>
        </w:tc>
      </w:tr>
      <w:tr>
        <w:trPr>
          <w:trHeight w:val="369" w:hRule="atLeast"/>
          <w:jc w:val="center"/>
        </w:trPr>
        <w:tc>
          <w:tcPr>
            <w:tcW w:w="850" w:type="dxa"/>
            <w:vAlign w:val="center"/>
          </w:tcPr>
          <w:p>
            <w:pPr>
              <w:pStyle w:val="11"/>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13.00</w:t>
            </w:r>
          </w:p>
        </w:tc>
        <w:tc>
          <w:tcPr>
            <w:tcW w:w="2551" w:type="dxa"/>
            <w:vAlign w:val="center"/>
          </w:tcPr>
          <w:p>
            <w:pPr>
              <w:pStyle w:val="9"/>
            </w:pPr>
            <w:r>
              <w:t>13.00</w:t>
            </w:r>
          </w:p>
        </w:tc>
        <w:tc>
          <w:tcPr>
            <w:tcW w:w="255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13.00</w:t>
            </w:r>
          </w:p>
        </w:tc>
        <w:tc>
          <w:tcPr>
            <w:tcW w:w="2551" w:type="dxa"/>
            <w:vAlign w:val="center"/>
          </w:tcPr>
          <w:p>
            <w:pPr>
              <w:pStyle w:val="9"/>
            </w:pPr>
            <w:r>
              <w:t>13.00</w:t>
            </w:r>
          </w:p>
        </w:tc>
        <w:tc>
          <w:tcPr>
            <w:tcW w:w="2551" w:type="dxa"/>
            <w:vAlign w:val="center"/>
          </w:tcPr>
          <w:p>
            <w:pPr>
              <w:pStyle w:val="9"/>
            </w:pPr>
          </w:p>
        </w:tc>
      </w:tr>
      <w:tr>
        <w:tblPrEx>
          <w:tblLayout w:type="fixed"/>
          <w:tblCellMar>
            <w:left w:w="108"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13.00</w:t>
            </w:r>
          </w:p>
        </w:tc>
        <w:tc>
          <w:tcPr>
            <w:tcW w:w="2551" w:type="dxa"/>
            <w:vAlign w:val="center"/>
          </w:tcPr>
          <w:p>
            <w:pPr>
              <w:pStyle w:val="9"/>
            </w:pPr>
            <w:r>
              <w:t>13.00</w:t>
            </w:r>
          </w:p>
        </w:tc>
        <w:tc>
          <w:tcPr>
            <w:tcW w:w="2551" w:type="dxa"/>
            <w:vAlign w:val="center"/>
          </w:tcPr>
          <w:p>
            <w:pPr>
              <w:pStyle w:val="9"/>
            </w:pPr>
          </w:p>
        </w:tc>
      </w:tr>
      <w:tr>
        <w:trPr>
          <w:trHeight w:val="369" w:hRule="atLeast"/>
          <w:jc w:val="center"/>
        </w:trPr>
        <w:tc>
          <w:tcPr>
            <w:tcW w:w="850" w:type="dxa"/>
            <w:vAlign w:val="center"/>
          </w:tcPr>
          <w:p>
            <w:pPr>
              <w:pStyle w:val="11"/>
            </w:pPr>
            <w:r>
              <w:t>19</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Layout w:type="fixed"/>
          <w:tblCellMar>
            <w:left w:w="108"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22406</w:t>
            </w:r>
          </w:p>
        </w:tc>
        <w:tc>
          <w:tcPr>
            <w:tcW w:w="4535" w:type="dxa"/>
            <w:vAlign w:val="center"/>
          </w:tcPr>
          <w:p>
            <w:pPr>
              <w:pStyle w:val="10"/>
            </w:pPr>
            <w:r>
              <w:t>自然灾害防治</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Layout w:type="fixed"/>
          <w:tblCellMar>
            <w:left w:w="108"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2240602</w:t>
            </w:r>
          </w:p>
        </w:tc>
        <w:tc>
          <w:tcPr>
            <w:tcW w:w="4535" w:type="dxa"/>
            <w:vAlign w:val="center"/>
          </w:tcPr>
          <w:p>
            <w:pPr>
              <w:pStyle w:val="10"/>
            </w:pPr>
            <w:r>
              <w:t>森林草原防灾减灾</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484002乐亭县滦河口生态旅游区发展服务中心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262.77</w:t>
            </w:r>
          </w:p>
        </w:tc>
        <w:tc>
          <w:tcPr>
            <w:tcW w:w="2551" w:type="dxa"/>
            <w:vAlign w:val="center"/>
          </w:tcPr>
          <w:p>
            <w:pPr>
              <w:pStyle w:val="13"/>
            </w:pPr>
            <w:r>
              <w:t>244.60</w:t>
            </w:r>
          </w:p>
        </w:tc>
        <w:tc>
          <w:tcPr>
            <w:tcW w:w="2552" w:type="dxa"/>
            <w:vAlign w:val="center"/>
          </w:tcPr>
          <w:p>
            <w:pPr>
              <w:pStyle w:val="13"/>
            </w:pPr>
            <w:r>
              <w:t>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171.80</w:t>
            </w:r>
          </w:p>
        </w:tc>
        <w:tc>
          <w:tcPr>
            <w:tcW w:w="2551" w:type="dxa"/>
            <w:vAlign w:val="center"/>
          </w:tcPr>
          <w:p>
            <w:pPr>
              <w:pStyle w:val="9"/>
            </w:pPr>
            <w:r>
              <w:t>171.80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54.00</w:t>
            </w:r>
          </w:p>
        </w:tc>
        <w:tc>
          <w:tcPr>
            <w:tcW w:w="2551" w:type="dxa"/>
            <w:vAlign w:val="center"/>
          </w:tcPr>
          <w:p>
            <w:pPr>
              <w:pStyle w:val="9"/>
            </w:pPr>
            <w:r>
              <w:t>54.00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2.80</w:t>
            </w:r>
          </w:p>
        </w:tc>
        <w:tc>
          <w:tcPr>
            <w:tcW w:w="2551" w:type="dxa"/>
            <w:vAlign w:val="center"/>
          </w:tcPr>
          <w:p>
            <w:pPr>
              <w:pStyle w:val="9"/>
            </w:pPr>
            <w:r>
              <w:t>2.80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11.50</w:t>
            </w:r>
          </w:p>
        </w:tc>
        <w:tc>
          <w:tcPr>
            <w:tcW w:w="2551" w:type="dxa"/>
            <w:vAlign w:val="center"/>
          </w:tcPr>
          <w:p>
            <w:pPr>
              <w:pStyle w:val="9"/>
            </w:pPr>
            <w:r>
              <w:t>11.50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51.50</w:t>
            </w:r>
          </w:p>
        </w:tc>
        <w:tc>
          <w:tcPr>
            <w:tcW w:w="2551" w:type="dxa"/>
            <w:vAlign w:val="center"/>
          </w:tcPr>
          <w:p>
            <w:pPr>
              <w:pStyle w:val="9"/>
            </w:pPr>
            <w:r>
              <w:t>51.50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18.00</w:t>
            </w:r>
          </w:p>
        </w:tc>
        <w:tc>
          <w:tcPr>
            <w:tcW w:w="2551" w:type="dxa"/>
            <w:vAlign w:val="center"/>
          </w:tcPr>
          <w:p>
            <w:pPr>
              <w:pStyle w:val="9"/>
            </w:pPr>
            <w:r>
              <w:t>18.00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9.00</w:t>
            </w:r>
          </w:p>
        </w:tc>
        <w:tc>
          <w:tcPr>
            <w:tcW w:w="2551" w:type="dxa"/>
            <w:vAlign w:val="center"/>
          </w:tcPr>
          <w:p>
            <w:pPr>
              <w:pStyle w:val="9"/>
            </w:pPr>
            <w:r>
              <w:t>9.00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10.00</w:t>
            </w:r>
          </w:p>
        </w:tc>
        <w:tc>
          <w:tcPr>
            <w:tcW w:w="2551" w:type="dxa"/>
            <w:vAlign w:val="center"/>
          </w:tcPr>
          <w:p>
            <w:pPr>
              <w:pStyle w:val="9"/>
            </w:pPr>
            <w:r>
              <w:t>10.00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2.00</w:t>
            </w:r>
          </w:p>
        </w:tc>
        <w:tc>
          <w:tcPr>
            <w:tcW w:w="2551" w:type="dxa"/>
            <w:vAlign w:val="center"/>
          </w:tcPr>
          <w:p>
            <w:pPr>
              <w:pStyle w:val="9"/>
            </w:pPr>
            <w:r>
              <w:t>2.00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13.00</w:t>
            </w:r>
          </w:p>
        </w:tc>
        <w:tc>
          <w:tcPr>
            <w:tcW w:w="2551" w:type="dxa"/>
            <w:vAlign w:val="center"/>
          </w:tcPr>
          <w:p>
            <w:pPr>
              <w:pStyle w:val="9"/>
            </w:pPr>
            <w:r>
              <w:t>13.00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18.17</w:t>
            </w:r>
          </w:p>
        </w:tc>
        <w:tc>
          <w:tcPr>
            <w:tcW w:w="2551" w:type="dxa"/>
            <w:vAlign w:val="center"/>
          </w:tcPr>
          <w:p>
            <w:pPr>
              <w:pStyle w:val="9"/>
            </w:pPr>
          </w:p>
        </w:tc>
        <w:tc>
          <w:tcPr>
            <w:tcW w:w="2552" w:type="dxa"/>
            <w:vAlign w:val="center"/>
          </w:tcPr>
          <w:p>
            <w:pPr>
              <w:pStyle w:val="9"/>
            </w:pPr>
            <w:r>
              <w:t>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4.00</w:t>
            </w:r>
          </w:p>
        </w:tc>
        <w:tc>
          <w:tcPr>
            <w:tcW w:w="2551" w:type="dxa"/>
            <w:vAlign w:val="center"/>
          </w:tcPr>
          <w:p>
            <w:pPr>
              <w:pStyle w:val="9"/>
            </w:pPr>
          </w:p>
        </w:tc>
        <w:tc>
          <w:tcPr>
            <w:tcW w:w="2552"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1.57</w:t>
            </w:r>
          </w:p>
        </w:tc>
        <w:tc>
          <w:tcPr>
            <w:tcW w:w="2551" w:type="dxa"/>
            <w:vAlign w:val="center"/>
          </w:tcPr>
          <w:p>
            <w:pPr>
              <w:pStyle w:val="9"/>
            </w:pPr>
          </w:p>
        </w:tc>
        <w:tc>
          <w:tcPr>
            <w:tcW w:w="2552" w:type="dxa"/>
            <w:vAlign w:val="center"/>
          </w:tcPr>
          <w:p>
            <w:pPr>
              <w:pStyle w:val="9"/>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5.95</w:t>
            </w:r>
          </w:p>
        </w:tc>
        <w:tc>
          <w:tcPr>
            <w:tcW w:w="2551" w:type="dxa"/>
            <w:vAlign w:val="center"/>
          </w:tcPr>
          <w:p>
            <w:pPr>
              <w:pStyle w:val="9"/>
            </w:pPr>
          </w:p>
        </w:tc>
        <w:tc>
          <w:tcPr>
            <w:tcW w:w="2552" w:type="dxa"/>
            <w:vAlign w:val="center"/>
          </w:tcPr>
          <w:p>
            <w:pPr>
              <w:pStyle w:val="9"/>
            </w:pPr>
            <w: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6.65</w:t>
            </w:r>
          </w:p>
        </w:tc>
        <w:tc>
          <w:tcPr>
            <w:tcW w:w="2551" w:type="dxa"/>
            <w:vAlign w:val="center"/>
          </w:tcPr>
          <w:p>
            <w:pPr>
              <w:pStyle w:val="9"/>
            </w:pPr>
          </w:p>
        </w:tc>
        <w:tc>
          <w:tcPr>
            <w:tcW w:w="2552" w:type="dxa"/>
            <w:vAlign w:val="center"/>
          </w:tcPr>
          <w:p>
            <w:pPr>
              <w:pStyle w:val="9"/>
            </w:pPr>
            <w: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72.80</w:t>
            </w:r>
          </w:p>
        </w:tc>
        <w:tc>
          <w:tcPr>
            <w:tcW w:w="2551" w:type="dxa"/>
            <w:vAlign w:val="center"/>
          </w:tcPr>
          <w:p>
            <w:pPr>
              <w:pStyle w:val="9"/>
            </w:pPr>
            <w:r>
              <w:t>72.80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72.80</w:t>
            </w:r>
          </w:p>
        </w:tc>
        <w:tc>
          <w:tcPr>
            <w:tcW w:w="2551" w:type="dxa"/>
            <w:vAlign w:val="center"/>
          </w:tcPr>
          <w:p>
            <w:pPr>
              <w:pStyle w:val="9"/>
            </w:pPr>
            <w:r>
              <w:t>72.80</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484002乐亭县滦河口生态旅游区发展服务中心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484002乐亭县滦河口生态旅游区发展服务中心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rPr>
                <w:rFonts w:hint="eastAsia"/>
              </w:rPr>
              <w:t>484002</w:t>
            </w:r>
            <w:r>
              <w:t>乐亭县滦河口生态旅游区发展服务中心</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1</w:t>
            </w:r>
          </w:p>
        </w:tc>
        <w:tc>
          <w:tcPr>
            <w:tcW w:w="3798" w:type="dxa"/>
            <w:vAlign w:val="center"/>
          </w:tcPr>
          <w:p>
            <w:pPr>
              <w:pStyle w:val="10"/>
              <w:ind w:firstLine="1680" w:firstLineChars="800"/>
            </w:pPr>
            <w:r>
              <w:rPr>
                <w:rFonts w:hint="eastAsia"/>
              </w:rPr>
              <w:t>合计</w:t>
            </w:r>
          </w:p>
        </w:tc>
        <w:tc>
          <w:tcPr>
            <w:tcW w:w="2382" w:type="dxa"/>
            <w:vAlign w:val="center"/>
          </w:tcPr>
          <w:p>
            <w:pPr>
              <w:pStyle w:val="9"/>
              <w:jc w:val="center"/>
            </w:pPr>
            <w:r>
              <w:rPr>
                <w:rFonts w:hint="eastAsia"/>
              </w:rPr>
              <w:t>6.65</w:t>
            </w:r>
          </w:p>
        </w:tc>
        <w:tc>
          <w:tcPr>
            <w:tcW w:w="2381" w:type="dxa"/>
            <w:vAlign w:val="center"/>
          </w:tcPr>
          <w:p>
            <w:pPr>
              <w:pStyle w:val="9"/>
              <w:jc w:val="center"/>
            </w:pPr>
            <w:r>
              <w:rPr>
                <w:rFonts w:hint="eastAsia"/>
              </w:rPr>
              <w:t>6.65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2</w:t>
            </w:r>
          </w:p>
        </w:tc>
        <w:tc>
          <w:tcPr>
            <w:tcW w:w="3798" w:type="dxa"/>
            <w:vAlign w:val="center"/>
          </w:tcPr>
          <w:p>
            <w:pPr>
              <w:pStyle w:val="10"/>
            </w:pPr>
            <w:r>
              <w:rPr>
                <w:rFonts w:hint="eastAsia"/>
              </w:rPr>
              <w:t>“三公”经费小计</w:t>
            </w:r>
          </w:p>
        </w:tc>
        <w:tc>
          <w:tcPr>
            <w:tcW w:w="2382" w:type="dxa"/>
            <w:vAlign w:val="center"/>
          </w:tcPr>
          <w:p>
            <w:pPr>
              <w:pStyle w:val="9"/>
              <w:jc w:val="center"/>
            </w:pPr>
            <w:r>
              <w:rPr>
                <w:rFonts w:hint="eastAsia"/>
              </w:rPr>
              <w:t>6.65</w:t>
            </w:r>
          </w:p>
        </w:tc>
        <w:tc>
          <w:tcPr>
            <w:tcW w:w="2381" w:type="dxa"/>
            <w:vAlign w:val="center"/>
          </w:tcPr>
          <w:p>
            <w:pPr>
              <w:pStyle w:val="9"/>
              <w:jc w:val="center"/>
            </w:pPr>
            <w:r>
              <w:rPr>
                <w:rFonts w:hint="eastAsia"/>
              </w:rPr>
              <w:t>6.65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3</w:t>
            </w:r>
          </w:p>
        </w:tc>
        <w:tc>
          <w:tcPr>
            <w:tcW w:w="3798" w:type="dxa"/>
            <w:vAlign w:val="center"/>
          </w:tcPr>
          <w:p>
            <w:pPr>
              <w:pStyle w:val="10"/>
            </w:pPr>
            <w:r>
              <w:rPr>
                <w:rFonts w:hint="eastAsia"/>
              </w:rP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4</w:t>
            </w:r>
          </w:p>
        </w:tc>
        <w:tc>
          <w:tcPr>
            <w:tcW w:w="3798" w:type="dxa"/>
            <w:vAlign w:val="center"/>
          </w:tcPr>
          <w:p>
            <w:pPr>
              <w:pStyle w:val="10"/>
            </w:pPr>
            <w:r>
              <w:rPr>
                <w:rFonts w:hint="eastAsia"/>
              </w:rP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5</w:t>
            </w:r>
          </w:p>
        </w:tc>
        <w:tc>
          <w:tcPr>
            <w:tcW w:w="3798" w:type="dxa"/>
            <w:vAlign w:val="center"/>
          </w:tcPr>
          <w:p>
            <w:pPr>
              <w:pStyle w:val="10"/>
            </w:pPr>
            <w:r>
              <w:rPr>
                <w:rFonts w:hint="eastAsia"/>
              </w:rP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6</w:t>
            </w:r>
          </w:p>
        </w:tc>
        <w:tc>
          <w:tcPr>
            <w:tcW w:w="3798" w:type="dxa"/>
            <w:vAlign w:val="center"/>
          </w:tcPr>
          <w:p>
            <w:pPr>
              <w:pStyle w:val="10"/>
            </w:pPr>
            <w:r>
              <w:rPr>
                <w:rFonts w:hint="eastAsia"/>
              </w:rPr>
              <w:t>二、公务用车购置及运维费</w:t>
            </w:r>
          </w:p>
        </w:tc>
        <w:tc>
          <w:tcPr>
            <w:tcW w:w="2382" w:type="dxa"/>
            <w:vAlign w:val="center"/>
          </w:tcPr>
          <w:p>
            <w:pPr>
              <w:pStyle w:val="9"/>
              <w:jc w:val="center"/>
            </w:pPr>
            <w:r>
              <w:rPr>
                <w:rFonts w:hint="eastAsia"/>
              </w:rPr>
              <w:t>6.65</w:t>
            </w:r>
          </w:p>
        </w:tc>
        <w:tc>
          <w:tcPr>
            <w:tcW w:w="2381" w:type="dxa"/>
            <w:vAlign w:val="center"/>
          </w:tcPr>
          <w:p>
            <w:pPr>
              <w:pStyle w:val="9"/>
              <w:jc w:val="center"/>
            </w:pPr>
            <w:r>
              <w:rPr>
                <w:rFonts w:hint="eastAsia"/>
              </w:rPr>
              <w:t>6.65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7</w:t>
            </w:r>
          </w:p>
        </w:tc>
        <w:tc>
          <w:tcPr>
            <w:tcW w:w="3798" w:type="dxa"/>
            <w:vAlign w:val="center"/>
          </w:tcPr>
          <w:p>
            <w:pPr>
              <w:pStyle w:val="10"/>
            </w:pPr>
            <w:r>
              <w:rPr>
                <w:rFonts w:hint="eastAsia"/>
              </w:rP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8</w:t>
            </w:r>
          </w:p>
        </w:tc>
        <w:tc>
          <w:tcPr>
            <w:tcW w:w="3798" w:type="dxa"/>
            <w:vAlign w:val="center"/>
          </w:tcPr>
          <w:p>
            <w:pPr>
              <w:pStyle w:val="10"/>
            </w:pPr>
            <w:r>
              <w:rPr>
                <w:rFonts w:hint="eastAsia"/>
              </w:rPr>
              <w:t xml:space="preserve">           公务用车运行维护费</w:t>
            </w:r>
          </w:p>
        </w:tc>
        <w:tc>
          <w:tcPr>
            <w:tcW w:w="2382" w:type="dxa"/>
            <w:vAlign w:val="center"/>
          </w:tcPr>
          <w:p>
            <w:pPr>
              <w:pStyle w:val="9"/>
              <w:jc w:val="center"/>
            </w:pPr>
            <w:r>
              <w:rPr>
                <w:rFonts w:hint="eastAsia"/>
              </w:rPr>
              <w:t>6.65</w:t>
            </w:r>
          </w:p>
        </w:tc>
        <w:tc>
          <w:tcPr>
            <w:tcW w:w="2381" w:type="dxa"/>
            <w:vAlign w:val="center"/>
          </w:tcPr>
          <w:p>
            <w:pPr>
              <w:pStyle w:val="9"/>
              <w:jc w:val="center"/>
            </w:pPr>
            <w:r>
              <w:rPr>
                <w:rFonts w:hint="eastAsia"/>
              </w:rPr>
              <w:t>6.65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1"/>
            </w:pPr>
            <w:r>
              <w:rPr>
                <w:rFonts w:hint="eastAsia"/>
              </w:rPr>
              <w:t>9</w:t>
            </w:r>
          </w:p>
        </w:tc>
        <w:tc>
          <w:tcPr>
            <w:tcW w:w="3798" w:type="dxa"/>
            <w:vAlign w:val="center"/>
          </w:tcPr>
          <w:p>
            <w:pPr>
              <w:pStyle w:val="10"/>
            </w:pPr>
            <w:r>
              <w:rPr>
                <w:rFonts w:hint="eastAsia"/>
              </w:rP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t xml:space="preserve"> </w:t>
      </w:r>
    </w:p>
    <w:p>
      <w:pPr>
        <w:jc w:val="center"/>
        <w:outlineLvl w:val="4"/>
      </w:pPr>
      <w:r>
        <w:rPr>
          <w:rFonts w:ascii="方正小标宋_GBK" w:hAnsi="方正小标宋_GBK" w:eastAsia="方正小标宋_GBK" w:cs="方正小标宋_GBK"/>
          <w:color w:val="000000"/>
          <w:sz w:val="44"/>
        </w:rPr>
        <w:t>乐亭县滦河口生态旅游区发展服务中心2023年单位预算信息公开情况说明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按照《预算法》、《地方预决算公开操作规程》和《关于进一步推进预算公开工作的实施意见》规定，现将乐亭县滦河口生态旅游区发展服务中心2023年单位预算公开如下：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1、贯彻执行国家有关生态旅游发展的法律法规和方针政策。</w:t>
      </w:r>
    </w:p>
    <w:p>
      <w:pPr>
        <w:pStyle w:val="23"/>
      </w:pPr>
      <w:r>
        <w:t>2、调查辖区范围内生态旅游资源并建立档案，组织环境监测，保护生态旅游区内旅游环境和旅游资源。</w:t>
      </w:r>
    </w:p>
    <w:p>
      <w:pPr>
        <w:pStyle w:val="23"/>
      </w:pPr>
      <w:r>
        <w:t>3、组织制定和实施生态旅游发展的规划，制定生态旅游的各项规章制度，统一管理生态旅游发展服务。</w:t>
      </w:r>
    </w:p>
    <w:p>
      <w:pPr>
        <w:pStyle w:val="23"/>
      </w:pPr>
      <w:r>
        <w:t>4、负责生态旅游区的开发、建设、招商引资及供水、供电、道路等基础设施建设。</w:t>
      </w:r>
    </w:p>
    <w:p>
      <w:pPr>
        <w:pStyle w:val="23"/>
      </w:pPr>
      <w:r>
        <w:t>5、负责滦河口省级湿地公园内工程与基础设施建设、野生动植物资源基础调研和科研、病虫害防治、防火、自然保护区的宣传教育与恢复工程等方面具体事务性工作。</w:t>
      </w:r>
    </w:p>
    <w:p>
      <w:pPr>
        <w:pStyle w:val="23"/>
      </w:pPr>
      <w:r>
        <w:t>6、配合有关</w:t>
      </w:r>
      <w:r>
        <w:rPr>
          <w:rFonts w:hint="eastAsia"/>
        </w:rPr>
        <w:t>单位</w:t>
      </w:r>
      <w:r>
        <w:t>巡查，防止破坏湿地、乱砍乱伐、猎捕野生动物等破坏湿地生态环境的行为。</w:t>
      </w:r>
    </w:p>
    <w:p>
      <w:pPr>
        <w:pStyle w:val="23"/>
      </w:pPr>
      <w:r>
        <w:t>7、负责滦河口省级湿地公园相关科普知识的宣传与教育工作。</w:t>
      </w:r>
    </w:p>
    <w:p>
      <w:pPr>
        <w:pStyle w:val="23"/>
      </w:pPr>
      <w:r>
        <w:t>8、负责市级湿地资源调查与监测站开展相关湿地监测的事务性工作。</w:t>
      </w:r>
    </w:p>
    <w:p>
      <w:pPr>
        <w:pStyle w:val="23"/>
      </w:pPr>
      <w:r>
        <w:t>9、协助做好辖区征地拆迁补偿等相关事宜。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5669" w:type="dxa"/>
            <w:vAlign w:val="center"/>
          </w:tcPr>
          <w:p>
            <w:pPr>
              <w:pStyle w:val="10"/>
            </w:pPr>
            <w:r>
              <w:t>乐亭县滦河口生态旅游区发展服务中心</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按照预算管理有关规定，目前我省</w:t>
      </w:r>
      <w:r>
        <w:rPr>
          <w:rFonts w:hint="eastAsia"/>
        </w:rPr>
        <w:t>单位</w:t>
      </w:r>
      <w:r>
        <w:t>预算的编制实行综合预算管理，即全部收入和支出都反映在预算中。滦河口发展服务中心机关及所属事业单位的收支包含在</w:t>
      </w:r>
      <w:r>
        <w:rPr>
          <w:rFonts w:hint="eastAsia"/>
        </w:rPr>
        <w:t>单位</w:t>
      </w:r>
      <w:r>
        <w:t>预算中。</w:t>
      </w:r>
    </w:p>
    <w:p>
      <w:pPr>
        <w:pStyle w:val="24"/>
      </w:pPr>
    </w:p>
    <w:p>
      <w:pPr>
        <w:pStyle w:val="24"/>
      </w:pPr>
      <w:r>
        <w:t>（一）收入情况</w:t>
      </w:r>
    </w:p>
    <w:p>
      <w:pPr>
        <w:pStyle w:val="24"/>
      </w:pPr>
      <w:r>
        <w:t>反应本</w:t>
      </w:r>
      <w:r>
        <w:rPr>
          <w:rFonts w:hint="eastAsia"/>
        </w:rPr>
        <w:t>单位</w:t>
      </w:r>
      <w:r>
        <w:t>当年一般公共预算拨款。2023年</w:t>
      </w:r>
      <w:r>
        <w:rPr>
          <w:rFonts w:hint="eastAsia"/>
        </w:rPr>
        <w:t>单位</w:t>
      </w:r>
      <w:r>
        <w:t>预算收入478.77万元，其中：财政拨款收入478.77万元，其他收入0万元。去年</w:t>
      </w:r>
      <w:r>
        <w:rPr>
          <w:rFonts w:hint="eastAsia"/>
        </w:rPr>
        <w:t>单位</w:t>
      </w:r>
      <w:r>
        <w:t>预算收入344.32万元。</w:t>
      </w:r>
    </w:p>
    <w:p>
      <w:pPr>
        <w:pStyle w:val="24"/>
      </w:pPr>
      <w:r>
        <w:t>（二）支出情况</w:t>
      </w:r>
    </w:p>
    <w:p>
      <w:pPr>
        <w:pStyle w:val="24"/>
      </w:pPr>
      <w:r>
        <w:t>本年预算支出：本年支出478.77万元，其中人员经费244.6万元，正常公用经费18.17万元。项目经费216万元。与去年相比增加人员经费129.6万元，主要原因是增加两名退役军人和增加退休职工生活补贴；正常公用经费比去年增加2.85万元，主要原因是增加人员及公务用车由燃油汽车变为新能源汽车，经费增加；项目支出比上年增加2万元，主要原因是下属林场由于人员调增工资，其他项目与上年相同。</w:t>
      </w:r>
    </w:p>
    <w:p>
      <w:pPr>
        <w:pStyle w:val="24"/>
      </w:pPr>
      <w:r>
        <w:t>（三）比上年增减情况</w:t>
      </w:r>
    </w:p>
    <w:p>
      <w:pPr>
        <w:pStyle w:val="24"/>
      </w:pPr>
      <w:r>
        <w:t>2023年预算收入较2022年增加134.45万元，其中人员经费收入增加129.6万元，增加比例为37.64%，主要是人员变动和增加退休职工生活补贴所致。正常公用比去年增加2.85万元，主要原因是增加人员及公务用车由燃油汽车变为新能源汽车，经费增加；项目支出较上年增加2万元，增加比例为0.93%，主要原因是下属林场人员调增工资。</w:t>
      </w:r>
    </w:p>
    <w:p>
      <w:pPr>
        <w:spacing w:before="10" w:after="10"/>
        <w:ind w:firstLine="640"/>
        <w:outlineLvl w:val="5"/>
      </w:pPr>
      <w:r>
        <w:rPr>
          <w:rFonts w:ascii="黑体" w:hAnsi="黑体" w:eastAsia="黑体" w:cs="黑体"/>
          <w:color w:val="000000"/>
          <w:sz w:val="32"/>
        </w:rPr>
        <w:t>三、机关运行经费安排情况</w:t>
      </w:r>
    </w:p>
    <w:p>
      <w:pPr>
        <w:pStyle w:val="25"/>
      </w:pPr>
      <w:r>
        <w:t>2023年我</w:t>
      </w:r>
      <w:r>
        <w:rPr>
          <w:rFonts w:hint="eastAsia"/>
        </w:rPr>
        <w:t>单位</w:t>
      </w:r>
      <w:r>
        <w:t>经费预算为18.17万元。主要指</w:t>
      </w:r>
      <w:r>
        <w:rPr>
          <w:rFonts w:hint="eastAsia"/>
        </w:rPr>
        <w:t>单位</w:t>
      </w:r>
      <w:r>
        <w:t>的日常公用经费，分别是办公费4万元， 邮电费1.57万元，办公用房取暖费5.95万元，公务用车维护费6.65万元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2023年我</w:t>
      </w:r>
      <w:r>
        <w:rPr>
          <w:rFonts w:hint="eastAsia"/>
        </w:rPr>
        <w:t>单位</w:t>
      </w:r>
      <w:r>
        <w:t>“三公”经费预算安排6.65万元，较上年预算增加2.85万元。具体安排情况为:</w:t>
      </w:r>
    </w:p>
    <w:p>
      <w:pPr>
        <w:pStyle w:val="26"/>
      </w:pPr>
    </w:p>
    <w:p>
      <w:pPr>
        <w:pStyle w:val="26"/>
      </w:pPr>
      <w:r>
        <w:t>1、公务用车购置及运行费。共计安排6.65万元，较上年预算增加2.85万元。</w:t>
      </w:r>
    </w:p>
    <w:p>
      <w:pPr>
        <w:pStyle w:val="26"/>
      </w:pPr>
      <w:r>
        <w:t>①公务用车购置安排0万元。较上年预算持平。</w:t>
      </w:r>
    </w:p>
    <w:p>
      <w:pPr>
        <w:pStyle w:val="26"/>
      </w:pPr>
      <w:r>
        <w:t>②公车运行维护经费安排6.65万元，较上年预算增加2.85万元。增加原因为公车改革，由新能源车代替燃油汽车。</w:t>
      </w:r>
    </w:p>
    <w:p>
      <w:pPr>
        <w:pStyle w:val="26"/>
      </w:pPr>
      <w:r>
        <w:t>2、公务接待费因招商经费取消，无接待费。</w:t>
      </w:r>
    </w:p>
    <w:p>
      <w:pPr>
        <w:pStyle w:val="26"/>
      </w:pPr>
      <w:r>
        <w:t>3、因公出国（境）费安排0万元，与上年持平.</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outlineLvl w:val="5"/>
        <w:rPr>
          <w:rFonts w:eastAsia="方正仿宋_GBK"/>
          <w:sz w:val="28"/>
        </w:rPr>
      </w:pPr>
    </w:p>
    <w:p>
      <w:pPr>
        <w:rPr>
          <w:rFonts w:eastAsia="方正仿宋_GBK"/>
          <w:sz w:val="28"/>
        </w:rPr>
      </w:pPr>
      <w:r>
        <w:rPr>
          <w:rFonts w:hint="eastAsia" w:eastAsia="方正仿宋_GBK"/>
          <w:sz w:val="28"/>
        </w:rPr>
        <w:t>促进森林资源保护与管理，增加森林面积，2023年实施造林面积500亩，加强中幼林抚育，实施森林抚育1000亩。提高森林质量，降低林业病虫害发生率，计划实施防治美国白蛾飞机喷洒药物2次，涉及有林面积9000亩。森林防火工作事关环境保护和生态安全，加强林区防火工作，坚持以预防为主的方针，扎实做好修建防火道、防火巡护工作，计划修建防火隔离带50千米，加大防火宣传力度，利用小喇叭宣传防火知识，发放宣传手册，在易发地段张贴防火标语和警示牌，并组成巡逻队，在防火期不间断巡查。</w:t>
      </w:r>
    </w:p>
    <w:p>
      <w:pPr>
        <w:spacing w:before="10" w:after="10"/>
        <w:ind w:firstLine="640"/>
        <w:outlineLvl w:val="5"/>
        <w:rPr>
          <w:rFonts w:eastAsia="方正仿宋_GBK"/>
          <w:sz w:val="28"/>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1、姜各庄林场森林生态效益补偿绩效目标表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目标内容</w:t>
            </w:r>
            <w:r>
              <w:rPr>
                <w:rFonts w:hint="eastAsia"/>
              </w:rPr>
              <w:t>1、</w:t>
            </w:r>
            <w:r>
              <w:t>完成春季造林</w:t>
            </w:r>
            <w:r>
              <w:rPr>
                <w:rFonts w:hint="eastAsia"/>
              </w:rPr>
              <w:t>500亩。2、完成森林抚育1000亩。</w:t>
            </w:r>
          </w:p>
        </w:tc>
      </w:tr>
    </w:tbl>
    <w:p>
      <w:pPr>
        <w:spacing w:line="2" w:lineRule="exact"/>
        <w:jc w:val="center"/>
      </w:pP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造林面积</w:t>
            </w:r>
          </w:p>
        </w:tc>
        <w:tc>
          <w:tcPr>
            <w:tcW w:w="2835" w:type="dxa"/>
            <w:vAlign w:val="center"/>
          </w:tcPr>
          <w:p>
            <w:pPr>
              <w:pStyle w:val="10"/>
            </w:pPr>
            <w:r>
              <w:t>当年完成的造林绿化面积数</w:t>
            </w:r>
          </w:p>
        </w:tc>
        <w:tc>
          <w:tcPr>
            <w:tcW w:w="2551" w:type="dxa"/>
            <w:vAlign w:val="center"/>
          </w:tcPr>
          <w:p>
            <w:pPr>
              <w:pStyle w:val="10"/>
            </w:pPr>
            <w:r>
              <w:t>≥500亩</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森林抚育面积</w:t>
            </w:r>
          </w:p>
        </w:tc>
        <w:tc>
          <w:tcPr>
            <w:tcW w:w="2835" w:type="dxa"/>
            <w:vAlign w:val="center"/>
          </w:tcPr>
          <w:p>
            <w:pPr>
              <w:pStyle w:val="10"/>
            </w:pPr>
            <w:r>
              <w:t>当年完成的森林抚育面积数</w:t>
            </w:r>
          </w:p>
        </w:tc>
        <w:tc>
          <w:tcPr>
            <w:tcW w:w="2551" w:type="dxa"/>
            <w:vAlign w:val="center"/>
          </w:tcPr>
          <w:p>
            <w:pPr>
              <w:pStyle w:val="10"/>
            </w:pPr>
            <w:r>
              <w:t>≥1000亩</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造林投入成本</w:t>
            </w:r>
          </w:p>
        </w:tc>
        <w:tc>
          <w:tcPr>
            <w:tcW w:w="2835" w:type="dxa"/>
            <w:vAlign w:val="center"/>
          </w:tcPr>
          <w:p>
            <w:pPr>
              <w:pStyle w:val="10"/>
            </w:pPr>
            <w:r>
              <w:t>造林所需成本</w:t>
            </w:r>
          </w:p>
        </w:tc>
        <w:tc>
          <w:tcPr>
            <w:tcW w:w="2551" w:type="dxa"/>
            <w:vAlign w:val="center"/>
          </w:tcPr>
          <w:p>
            <w:pPr>
              <w:pStyle w:val="10"/>
            </w:pPr>
            <w:r>
              <w:t>≤90百分比</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涵养水土、防风固沙、净化空气</w:t>
            </w:r>
          </w:p>
        </w:tc>
        <w:tc>
          <w:tcPr>
            <w:tcW w:w="2835" w:type="dxa"/>
            <w:vAlign w:val="center"/>
          </w:tcPr>
          <w:p>
            <w:pPr>
              <w:pStyle w:val="10"/>
            </w:pPr>
            <w:r>
              <w:t>森林储蓄量增加对保护水土和改善空气的影响</w:t>
            </w:r>
          </w:p>
        </w:tc>
        <w:tc>
          <w:tcPr>
            <w:tcW w:w="2551" w:type="dxa"/>
            <w:vAlign w:val="center"/>
          </w:tcPr>
          <w:p>
            <w:pPr>
              <w:pStyle w:val="10"/>
            </w:pPr>
            <w:r>
              <w:t xml:space="preserve"> 提高</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林业有害生物成灾率</w:t>
            </w:r>
          </w:p>
        </w:tc>
        <w:tc>
          <w:tcPr>
            <w:tcW w:w="2835" w:type="dxa"/>
            <w:vAlign w:val="center"/>
          </w:tcPr>
          <w:p>
            <w:pPr>
              <w:pStyle w:val="10"/>
            </w:pPr>
            <w:r>
              <w:t>林业有害生物发生面积与森林面积比率</w:t>
            </w:r>
          </w:p>
        </w:tc>
        <w:tc>
          <w:tcPr>
            <w:tcW w:w="2551" w:type="dxa"/>
            <w:vAlign w:val="center"/>
          </w:tcPr>
          <w:p>
            <w:pPr>
              <w:pStyle w:val="10"/>
            </w:pPr>
            <w:r>
              <w:t xml:space="preserve"> 提高</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林区树木可持续生长</w:t>
            </w:r>
          </w:p>
        </w:tc>
        <w:tc>
          <w:tcPr>
            <w:tcW w:w="2835" w:type="dxa"/>
            <w:vAlign w:val="center"/>
          </w:tcPr>
          <w:p>
            <w:pPr>
              <w:pStyle w:val="10"/>
            </w:pPr>
            <w:r>
              <w:t>树木持续增长对生态环境的影响</w:t>
            </w:r>
          </w:p>
        </w:tc>
        <w:tc>
          <w:tcPr>
            <w:tcW w:w="2551" w:type="dxa"/>
            <w:vAlign w:val="center"/>
          </w:tcPr>
          <w:p>
            <w:pPr>
              <w:pStyle w:val="10"/>
            </w:pPr>
            <w:r>
              <w:t xml:space="preserve"> 提高</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w:t>
            </w:r>
          </w:p>
        </w:tc>
        <w:tc>
          <w:tcPr>
            <w:tcW w:w="2835" w:type="dxa"/>
            <w:vAlign w:val="center"/>
          </w:tcPr>
          <w:p>
            <w:pPr>
              <w:pStyle w:val="10"/>
            </w:pPr>
            <w:r>
              <w:t>服务对象满意</w:t>
            </w:r>
          </w:p>
        </w:tc>
        <w:tc>
          <w:tcPr>
            <w:tcW w:w="2551" w:type="dxa"/>
            <w:vAlign w:val="center"/>
          </w:tcPr>
          <w:p>
            <w:pPr>
              <w:pStyle w:val="10"/>
            </w:pPr>
            <w:r>
              <w:t xml:space="preserve"> 提高</w:t>
            </w:r>
          </w:p>
        </w:tc>
        <w:tc>
          <w:tcPr>
            <w:tcW w:w="2268" w:type="dxa"/>
            <w:vAlign w:val="center"/>
          </w:tcPr>
          <w:p>
            <w:pPr>
              <w:pStyle w:val="10"/>
            </w:pPr>
            <w:r>
              <w:t>年度工作安排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2、森林巡查防火绩效目标表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目标内容1</w:t>
            </w:r>
            <w:r>
              <w:rPr>
                <w:rFonts w:hint="eastAsia"/>
              </w:rPr>
              <w:t>、</w:t>
            </w:r>
            <w:r>
              <w:t>修防火道</w:t>
            </w:r>
            <w:r>
              <w:rPr>
                <w:rFonts w:hint="eastAsia"/>
              </w:rPr>
              <w:t>，</w:t>
            </w:r>
            <w:r>
              <w:t>完成防火道50Km</w:t>
            </w:r>
            <w:r>
              <w:rPr>
                <w:rFonts w:hint="eastAsia"/>
              </w:rPr>
              <w:t>；</w:t>
            </w:r>
            <w:r>
              <w:t>实时监控，防火宣传</w:t>
            </w:r>
            <w:r>
              <w:rPr>
                <w:rFonts w:hint="eastAsia"/>
              </w:rPr>
              <w:t>，</w:t>
            </w:r>
            <w:r>
              <w:t>防火监控覆盖率90%以上</w:t>
            </w:r>
            <w:r>
              <w:rPr>
                <w:rFonts w:hint="eastAsia"/>
              </w:rPr>
              <w:t>。</w:t>
            </w:r>
          </w:p>
        </w:tc>
      </w:tr>
    </w:tbl>
    <w:p>
      <w:pPr>
        <w:spacing w:line="2" w:lineRule="exact"/>
        <w:jc w:val="center"/>
      </w:pP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修防火隔离带</w:t>
            </w:r>
          </w:p>
        </w:tc>
        <w:tc>
          <w:tcPr>
            <w:tcW w:w="2835" w:type="dxa"/>
            <w:vAlign w:val="center"/>
          </w:tcPr>
          <w:p>
            <w:pPr>
              <w:pStyle w:val="10"/>
            </w:pPr>
            <w:r>
              <w:t>修防火隔离带</w:t>
            </w:r>
          </w:p>
        </w:tc>
        <w:tc>
          <w:tcPr>
            <w:tcW w:w="2551" w:type="dxa"/>
            <w:vAlign w:val="center"/>
          </w:tcPr>
          <w:p>
            <w:pPr>
              <w:pStyle w:val="10"/>
            </w:pPr>
            <w:r>
              <w:t>≥</w:t>
            </w:r>
            <w:r>
              <w:rPr>
                <w:rFonts w:hint="eastAsia"/>
              </w:rPr>
              <w:t>50</w:t>
            </w:r>
            <w:r>
              <w:t>千米</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防火道修建费用</w:t>
            </w:r>
          </w:p>
        </w:tc>
        <w:tc>
          <w:tcPr>
            <w:tcW w:w="2835" w:type="dxa"/>
            <w:vAlign w:val="center"/>
          </w:tcPr>
          <w:p>
            <w:pPr>
              <w:pStyle w:val="10"/>
            </w:pPr>
            <w:r>
              <w:t>防火道修建费用</w:t>
            </w:r>
          </w:p>
        </w:tc>
        <w:tc>
          <w:tcPr>
            <w:tcW w:w="2551" w:type="dxa"/>
            <w:vAlign w:val="center"/>
          </w:tcPr>
          <w:p>
            <w:pPr>
              <w:pStyle w:val="10"/>
            </w:pPr>
            <w:r>
              <w:t>&lt;10万元</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林业火灾受害控制率</w:t>
            </w:r>
          </w:p>
        </w:tc>
        <w:tc>
          <w:tcPr>
            <w:tcW w:w="2835" w:type="dxa"/>
            <w:vAlign w:val="center"/>
          </w:tcPr>
          <w:p>
            <w:pPr>
              <w:pStyle w:val="10"/>
            </w:pPr>
            <w:r>
              <w:t>林业火灾受害控制率</w:t>
            </w:r>
          </w:p>
        </w:tc>
        <w:tc>
          <w:tcPr>
            <w:tcW w:w="2551" w:type="dxa"/>
            <w:vAlign w:val="center"/>
          </w:tcPr>
          <w:p>
            <w:pPr>
              <w:pStyle w:val="10"/>
            </w:pPr>
            <w:r>
              <w:t>降低</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降低</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w:t>
            </w:r>
          </w:p>
        </w:tc>
        <w:tc>
          <w:tcPr>
            <w:tcW w:w="2835" w:type="dxa"/>
            <w:vAlign w:val="center"/>
          </w:tcPr>
          <w:p>
            <w:pPr>
              <w:pStyle w:val="10"/>
            </w:pPr>
            <w:r>
              <w:t>群众满意提高</w:t>
            </w:r>
          </w:p>
        </w:tc>
        <w:tc>
          <w:tcPr>
            <w:tcW w:w="2551" w:type="dxa"/>
            <w:vAlign w:val="center"/>
          </w:tcPr>
          <w:p>
            <w:pPr>
              <w:pStyle w:val="10"/>
            </w:pPr>
            <w:r>
              <w:t>提高</w:t>
            </w:r>
          </w:p>
        </w:tc>
        <w:tc>
          <w:tcPr>
            <w:tcW w:w="2268" w:type="dxa"/>
            <w:vAlign w:val="center"/>
          </w:tcPr>
          <w:p>
            <w:pPr>
              <w:pStyle w:val="10"/>
            </w:pPr>
            <w:r>
              <w:t>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2023年，乐亭县滦河口生态旅游区发展服务中心安排政府采购预算0.00万元。具体内容见下表。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484002乐亭县滦河口生态旅游区发展服务中心</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w:t>
            </w:r>
            <w:r>
              <w:rPr>
                <w:rFonts w:hint="eastAsia"/>
              </w:rPr>
              <w:t>单位</w:t>
            </w:r>
            <w:r>
              <w:t>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乐亭县滦河口生态旅游区发展服务中心上年末固定资产金额为73.04万元（详见下表）。本年度拟购置固定资产总额为0.00万元，已按要求列入政府采购预算，详见政府采购预算表。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484002乐亭县滦河口生态旅游区发展服务中心</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73.04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1700</w:t>
            </w:r>
          </w:p>
        </w:tc>
        <w:tc>
          <w:tcPr>
            <w:tcW w:w="2835" w:type="dxa"/>
            <w:vAlign w:val="center"/>
          </w:tcPr>
          <w:p>
            <w:pPr>
              <w:pStyle w:val="9"/>
            </w:pPr>
            <w:r>
              <w:t>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1700</w:t>
            </w:r>
          </w:p>
        </w:tc>
        <w:tc>
          <w:tcPr>
            <w:tcW w:w="2835" w:type="dxa"/>
            <w:vAlign w:val="center"/>
          </w:tcPr>
          <w:p>
            <w:pPr>
              <w:pStyle w:val="9"/>
            </w:pPr>
            <w:r>
              <w:t>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60</w:t>
            </w:r>
          </w:p>
        </w:tc>
        <w:tc>
          <w:tcPr>
            <w:tcW w:w="2835" w:type="dxa"/>
            <w:vAlign w:val="center"/>
          </w:tcPr>
          <w:p>
            <w:pPr>
              <w:pStyle w:val="9"/>
            </w:pPr>
            <w:r>
              <w:t>34.51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级财政预算管理的“三公”经费，是指预算</w:t>
      </w:r>
      <w:bookmarkStart w:id="1" w:name="_GoBack"/>
      <w:bookmarkEnd w:id="1"/>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小标宋_GBK">
    <w:altName w:val="宋体"/>
    <w:panose1 w:val="00000000000000000000"/>
    <w:charset w:val="86"/>
    <w:family w:val="auto"/>
    <w:pitch w:val="default"/>
    <w:sig w:usb0="00000000" w:usb1="00000000" w:usb2="00000000" w:usb3="00000000" w:csb0="00040001" w:csb1="00000000"/>
  </w:font>
  <w:font w:name="方正书宋_GBK">
    <w:altName w:val="宋体"/>
    <w:panose1 w:val="00000000000000000000"/>
    <w:charset w:val="86"/>
    <w:family w:val="auto"/>
    <w:pitch w:val="default"/>
    <w:sig w:usb0="00000000" w:usb1="00000000" w:usb2="00000000" w:usb3="00000000" w:csb0="00040001" w:csb1="00000000"/>
  </w:font>
  <w:font w:name="方正仿宋_GBK">
    <w:altName w:val="宋体"/>
    <w:panose1 w:val="00000000000000000000"/>
    <w:charset w:val="86"/>
    <w:family w:val="auto"/>
    <w:pitch w:val="default"/>
    <w:sig w:usb0="00000000" w:usb1="00000000" w:usb2="00000000" w:usb3="00000000" w:csb0="00040001" w:csb1="00000000"/>
  </w:font>
  <w:font w:name="方正楷体_GBK">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0"/>
  <w:displayHorizontalDrawingGridEvery w:val="1"/>
  <w:displayVerticalDrawingGridEvery w:val="1"/>
  <w:characterSpacingControl w:val="doNotCompress"/>
  <w:compat>
    <w:spaceForUL/>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semiHidden/>
    <w:unhideWhenUsed/>
    <w:uiPriority w:val="1"/>
  </w:style>
  <w:style w:type="paragraph" w:styleId="2">
    <w:name w:val="footer"/>
    <w:basedOn w:val="1"/>
    <w:link w:val="32"/>
    <w:semiHidden/>
    <w:unhideWhenUsed/>
    <w:uiPriority w:val="99"/>
    <w:pPr>
      <w:tabs>
        <w:tab w:val="center" w:pos="4153"/>
        <w:tab w:val="right" w:pos="8306"/>
      </w:tabs>
      <w:snapToGrid w:val="0"/>
    </w:pPr>
    <w:rPr>
      <w:sz w:val="18"/>
      <w:szCs w:val="18"/>
    </w:rPr>
  </w:style>
  <w:style w:type="paragraph" w:styleId="3">
    <w:name w:val="header"/>
    <w:basedOn w:val="1"/>
    <w:link w:val="31"/>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 w:type="character" w:customStyle="1" w:styleId="31">
    <w:name w:val="页眉 Char"/>
    <w:basedOn w:val="4"/>
    <w:link w:val="3"/>
    <w:semiHidden/>
    <w:uiPriority w:val="99"/>
    <w:rPr>
      <w:rFonts w:eastAsia="Times New Roman"/>
      <w:sz w:val="18"/>
      <w:szCs w:val="18"/>
    </w:rPr>
  </w:style>
  <w:style w:type="character" w:customStyle="1" w:styleId="32">
    <w:name w:val="页脚 Char"/>
    <w:basedOn w:val="4"/>
    <w:link w:val="2"/>
    <w:semiHidden/>
    <w:uiPriority w:val="99"/>
    <w:rPr>
      <w:rFonts w:eastAsia="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1707</Words>
  <Characters>9733</Characters>
  <Lines>81</Lines>
  <Paragraphs>22</Paragraphs>
  <TotalTime>0</TotalTime>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2023-02-03T08:49:00Z</dcterms:created>
  <dc:creator>Administrator</dc:creator>
  <cp:lastModifiedBy>admin</cp:lastModifiedBy>
  <dcterms:modified xsi:type="dcterms:W3CDTF">2023-08-23T07:32:57Z</dcterms:modified>
  <dc:title> 部门所属单位预算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